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002A" w:rsidRDefault="006C3220" w:rsidP="00E10C35">
      <w:pPr>
        <w:spacing w:before="0" w:after="0"/>
        <w:ind w:left="1843"/>
        <w:rPr>
          <w:rFonts w:ascii="Arial" w:hAnsi="Arial" w:cs="Arial"/>
          <w:noProof/>
          <w:color w:val="5F5F5F"/>
          <w:sz w:val="14"/>
          <w:szCs w:val="28"/>
        </w:rPr>
      </w:pPr>
      <w:r>
        <w:rPr>
          <w:rFonts w:ascii="Arial" w:hAnsi="Arial" w:cs="Arial"/>
          <w:noProof/>
          <w:color w:val="5F5F5F"/>
          <w:sz w:val="28"/>
          <w:szCs w:val="28"/>
        </w:rPr>
        <mc:AlternateContent>
          <mc:Choice Requires="wps">
            <w:drawing>
              <wp:anchor distT="0" distB="0" distL="114300" distR="114300" simplePos="0" relativeHeight="251652096" behindDoc="0" locked="0" layoutInCell="1" allowOverlap="1">
                <wp:simplePos x="0" y="0"/>
                <wp:positionH relativeFrom="column">
                  <wp:posOffset>3810000</wp:posOffset>
                </wp:positionH>
                <wp:positionV relativeFrom="paragraph">
                  <wp:posOffset>-859155</wp:posOffset>
                </wp:positionV>
                <wp:extent cx="1390015" cy="318770"/>
                <wp:effectExtent l="0" t="0" r="19685" b="24130"/>
                <wp:wrapNone/>
                <wp:docPr id="1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318770"/>
                        </a:xfrm>
                        <a:prstGeom prst="rect">
                          <a:avLst/>
                        </a:prstGeom>
                        <a:solidFill>
                          <a:srgbClr val="FFFFFF"/>
                        </a:solidFill>
                        <a:ln w="9525">
                          <a:solidFill>
                            <a:srgbClr val="FFFFFF"/>
                          </a:solidFill>
                          <a:miter lim="800000"/>
                          <a:headEnd/>
                          <a:tailEnd/>
                        </a:ln>
                      </wps:spPr>
                      <wps:txbx>
                        <w:txbxContent>
                          <w:p w:rsidR="000D0FAD" w:rsidRPr="001C1C33" w:rsidRDefault="000D0FAD" w:rsidP="00DD056D">
                            <w:pPr>
                              <w:jc w:val="right"/>
                              <w:rPr>
                                <w:rFonts w:ascii="Arial Narrow" w:hAnsi="Arial Narrow"/>
                                <w:b/>
                                <w:color w:val="5F5F5F"/>
                                <w:sz w:val="26"/>
                                <w:szCs w:val="26"/>
                              </w:rPr>
                            </w:pPr>
                            <w:r>
                              <w:rPr>
                                <w:rFonts w:ascii="Arial Narrow" w:hAnsi="Arial Narrow"/>
                                <w:b/>
                                <w:color w:val="5F5F5F"/>
                                <w:sz w:val="26"/>
                                <w:szCs w:val="26"/>
                              </w:rPr>
                              <w:t>16 gennaio 2024</w:t>
                            </w:r>
                          </w:p>
                          <w:p w:rsidR="000D0FAD" w:rsidRDefault="000D0FAD" w:rsidP="009002EC">
                            <w:pPr>
                              <w:jc w:val="right"/>
                              <w:rPr>
                                <w:rFonts w:ascii="Arial Narrow" w:hAnsi="Arial Narrow"/>
                                <w:b/>
                                <w:color w:val="2298D1"/>
                                <w:sz w:val="26"/>
                                <w:szCs w:val="26"/>
                              </w:rPr>
                            </w:pPr>
                          </w:p>
                          <w:p w:rsidR="000D0FAD" w:rsidRPr="00884ED9" w:rsidRDefault="000D0FAD" w:rsidP="009002EC">
                            <w:pPr>
                              <w:jc w:val="right"/>
                              <w:rPr>
                                <w:rFonts w:ascii="Arial Narrow" w:hAnsi="Arial Narrow"/>
                                <w:b/>
                                <w:color w:val="2298D1"/>
                                <w:sz w:val="26"/>
                                <w:szCs w:val="26"/>
                              </w:rPr>
                            </w:pPr>
                            <w:r w:rsidRPr="00884ED9">
                              <w:rPr>
                                <w:rFonts w:ascii="Arial Narrow" w:hAnsi="Arial Narrow"/>
                                <w:b/>
                                <w:color w:val="2298D1"/>
                                <w:sz w:val="26"/>
                                <w:szCs w:val="26"/>
                              </w:rPr>
                              <w:t xml:space="preserve"> </w:t>
                            </w:r>
                          </w:p>
                          <w:p w:rsidR="000D0FAD" w:rsidRPr="00884ED9" w:rsidRDefault="000D0FAD" w:rsidP="009002EC">
                            <w:pPr>
                              <w:jc w:val="right"/>
                              <w:rPr>
                                <w:rFonts w:ascii="Arial Narrow" w:hAnsi="Arial Narrow"/>
                                <w:b/>
                                <w:color w:val="2298D1"/>
                                <w:sz w:val="26"/>
                                <w:szCs w:val="2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300pt;margin-top:-67.65pt;width:109.45pt;height:2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SIQIAAEkEAAAOAAAAZHJzL2Uyb0RvYy54bWysVMFu2zAMvQ/YPwi6L3ZSZE2NOEWXLsOA&#10;rhvQ7QNoWbaFyaImKbGzrx8lJ1nR3YrpIFAW+US+R3p9O/aaHaTzCk3J57OcM2kE1sq0Jf/xffdu&#10;xZkPYGrQaGTJj9Lz283bN+vBFnKBHepaOkYgxheDLXkXgi2yzItO9uBnaKWhywZdD4GOrs1qBwOh&#10;9zpb5Pn7bEBXW4dCek9f76dLvkn4TSNF+No0XgamS065hbS7tFdxzzZrKFoHtlPilAa8IoselKFH&#10;L1D3EIDtnfoHqlfCoccmzAT2GTaNEjLVQNXM8xfVPHVgZaqFyPH2QpP/f7Di8fDNMVWTdqSUgZ40&#10;2oKXWgOrFQvSB2SLSNNgfUHeT5b8w/gBRwpJJXv7gOKnZwa3HZhW3jmHQyehpjTnMTJ7Fjrh+AhS&#10;DV+wpudgHzABjY3rI4fECiN0kut4kUiOgYn45NVNns+XnAm6u5qvrq+ThhkU52jrfPgksWfRKLmj&#10;FkjocHjwIWYDxdklPuZRq3qntE4H11Zb7dgBqF12aaUCXrhpw4aS3ywXy4mAV0D0KlDfa9WXfJXH&#10;NXVipO2jqVNXBlB6sillbU48RuomEsNYjSddKqyPxKjDqb9pHsno0P3mbKDeLrn/tQcnOdOfDakS&#10;B+FsuLNRnQ0wgkJLHjibzG2YBmZvnWo7Qp50N3hHyjUqkRolnrI45Un9mrg+zVYciOfn5PX3D7D5&#10;AwAA//8DAFBLAwQUAAYACAAAACEAETGNquIAAAAMAQAADwAAAGRycy9kb3ducmV2LnhtbEyPzU7D&#10;QAyE70i8w8pI3NrdUBpCyKaqkLhQiYpCJY5OYpKI/Ymy2ya8PeYER9sz42+KzWyNONMYeu80JEsF&#10;glztm961Gt7fnhYZiBDRNWi8Iw3fFGBTXl4UmDd+cq90PsRWcIgLOWroYhxyKUPdkcWw9AM5vn36&#10;0WLkcWxlM+LE4dbIG6VSabF3/KHDgR47qr8OJ8sYdjvhS13t0v2g1MfzcXdrjndaX1/N2wcQkeb4&#10;J4ZffPZAyUyVP7kmCKMhVYq7RA2LZLVegWBJlmT3ICpeZesEZFnI/yXKHwAAAP//AwBQSwECLQAU&#10;AAYACAAAACEAtoM4kv4AAADhAQAAEwAAAAAAAAAAAAAAAAAAAAAAW0NvbnRlbnRfVHlwZXNdLnht&#10;bFBLAQItABQABgAIAAAAIQA4/SH/1gAAAJQBAAALAAAAAAAAAAAAAAAAAC8BAABfcmVscy8ucmVs&#10;c1BLAQItABQABgAIAAAAIQCxOk+SIQIAAEkEAAAOAAAAAAAAAAAAAAAAAC4CAABkcnMvZTJvRG9j&#10;LnhtbFBLAQItABQABgAIAAAAIQARMY2q4gAAAAwBAAAPAAAAAAAAAAAAAAAAAHsEAABkcnMvZG93&#10;bnJldi54bWxQSwUGAAAAAAQABADzAAAAigUAAAAA&#10;" strokecolor="white">
                <v:textbox inset="0,0,0,0">
                  <w:txbxContent>
                    <w:p w:rsidR="000D0FAD" w:rsidRPr="001C1C33" w:rsidRDefault="000D0FAD" w:rsidP="00DD056D">
                      <w:pPr>
                        <w:jc w:val="right"/>
                        <w:rPr>
                          <w:rFonts w:ascii="Arial Narrow" w:hAnsi="Arial Narrow"/>
                          <w:b/>
                          <w:color w:val="5F5F5F"/>
                          <w:sz w:val="26"/>
                          <w:szCs w:val="26"/>
                        </w:rPr>
                      </w:pPr>
                      <w:r>
                        <w:rPr>
                          <w:rFonts w:ascii="Arial Narrow" w:hAnsi="Arial Narrow"/>
                          <w:b/>
                          <w:color w:val="5F5F5F"/>
                          <w:sz w:val="26"/>
                          <w:szCs w:val="26"/>
                        </w:rPr>
                        <w:t>16 gennaio 2024</w:t>
                      </w:r>
                    </w:p>
                    <w:p w:rsidR="000D0FAD" w:rsidRDefault="000D0FAD" w:rsidP="009002EC">
                      <w:pPr>
                        <w:jc w:val="right"/>
                        <w:rPr>
                          <w:rFonts w:ascii="Arial Narrow" w:hAnsi="Arial Narrow"/>
                          <w:b/>
                          <w:color w:val="2298D1"/>
                          <w:sz w:val="26"/>
                          <w:szCs w:val="26"/>
                        </w:rPr>
                      </w:pPr>
                    </w:p>
                    <w:p w:rsidR="000D0FAD" w:rsidRPr="00884ED9" w:rsidRDefault="000D0FAD" w:rsidP="009002EC">
                      <w:pPr>
                        <w:jc w:val="right"/>
                        <w:rPr>
                          <w:rFonts w:ascii="Arial Narrow" w:hAnsi="Arial Narrow"/>
                          <w:b/>
                          <w:color w:val="2298D1"/>
                          <w:sz w:val="26"/>
                          <w:szCs w:val="26"/>
                        </w:rPr>
                      </w:pPr>
                      <w:r w:rsidRPr="00884ED9">
                        <w:rPr>
                          <w:rFonts w:ascii="Arial Narrow" w:hAnsi="Arial Narrow"/>
                          <w:b/>
                          <w:color w:val="2298D1"/>
                          <w:sz w:val="26"/>
                          <w:szCs w:val="26"/>
                        </w:rPr>
                        <w:t xml:space="preserve"> </w:t>
                      </w:r>
                    </w:p>
                    <w:p w:rsidR="000D0FAD" w:rsidRPr="00884ED9" w:rsidRDefault="000D0FAD" w:rsidP="009002EC">
                      <w:pPr>
                        <w:jc w:val="right"/>
                        <w:rPr>
                          <w:rFonts w:ascii="Arial Narrow" w:hAnsi="Arial Narrow"/>
                          <w:b/>
                          <w:color w:val="2298D1"/>
                          <w:sz w:val="26"/>
                          <w:szCs w:val="26"/>
                        </w:rPr>
                      </w:pPr>
                    </w:p>
                  </w:txbxContent>
                </v:textbox>
              </v:shape>
            </w:pict>
          </mc:Fallback>
        </mc:AlternateContent>
      </w:r>
    </w:p>
    <w:p w:rsidR="00746B93" w:rsidRPr="00FE56E8" w:rsidRDefault="00746B93" w:rsidP="00E10C35">
      <w:pPr>
        <w:spacing w:before="0" w:after="0"/>
        <w:ind w:left="1843"/>
        <w:rPr>
          <w:rFonts w:ascii="Arial" w:hAnsi="Arial" w:cs="Arial"/>
          <w:noProof/>
          <w:color w:val="5F5F5F"/>
          <w:sz w:val="14"/>
          <w:szCs w:val="28"/>
        </w:rPr>
      </w:pPr>
    </w:p>
    <w:p w:rsidR="00AE406F" w:rsidRPr="00BF5150" w:rsidRDefault="00AE406F" w:rsidP="00E10C35">
      <w:pPr>
        <w:spacing w:before="0" w:after="0"/>
        <w:ind w:left="1843"/>
        <w:rPr>
          <w:rFonts w:ascii="Arial" w:hAnsi="Arial" w:cs="Arial"/>
          <w:noProof/>
          <w:color w:val="5F5F5F"/>
          <w:szCs w:val="28"/>
        </w:rPr>
      </w:pPr>
    </w:p>
    <w:p w:rsidR="008A27B3" w:rsidRPr="00C8504B" w:rsidRDefault="00F527D6" w:rsidP="00E10C35">
      <w:pPr>
        <w:spacing w:before="0" w:after="0"/>
        <w:ind w:left="1843"/>
        <w:rPr>
          <w:rFonts w:ascii="Arial" w:hAnsi="Arial" w:cs="Arial"/>
          <w:color w:val="5F5F5F"/>
          <w:sz w:val="28"/>
          <w:szCs w:val="28"/>
        </w:rPr>
      </w:pPr>
      <w:r>
        <w:rPr>
          <w:rFonts w:ascii="Arial" w:hAnsi="Arial" w:cs="Arial"/>
          <w:noProof/>
          <w:color w:val="5F5F5F"/>
          <w:sz w:val="28"/>
          <w:szCs w:val="28"/>
        </w:rPr>
        <w:t>Dicembre</w:t>
      </w:r>
      <w:r w:rsidR="00930954">
        <w:rPr>
          <w:rFonts w:ascii="Arial" w:hAnsi="Arial" w:cs="Arial"/>
          <w:color w:val="5F5F5F"/>
          <w:sz w:val="28"/>
          <w:szCs w:val="28"/>
        </w:rPr>
        <w:t xml:space="preserve"> 2023</w:t>
      </w:r>
    </w:p>
    <w:p w:rsidR="008A27B3" w:rsidRPr="00C8504B" w:rsidRDefault="008A27B3" w:rsidP="008A27B3">
      <w:pPr>
        <w:spacing w:before="0" w:after="0"/>
        <w:ind w:left="1814"/>
        <w:rPr>
          <w:rFonts w:ascii="Calibri" w:hAnsi="Calibri" w:cs="Arial"/>
          <w:b/>
          <w:bCs/>
          <w:color w:val="5F5F5F"/>
          <w:w w:val="95"/>
          <w:sz w:val="52"/>
          <w:szCs w:val="52"/>
        </w:rPr>
      </w:pPr>
      <w:r w:rsidRPr="00C8504B">
        <w:rPr>
          <w:rFonts w:ascii="Calibri" w:hAnsi="Calibri" w:cs="Arial"/>
          <w:b/>
          <w:bCs/>
          <w:color w:val="5F5F5F"/>
          <w:w w:val="95"/>
          <w:sz w:val="52"/>
          <w:szCs w:val="52"/>
        </w:rPr>
        <w:t>PREZZI AL CONSUMO</w:t>
      </w:r>
      <w:bookmarkStart w:id="0" w:name="_GoBack"/>
      <w:bookmarkEnd w:id="0"/>
    </w:p>
    <w:p w:rsidR="008A27B3" w:rsidRPr="00C8504B" w:rsidRDefault="008A27B3" w:rsidP="008A27B3">
      <w:pPr>
        <w:spacing w:before="0" w:after="0"/>
        <w:ind w:left="1814"/>
        <w:rPr>
          <w:rFonts w:ascii="Arial" w:hAnsi="Arial" w:cs="Arial"/>
          <w:color w:val="808080"/>
          <w:sz w:val="28"/>
          <w:szCs w:val="28"/>
        </w:rPr>
      </w:pPr>
      <w:r w:rsidRPr="00C8504B">
        <w:rPr>
          <w:rFonts w:ascii="Arial" w:hAnsi="Arial" w:cs="Arial"/>
          <w:color w:val="808080"/>
          <w:sz w:val="28"/>
          <w:szCs w:val="28"/>
        </w:rPr>
        <w:t>Dati definitivi</w:t>
      </w:r>
    </w:p>
    <w:p w:rsidR="008A27B3" w:rsidRPr="0096312C" w:rsidRDefault="008A27B3" w:rsidP="00382674">
      <w:pPr>
        <w:spacing w:before="0" w:after="0"/>
        <w:ind w:left="1814"/>
        <w:rPr>
          <w:rFonts w:ascii="Arial Narrow" w:hAnsi="Arial Narrow" w:cs="Arial"/>
          <w:color w:val="808080"/>
          <w:sz w:val="16"/>
        </w:rPr>
      </w:pPr>
    </w:p>
    <w:p w:rsidR="005E5093" w:rsidRPr="005E5093" w:rsidRDefault="009751D8" w:rsidP="00F440A5">
      <w:pPr>
        <w:widowControl/>
        <w:numPr>
          <w:ilvl w:val="0"/>
          <w:numId w:val="4"/>
        </w:numPr>
        <w:overflowPunct/>
        <w:autoSpaceDE/>
        <w:autoSpaceDN/>
        <w:adjustRightInd/>
        <w:spacing w:before="0" w:line="230" w:lineRule="exact"/>
        <w:jc w:val="both"/>
        <w:rPr>
          <w:rFonts w:ascii="Arial" w:hAnsi="Arial" w:cs="Arial"/>
          <w:sz w:val="21"/>
          <w:szCs w:val="21"/>
        </w:rPr>
      </w:pPr>
      <w:r w:rsidRPr="005E5093">
        <w:rPr>
          <w:rFonts w:ascii="Arial" w:hAnsi="Arial" w:cs="Arial"/>
          <w:iCs/>
          <w:sz w:val="21"/>
          <w:szCs w:val="21"/>
        </w:rPr>
        <w:t xml:space="preserve">Nel mese di </w:t>
      </w:r>
      <w:r w:rsidR="00D16AF8">
        <w:rPr>
          <w:rFonts w:ascii="Arial" w:hAnsi="Arial" w:cs="Arial"/>
          <w:iCs/>
          <w:sz w:val="21"/>
          <w:szCs w:val="21"/>
        </w:rPr>
        <w:t>dicembre 2023</w:t>
      </w:r>
      <w:r w:rsidRPr="005E5093">
        <w:rPr>
          <w:rFonts w:ascii="Arial" w:hAnsi="Arial" w:cs="Arial"/>
          <w:iCs/>
          <w:sz w:val="21"/>
          <w:szCs w:val="21"/>
        </w:rPr>
        <w:t xml:space="preserve">, si stima che l’indice nazionale dei prezzi al consumo per l’intera collettività (NIC), al lordo dei tabacchi, </w:t>
      </w:r>
      <w:r>
        <w:rPr>
          <w:rFonts w:ascii="Arial" w:hAnsi="Arial" w:cs="Arial"/>
          <w:iCs/>
          <w:sz w:val="21"/>
          <w:szCs w:val="21"/>
        </w:rPr>
        <w:t xml:space="preserve">aumenti </w:t>
      </w:r>
      <w:r w:rsidR="00FB4168" w:rsidRPr="002E2387">
        <w:rPr>
          <w:rFonts w:ascii="Arial" w:hAnsi="Arial" w:cs="Arial"/>
          <w:sz w:val="21"/>
          <w:szCs w:val="21"/>
        </w:rPr>
        <w:t>dello 0,</w:t>
      </w:r>
      <w:r w:rsidR="00D16AF8">
        <w:rPr>
          <w:rFonts w:ascii="Arial" w:hAnsi="Arial" w:cs="Arial"/>
          <w:sz w:val="21"/>
          <w:szCs w:val="21"/>
        </w:rPr>
        <w:t>2</w:t>
      </w:r>
      <w:r w:rsidR="00FB4168" w:rsidRPr="002E2387">
        <w:rPr>
          <w:rFonts w:ascii="Arial" w:hAnsi="Arial" w:cs="Arial"/>
          <w:sz w:val="21"/>
          <w:szCs w:val="21"/>
        </w:rPr>
        <w:t>%</w:t>
      </w:r>
      <w:r w:rsidR="00FB4168">
        <w:rPr>
          <w:rFonts w:ascii="Arial" w:hAnsi="Arial" w:cs="Arial"/>
          <w:sz w:val="21"/>
          <w:szCs w:val="21"/>
        </w:rPr>
        <w:t xml:space="preserve"> su base mensile e dell</w:t>
      </w:r>
      <w:r w:rsidR="00D16AF8">
        <w:rPr>
          <w:rFonts w:ascii="Arial" w:hAnsi="Arial" w:cs="Arial"/>
          <w:sz w:val="21"/>
          <w:szCs w:val="21"/>
        </w:rPr>
        <w:t>o 0</w:t>
      </w:r>
      <w:r w:rsidR="00FB4168">
        <w:rPr>
          <w:rFonts w:ascii="Arial" w:hAnsi="Arial" w:cs="Arial"/>
          <w:sz w:val="21"/>
          <w:szCs w:val="21"/>
        </w:rPr>
        <w:t>,6</w:t>
      </w:r>
      <w:r w:rsidR="00FB4168" w:rsidRPr="002E2387">
        <w:rPr>
          <w:rFonts w:ascii="Arial" w:hAnsi="Arial" w:cs="Arial"/>
          <w:sz w:val="21"/>
          <w:szCs w:val="21"/>
        </w:rPr>
        <w:t>% su base annua (</w:t>
      </w:r>
      <w:r w:rsidR="00FB4168">
        <w:rPr>
          <w:rFonts w:ascii="Arial" w:hAnsi="Arial" w:cs="Arial"/>
          <w:sz w:val="21"/>
          <w:szCs w:val="21"/>
        </w:rPr>
        <w:t>da +</w:t>
      </w:r>
      <w:r w:rsidR="00D16AF8">
        <w:rPr>
          <w:rFonts w:ascii="Arial" w:hAnsi="Arial" w:cs="Arial"/>
          <w:sz w:val="21"/>
          <w:szCs w:val="21"/>
        </w:rPr>
        <w:t>0,7</w:t>
      </w:r>
      <w:r w:rsidR="00FB4168" w:rsidRPr="002E2387">
        <w:rPr>
          <w:rFonts w:ascii="Arial" w:hAnsi="Arial" w:cs="Arial"/>
          <w:sz w:val="21"/>
          <w:szCs w:val="21"/>
        </w:rPr>
        <w:t>% del mese precedente)</w:t>
      </w:r>
      <w:r w:rsidR="00BF5150">
        <w:rPr>
          <w:rFonts w:ascii="Arial" w:hAnsi="Arial" w:cs="Arial"/>
          <w:iCs/>
          <w:sz w:val="21"/>
          <w:szCs w:val="21"/>
        </w:rPr>
        <w:t>, confermando</w:t>
      </w:r>
      <w:r w:rsidR="007C6B84">
        <w:rPr>
          <w:rFonts w:ascii="Arial" w:hAnsi="Arial" w:cs="Arial"/>
          <w:iCs/>
          <w:sz w:val="21"/>
          <w:szCs w:val="21"/>
        </w:rPr>
        <w:t xml:space="preserve"> </w:t>
      </w:r>
      <w:r>
        <w:rPr>
          <w:rFonts w:ascii="Arial" w:hAnsi="Arial" w:cs="Arial"/>
          <w:iCs/>
          <w:sz w:val="21"/>
          <w:szCs w:val="21"/>
        </w:rPr>
        <w:t>la stima preliminare</w:t>
      </w:r>
      <w:r w:rsidRPr="005E5093">
        <w:rPr>
          <w:rFonts w:ascii="Arial" w:hAnsi="Arial" w:cs="Arial"/>
          <w:iCs/>
          <w:sz w:val="21"/>
          <w:szCs w:val="21"/>
        </w:rPr>
        <w:t>.</w:t>
      </w:r>
    </w:p>
    <w:p w:rsidR="001B16C5" w:rsidRPr="001B16C5" w:rsidRDefault="001B16C5" w:rsidP="001B16C5">
      <w:pPr>
        <w:pStyle w:val="Paragrafoelenco"/>
        <w:widowControl/>
        <w:numPr>
          <w:ilvl w:val="0"/>
          <w:numId w:val="4"/>
        </w:numPr>
        <w:tabs>
          <w:tab w:val="left" w:pos="10206"/>
        </w:tabs>
        <w:overflowPunct/>
        <w:autoSpaceDE/>
        <w:autoSpaceDN/>
        <w:adjustRightInd/>
        <w:spacing w:before="0" w:line="230" w:lineRule="exact"/>
        <w:contextualSpacing w:val="0"/>
        <w:jc w:val="both"/>
        <w:rPr>
          <w:rFonts w:ascii="Arial" w:hAnsi="Arial" w:cs="Arial"/>
          <w:sz w:val="21"/>
          <w:szCs w:val="21"/>
        </w:rPr>
      </w:pPr>
      <w:r>
        <w:rPr>
          <w:rFonts w:ascii="Arial" w:hAnsi="Arial" w:cs="Arial"/>
          <w:sz w:val="21"/>
          <w:szCs w:val="21"/>
        </w:rPr>
        <w:t>In media, nel 2023</w:t>
      </w:r>
      <w:r w:rsidRPr="002E2387">
        <w:rPr>
          <w:rFonts w:ascii="Arial" w:hAnsi="Arial" w:cs="Arial"/>
          <w:sz w:val="21"/>
          <w:szCs w:val="21"/>
        </w:rPr>
        <w:t xml:space="preserve"> i prezzi al consumo registrano una </w:t>
      </w:r>
      <w:r>
        <w:rPr>
          <w:rFonts w:ascii="Arial" w:hAnsi="Arial" w:cs="Arial"/>
          <w:sz w:val="21"/>
          <w:szCs w:val="21"/>
        </w:rPr>
        <w:t>crescita del 5,7</w:t>
      </w:r>
      <w:r w:rsidRPr="002E2387">
        <w:rPr>
          <w:rFonts w:ascii="Arial" w:hAnsi="Arial" w:cs="Arial"/>
          <w:sz w:val="21"/>
          <w:szCs w:val="21"/>
        </w:rPr>
        <w:t>%</w:t>
      </w:r>
      <w:r>
        <w:rPr>
          <w:rFonts w:ascii="Arial" w:hAnsi="Arial" w:cs="Arial"/>
          <w:sz w:val="21"/>
          <w:szCs w:val="21"/>
        </w:rPr>
        <w:t xml:space="preserve"> (+8,1% nel 2022). A</w:t>
      </w:r>
      <w:r w:rsidRPr="002E2387">
        <w:rPr>
          <w:rFonts w:ascii="Arial" w:hAnsi="Arial" w:cs="Arial"/>
          <w:sz w:val="21"/>
          <w:szCs w:val="21"/>
        </w:rPr>
        <w:t>l netto degli energetici e degli alimentari freschi</w:t>
      </w:r>
      <w:r>
        <w:rPr>
          <w:rFonts w:ascii="Arial" w:hAnsi="Arial" w:cs="Arial"/>
          <w:sz w:val="21"/>
          <w:szCs w:val="21"/>
        </w:rPr>
        <w:t xml:space="preserve"> (l’</w:t>
      </w:r>
      <w:r w:rsidRPr="002E2387">
        <w:rPr>
          <w:rFonts w:ascii="Arial" w:hAnsi="Arial" w:cs="Arial"/>
          <w:sz w:val="21"/>
          <w:szCs w:val="21"/>
        </w:rPr>
        <w:t>“inflazione di fondo”</w:t>
      </w:r>
      <w:r>
        <w:rPr>
          <w:rFonts w:ascii="Arial" w:hAnsi="Arial" w:cs="Arial"/>
          <w:sz w:val="21"/>
          <w:szCs w:val="21"/>
        </w:rPr>
        <w:t>)</w:t>
      </w:r>
      <w:r w:rsidRPr="002E2387">
        <w:rPr>
          <w:rFonts w:ascii="Arial" w:hAnsi="Arial" w:cs="Arial"/>
          <w:sz w:val="21"/>
          <w:szCs w:val="21"/>
        </w:rPr>
        <w:t xml:space="preserve">, </w:t>
      </w:r>
      <w:r>
        <w:rPr>
          <w:rFonts w:ascii="Arial" w:hAnsi="Arial" w:cs="Arial"/>
          <w:sz w:val="21"/>
          <w:szCs w:val="21"/>
        </w:rPr>
        <w:t xml:space="preserve">i prezzi al consumo </w:t>
      </w:r>
      <w:r w:rsidRPr="00A3249A">
        <w:rPr>
          <w:rFonts w:ascii="Arial" w:hAnsi="Arial" w:cs="Arial"/>
          <w:sz w:val="21"/>
          <w:szCs w:val="21"/>
        </w:rPr>
        <w:t xml:space="preserve">crescono </w:t>
      </w:r>
      <w:r>
        <w:rPr>
          <w:rFonts w:ascii="Arial" w:hAnsi="Arial" w:cs="Arial"/>
          <w:sz w:val="21"/>
          <w:szCs w:val="21"/>
        </w:rPr>
        <w:t>del 5,1</w:t>
      </w:r>
      <w:r w:rsidRPr="00A3249A">
        <w:rPr>
          <w:rFonts w:ascii="Arial" w:hAnsi="Arial" w:cs="Arial"/>
          <w:sz w:val="21"/>
          <w:szCs w:val="21"/>
        </w:rPr>
        <w:t>% (</w:t>
      </w:r>
      <w:r>
        <w:rPr>
          <w:rFonts w:ascii="Arial" w:hAnsi="Arial" w:cs="Arial"/>
          <w:sz w:val="21"/>
          <w:szCs w:val="21"/>
        </w:rPr>
        <w:t>+3</w:t>
      </w:r>
      <w:r w:rsidRPr="00A3249A">
        <w:rPr>
          <w:rFonts w:ascii="Arial" w:hAnsi="Arial" w:cs="Arial"/>
          <w:sz w:val="21"/>
          <w:szCs w:val="21"/>
        </w:rPr>
        <w:t xml:space="preserve">,8% nell’anno precedente) e al netto dei soli energetici del </w:t>
      </w:r>
      <w:r>
        <w:rPr>
          <w:rFonts w:ascii="Arial" w:hAnsi="Arial" w:cs="Arial"/>
          <w:sz w:val="21"/>
          <w:szCs w:val="21"/>
        </w:rPr>
        <w:t>5,3</w:t>
      </w:r>
      <w:r w:rsidRPr="00A3249A">
        <w:rPr>
          <w:rFonts w:ascii="Arial" w:hAnsi="Arial" w:cs="Arial"/>
          <w:sz w:val="21"/>
          <w:szCs w:val="21"/>
        </w:rPr>
        <w:t>% (</w:t>
      </w:r>
      <w:r>
        <w:rPr>
          <w:rFonts w:ascii="Arial" w:hAnsi="Arial" w:cs="Arial"/>
          <w:sz w:val="21"/>
          <w:szCs w:val="21"/>
        </w:rPr>
        <w:t>+4,1% nel 2022</w:t>
      </w:r>
      <w:r w:rsidRPr="00A3249A">
        <w:rPr>
          <w:rFonts w:ascii="Arial" w:hAnsi="Arial" w:cs="Arial"/>
          <w:sz w:val="21"/>
          <w:szCs w:val="21"/>
        </w:rPr>
        <w:t>).</w:t>
      </w:r>
      <w:r>
        <w:rPr>
          <w:rFonts w:ascii="Arial" w:hAnsi="Arial" w:cs="Arial"/>
          <w:sz w:val="21"/>
          <w:szCs w:val="21"/>
        </w:rPr>
        <w:t xml:space="preserve"> </w:t>
      </w:r>
      <w:r w:rsidRPr="00446E21">
        <w:rPr>
          <w:rFonts w:ascii="Arial" w:hAnsi="Arial" w:cs="Arial"/>
          <w:i/>
          <w:sz w:val="21"/>
          <w:szCs w:val="21"/>
        </w:rPr>
        <w:t xml:space="preserve">Per i dati annuali cfr. pag. </w:t>
      </w:r>
      <w:r>
        <w:rPr>
          <w:rFonts w:ascii="Arial" w:hAnsi="Arial" w:cs="Arial"/>
          <w:i/>
          <w:sz w:val="21"/>
          <w:szCs w:val="21"/>
        </w:rPr>
        <w:t>8</w:t>
      </w:r>
      <w:r w:rsidRPr="00446E21">
        <w:rPr>
          <w:rFonts w:ascii="Arial" w:hAnsi="Arial" w:cs="Arial"/>
          <w:i/>
          <w:sz w:val="21"/>
          <w:szCs w:val="21"/>
        </w:rPr>
        <w:t>.</w:t>
      </w:r>
    </w:p>
    <w:p w:rsidR="00841E0F" w:rsidRDefault="00841E0F" w:rsidP="00841E0F">
      <w:pPr>
        <w:pStyle w:val="Paragrafoelenco"/>
        <w:widowControl/>
        <w:numPr>
          <w:ilvl w:val="0"/>
          <w:numId w:val="4"/>
        </w:numPr>
        <w:tabs>
          <w:tab w:val="left" w:pos="10206"/>
        </w:tabs>
        <w:overflowPunct/>
        <w:autoSpaceDE/>
        <w:autoSpaceDN/>
        <w:adjustRightInd/>
        <w:spacing w:before="0" w:line="230" w:lineRule="exact"/>
        <w:contextualSpacing w:val="0"/>
        <w:jc w:val="both"/>
        <w:rPr>
          <w:rFonts w:ascii="Arial" w:hAnsi="Arial" w:cs="Arial"/>
          <w:sz w:val="21"/>
          <w:szCs w:val="21"/>
        </w:rPr>
      </w:pPr>
      <w:r>
        <w:rPr>
          <w:rFonts w:ascii="Arial" w:hAnsi="Arial" w:cs="Arial"/>
          <w:sz w:val="21"/>
          <w:szCs w:val="21"/>
        </w:rPr>
        <w:t xml:space="preserve">Il rallentamento </w:t>
      </w:r>
      <w:r w:rsidRPr="006419F2">
        <w:rPr>
          <w:rFonts w:ascii="Arial" w:hAnsi="Arial" w:cs="Arial"/>
          <w:sz w:val="21"/>
          <w:szCs w:val="21"/>
        </w:rPr>
        <w:t>su base tendenziale dell’inflazione è dovut</w:t>
      </w:r>
      <w:r>
        <w:rPr>
          <w:rFonts w:ascii="Arial" w:hAnsi="Arial" w:cs="Arial"/>
          <w:sz w:val="21"/>
          <w:szCs w:val="21"/>
        </w:rPr>
        <w:t>o</w:t>
      </w:r>
      <w:r w:rsidRPr="006419F2">
        <w:rPr>
          <w:rFonts w:ascii="Arial" w:hAnsi="Arial" w:cs="Arial"/>
          <w:sz w:val="21"/>
          <w:szCs w:val="21"/>
        </w:rPr>
        <w:t xml:space="preserve"> </w:t>
      </w:r>
      <w:r w:rsidR="006F48EB">
        <w:rPr>
          <w:rFonts w:ascii="Arial" w:hAnsi="Arial" w:cs="Arial"/>
          <w:sz w:val="21"/>
          <w:szCs w:val="21"/>
        </w:rPr>
        <w:t>per</w:t>
      </w:r>
      <w:r w:rsidR="00182EA7">
        <w:rPr>
          <w:rFonts w:ascii="Arial" w:hAnsi="Arial" w:cs="Arial"/>
          <w:sz w:val="21"/>
          <w:szCs w:val="21"/>
        </w:rPr>
        <w:t xml:space="preserve"> </w:t>
      </w:r>
      <w:r w:rsidR="006F48EB">
        <w:rPr>
          <w:rFonts w:ascii="Arial" w:hAnsi="Arial" w:cs="Arial"/>
          <w:sz w:val="21"/>
          <w:szCs w:val="21"/>
        </w:rPr>
        <w:t>lo</w:t>
      </w:r>
      <w:r w:rsidR="00182EA7">
        <w:rPr>
          <w:rFonts w:ascii="Arial" w:hAnsi="Arial" w:cs="Arial"/>
          <w:sz w:val="21"/>
          <w:szCs w:val="21"/>
        </w:rPr>
        <w:t xml:space="preserve"> </w:t>
      </w:r>
      <w:r w:rsidR="006F48EB">
        <w:rPr>
          <w:rFonts w:ascii="Arial" w:hAnsi="Arial" w:cs="Arial"/>
          <w:sz w:val="21"/>
          <w:szCs w:val="21"/>
        </w:rPr>
        <w:t>più</w:t>
      </w:r>
      <w:r w:rsidRPr="006419F2">
        <w:rPr>
          <w:rFonts w:ascii="Arial" w:hAnsi="Arial" w:cs="Arial"/>
          <w:sz w:val="21"/>
          <w:szCs w:val="21"/>
        </w:rPr>
        <w:t xml:space="preserve"> ai prezzi dei </w:t>
      </w:r>
      <w:r>
        <w:rPr>
          <w:rFonts w:ascii="Arial" w:hAnsi="Arial" w:cs="Arial"/>
          <w:sz w:val="21"/>
          <w:szCs w:val="21"/>
        </w:rPr>
        <w:t>Beni energetici regolamentati (che accentuano la loro flessione da -34,9% a -41,</w:t>
      </w:r>
      <w:r w:rsidR="00D331B6">
        <w:rPr>
          <w:rFonts w:ascii="Arial" w:hAnsi="Arial" w:cs="Arial"/>
          <w:sz w:val="21"/>
          <w:szCs w:val="21"/>
        </w:rPr>
        <w:t>6</w:t>
      </w:r>
      <w:r>
        <w:rPr>
          <w:rFonts w:ascii="Arial" w:hAnsi="Arial" w:cs="Arial"/>
          <w:sz w:val="21"/>
          <w:szCs w:val="21"/>
        </w:rPr>
        <w:t>%), dei Servizi ricreativi, culturali e per la cura della persona (da +4,6</w:t>
      </w:r>
      <w:r w:rsidRPr="00A3249A">
        <w:rPr>
          <w:rFonts w:ascii="Arial" w:hAnsi="Arial" w:cs="Arial"/>
          <w:sz w:val="21"/>
          <w:szCs w:val="21"/>
        </w:rPr>
        <w:t>% a +</w:t>
      </w:r>
      <w:r>
        <w:rPr>
          <w:rFonts w:ascii="Arial" w:hAnsi="Arial" w:cs="Arial"/>
          <w:sz w:val="21"/>
          <w:szCs w:val="21"/>
        </w:rPr>
        <w:t>3,6</w:t>
      </w:r>
      <w:r w:rsidRPr="00A3249A">
        <w:rPr>
          <w:rFonts w:ascii="Arial" w:hAnsi="Arial" w:cs="Arial"/>
          <w:sz w:val="21"/>
          <w:szCs w:val="21"/>
        </w:rPr>
        <w:t>%)</w:t>
      </w:r>
      <w:r>
        <w:rPr>
          <w:rFonts w:ascii="Arial" w:hAnsi="Arial" w:cs="Arial"/>
          <w:sz w:val="21"/>
          <w:szCs w:val="21"/>
        </w:rPr>
        <w:t xml:space="preserve"> e de</w:t>
      </w:r>
      <w:r w:rsidR="009D6968">
        <w:rPr>
          <w:rFonts w:ascii="Arial" w:hAnsi="Arial" w:cs="Arial"/>
          <w:sz w:val="21"/>
          <w:szCs w:val="21"/>
        </w:rPr>
        <w:t>gl</w:t>
      </w:r>
      <w:r>
        <w:rPr>
          <w:rFonts w:ascii="Arial" w:hAnsi="Arial" w:cs="Arial"/>
          <w:sz w:val="21"/>
          <w:szCs w:val="21"/>
        </w:rPr>
        <w:t xml:space="preserve">i </w:t>
      </w:r>
      <w:r w:rsidR="009D6968">
        <w:rPr>
          <w:rFonts w:ascii="Arial" w:hAnsi="Arial" w:cs="Arial"/>
          <w:sz w:val="21"/>
          <w:szCs w:val="21"/>
        </w:rPr>
        <w:t>A</w:t>
      </w:r>
      <w:r w:rsidRPr="006419F2">
        <w:rPr>
          <w:rFonts w:ascii="Arial" w:hAnsi="Arial" w:cs="Arial"/>
          <w:sz w:val="21"/>
          <w:szCs w:val="21"/>
        </w:rPr>
        <w:t>limentari</w:t>
      </w:r>
      <w:r>
        <w:rPr>
          <w:rFonts w:ascii="Arial" w:hAnsi="Arial" w:cs="Arial"/>
          <w:sz w:val="21"/>
          <w:szCs w:val="21"/>
        </w:rPr>
        <w:t xml:space="preserve"> lavorati (da +5,8</w:t>
      </w:r>
      <w:r w:rsidRPr="006419F2">
        <w:rPr>
          <w:rFonts w:ascii="Arial" w:hAnsi="Arial" w:cs="Arial"/>
          <w:sz w:val="21"/>
          <w:szCs w:val="21"/>
        </w:rPr>
        <w:t>% a +</w:t>
      </w:r>
      <w:r w:rsidR="003B3F7F">
        <w:rPr>
          <w:rFonts w:ascii="Arial" w:hAnsi="Arial" w:cs="Arial"/>
          <w:sz w:val="21"/>
          <w:szCs w:val="21"/>
        </w:rPr>
        <w:t>4,9</w:t>
      </w:r>
      <w:r w:rsidRPr="006419F2">
        <w:rPr>
          <w:rFonts w:ascii="Arial" w:hAnsi="Arial" w:cs="Arial"/>
          <w:sz w:val="21"/>
          <w:szCs w:val="21"/>
        </w:rPr>
        <w:t>%)</w:t>
      </w:r>
      <w:r>
        <w:rPr>
          <w:rFonts w:ascii="Arial" w:hAnsi="Arial" w:cs="Arial"/>
          <w:sz w:val="21"/>
          <w:szCs w:val="21"/>
        </w:rPr>
        <w:t>; un sostegno alla dinamica dell’inflazione</w:t>
      </w:r>
      <w:r w:rsidR="009D6968">
        <w:rPr>
          <w:rFonts w:ascii="Arial" w:hAnsi="Arial" w:cs="Arial"/>
          <w:sz w:val="21"/>
          <w:szCs w:val="21"/>
        </w:rPr>
        <w:t xml:space="preserve"> invece</w:t>
      </w:r>
      <w:r>
        <w:rPr>
          <w:rFonts w:ascii="Arial" w:hAnsi="Arial" w:cs="Arial"/>
          <w:sz w:val="21"/>
          <w:szCs w:val="21"/>
        </w:rPr>
        <w:t xml:space="preserve"> deriva dall’attenuarsi del calo dei prezzi degli Energetici non regolamentati</w:t>
      </w:r>
      <w:r w:rsidRPr="00A3249A">
        <w:rPr>
          <w:rFonts w:ascii="Arial" w:hAnsi="Arial" w:cs="Arial"/>
          <w:sz w:val="21"/>
          <w:szCs w:val="21"/>
        </w:rPr>
        <w:t xml:space="preserve"> (da </w:t>
      </w:r>
      <w:r>
        <w:rPr>
          <w:rFonts w:ascii="Arial" w:hAnsi="Arial" w:cs="Arial"/>
          <w:sz w:val="21"/>
          <w:szCs w:val="21"/>
        </w:rPr>
        <w:t>-22,5</w:t>
      </w:r>
      <w:r w:rsidRPr="00A3249A">
        <w:rPr>
          <w:rFonts w:ascii="Arial" w:hAnsi="Arial" w:cs="Arial"/>
          <w:sz w:val="21"/>
          <w:szCs w:val="21"/>
        </w:rPr>
        <w:t xml:space="preserve">% a </w:t>
      </w:r>
      <w:r>
        <w:rPr>
          <w:rFonts w:ascii="Arial" w:hAnsi="Arial" w:cs="Arial"/>
          <w:sz w:val="21"/>
          <w:szCs w:val="21"/>
        </w:rPr>
        <w:t>-21,1</w:t>
      </w:r>
      <w:r w:rsidRPr="00A3249A">
        <w:rPr>
          <w:rFonts w:ascii="Arial" w:hAnsi="Arial" w:cs="Arial"/>
          <w:sz w:val="21"/>
          <w:szCs w:val="21"/>
        </w:rPr>
        <w:t>%)</w:t>
      </w:r>
      <w:r>
        <w:rPr>
          <w:rFonts w:ascii="Arial" w:hAnsi="Arial" w:cs="Arial"/>
          <w:sz w:val="21"/>
          <w:szCs w:val="21"/>
        </w:rPr>
        <w:t xml:space="preserve"> e dall’accelerazione di quelli </w:t>
      </w:r>
      <w:r w:rsidR="006F48EB">
        <w:rPr>
          <w:rFonts w:ascii="Arial" w:hAnsi="Arial" w:cs="Arial"/>
          <w:sz w:val="21"/>
          <w:szCs w:val="21"/>
        </w:rPr>
        <w:t>degli A</w:t>
      </w:r>
      <w:r w:rsidRPr="00A3249A">
        <w:rPr>
          <w:rFonts w:ascii="Arial" w:hAnsi="Arial" w:cs="Arial"/>
          <w:sz w:val="21"/>
          <w:szCs w:val="21"/>
        </w:rPr>
        <w:t xml:space="preserve">limentari </w:t>
      </w:r>
      <w:r>
        <w:rPr>
          <w:rFonts w:ascii="Arial" w:hAnsi="Arial" w:cs="Arial"/>
          <w:sz w:val="21"/>
          <w:szCs w:val="21"/>
        </w:rPr>
        <w:t xml:space="preserve">non </w:t>
      </w:r>
      <w:r w:rsidRPr="00A3249A">
        <w:rPr>
          <w:rFonts w:ascii="Arial" w:hAnsi="Arial" w:cs="Arial"/>
          <w:sz w:val="21"/>
          <w:szCs w:val="21"/>
        </w:rPr>
        <w:t>lavorati (da +</w:t>
      </w:r>
      <w:r>
        <w:rPr>
          <w:rFonts w:ascii="Arial" w:hAnsi="Arial" w:cs="Arial"/>
          <w:sz w:val="21"/>
          <w:szCs w:val="21"/>
        </w:rPr>
        <w:t>5,6</w:t>
      </w:r>
      <w:r w:rsidRPr="00A3249A">
        <w:rPr>
          <w:rFonts w:ascii="Arial" w:hAnsi="Arial" w:cs="Arial"/>
          <w:sz w:val="21"/>
          <w:szCs w:val="21"/>
        </w:rPr>
        <w:t>% a +</w:t>
      </w:r>
      <w:r>
        <w:rPr>
          <w:rFonts w:ascii="Arial" w:hAnsi="Arial" w:cs="Arial"/>
          <w:sz w:val="21"/>
          <w:szCs w:val="21"/>
        </w:rPr>
        <w:t>7,0%).</w:t>
      </w:r>
    </w:p>
    <w:p w:rsidR="00BC162B" w:rsidRPr="00663C11" w:rsidRDefault="00BC162B" w:rsidP="00BC162B">
      <w:pPr>
        <w:pStyle w:val="Paragrafoelenco"/>
        <w:widowControl/>
        <w:numPr>
          <w:ilvl w:val="0"/>
          <w:numId w:val="4"/>
        </w:numPr>
        <w:tabs>
          <w:tab w:val="left" w:pos="10206"/>
        </w:tabs>
        <w:overflowPunct/>
        <w:autoSpaceDE/>
        <w:autoSpaceDN/>
        <w:adjustRightInd/>
        <w:spacing w:before="0" w:line="230" w:lineRule="exact"/>
        <w:contextualSpacing w:val="0"/>
        <w:jc w:val="both"/>
        <w:rPr>
          <w:rFonts w:ascii="Arial" w:hAnsi="Arial" w:cs="Arial"/>
          <w:sz w:val="21"/>
          <w:szCs w:val="21"/>
        </w:rPr>
      </w:pPr>
      <w:r>
        <w:rPr>
          <w:rFonts w:ascii="Arial" w:hAnsi="Arial" w:cs="Arial"/>
          <w:sz w:val="21"/>
          <w:szCs w:val="21"/>
        </w:rPr>
        <w:t>N</w:t>
      </w:r>
      <w:r w:rsidRPr="00663C11">
        <w:rPr>
          <w:rFonts w:ascii="Arial" w:hAnsi="Arial" w:cs="Arial"/>
          <w:sz w:val="21"/>
          <w:szCs w:val="21"/>
        </w:rPr>
        <w:t>el mese di dicembre</w:t>
      </w:r>
      <w:r>
        <w:rPr>
          <w:rFonts w:ascii="Arial" w:hAnsi="Arial" w:cs="Arial"/>
          <w:sz w:val="21"/>
          <w:szCs w:val="21"/>
        </w:rPr>
        <w:t xml:space="preserve"> 2023 l</w:t>
      </w:r>
      <w:r w:rsidRPr="00663C11">
        <w:rPr>
          <w:rFonts w:ascii="Arial" w:hAnsi="Arial" w:cs="Arial"/>
          <w:sz w:val="21"/>
          <w:szCs w:val="21"/>
        </w:rPr>
        <w:t>’“inflazione di fondo”, al netto degli energeti</w:t>
      </w:r>
      <w:r>
        <w:rPr>
          <w:rFonts w:ascii="Arial" w:hAnsi="Arial" w:cs="Arial"/>
          <w:sz w:val="21"/>
          <w:szCs w:val="21"/>
        </w:rPr>
        <w:t>ci e degli alimentari freschi, decelera da +3,6% a +3,1</w:t>
      </w:r>
      <w:r w:rsidRPr="00663C11">
        <w:rPr>
          <w:rFonts w:ascii="Arial" w:hAnsi="Arial" w:cs="Arial"/>
          <w:sz w:val="21"/>
          <w:szCs w:val="21"/>
        </w:rPr>
        <w:t>%</w:t>
      </w:r>
      <w:r>
        <w:rPr>
          <w:rFonts w:ascii="Arial" w:hAnsi="Arial" w:cs="Arial"/>
          <w:sz w:val="21"/>
          <w:szCs w:val="21"/>
        </w:rPr>
        <w:t xml:space="preserve"> e </w:t>
      </w:r>
      <w:r w:rsidRPr="00663C11">
        <w:rPr>
          <w:rFonts w:ascii="Arial" w:hAnsi="Arial" w:cs="Arial"/>
          <w:sz w:val="21"/>
          <w:szCs w:val="21"/>
        </w:rPr>
        <w:t xml:space="preserve">quella al netto dei soli beni energetici </w:t>
      </w:r>
      <w:r>
        <w:rPr>
          <w:rFonts w:ascii="Arial" w:hAnsi="Arial" w:cs="Arial"/>
          <w:sz w:val="21"/>
          <w:szCs w:val="21"/>
        </w:rPr>
        <w:t>da +3,6% a +3,4</w:t>
      </w:r>
      <w:r w:rsidRPr="00663C11">
        <w:rPr>
          <w:rFonts w:ascii="Arial" w:hAnsi="Arial" w:cs="Arial"/>
          <w:sz w:val="21"/>
          <w:szCs w:val="21"/>
        </w:rPr>
        <w:t>%.</w:t>
      </w:r>
    </w:p>
    <w:p w:rsidR="00BC162B" w:rsidRPr="00B73DEE" w:rsidRDefault="00BC162B" w:rsidP="00BC162B">
      <w:pPr>
        <w:pStyle w:val="Paragrafoelenco"/>
        <w:widowControl/>
        <w:numPr>
          <w:ilvl w:val="0"/>
          <w:numId w:val="4"/>
        </w:numPr>
        <w:tabs>
          <w:tab w:val="left" w:pos="10206"/>
        </w:tabs>
        <w:overflowPunct/>
        <w:autoSpaceDE/>
        <w:autoSpaceDN/>
        <w:adjustRightInd/>
        <w:spacing w:before="0" w:line="230" w:lineRule="exact"/>
        <w:contextualSpacing w:val="0"/>
        <w:jc w:val="both"/>
        <w:rPr>
          <w:rFonts w:ascii="Arial" w:hAnsi="Arial" w:cs="Arial"/>
          <w:sz w:val="21"/>
          <w:szCs w:val="21"/>
        </w:rPr>
      </w:pPr>
      <w:r>
        <w:rPr>
          <w:rFonts w:ascii="Arial" w:hAnsi="Arial" w:cs="Arial"/>
          <w:sz w:val="21"/>
          <w:szCs w:val="21"/>
        </w:rPr>
        <w:t>I</w:t>
      </w:r>
      <w:r w:rsidRPr="00B73DEE">
        <w:rPr>
          <w:rFonts w:ascii="Arial" w:hAnsi="Arial" w:cs="Arial"/>
          <w:sz w:val="21"/>
          <w:szCs w:val="21"/>
        </w:rPr>
        <w:t xml:space="preserve"> prezzi dei Beni alimentari, per la cura della casa e della persona </w:t>
      </w:r>
      <w:r>
        <w:rPr>
          <w:rFonts w:ascii="Arial" w:hAnsi="Arial" w:cs="Arial"/>
          <w:sz w:val="21"/>
          <w:szCs w:val="21"/>
        </w:rPr>
        <w:t xml:space="preserve">rallentano lievemente su base tendenziale </w:t>
      </w:r>
      <w:r w:rsidRPr="00B73DEE">
        <w:rPr>
          <w:rFonts w:ascii="Arial" w:hAnsi="Arial" w:cs="Arial"/>
          <w:sz w:val="21"/>
          <w:szCs w:val="21"/>
        </w:rPr>
        <w:t>da +</w:t>
      </w:r>
      <w:r>
        <w:rPr>
          <w:rFonts w:ascii="Arial" w:hAnsi="Arial" w:cs="Arial"/>
          <w:sz w:val="21"/>
          <w:szCs w:val="21"/>
        </w:rPr>
        <w:t>5,4</w:t>
      </w:r>
      <w:r w:rsidRPr="00B73DEE">
        <w:rPr>
          <w:rFonts w:ascii="Arial" w:hAnsi="Arial" w:cs="Arial"/>
          <w:sz w:val="21"/>
          <w:szCs w:val="21"/>
        </w:rPr>
        <w:t>% a +</w:t>
      </w:r>
      <w:r>
        <w:rPr>
          <w:rFonts w:ascii="Arial" w:hAnsi="Arial" w:cs="Arial"/>
          <w:sz w:val="21"/>
          <w:szCs w:val="21"/>
        </w:rPr>
        <w:t>5,3%, come anche quelli dei</w:t>
      </w:r>
      <w:r w:rsidRPr="00B73DEE">
        <w:rPr>
          <w:rFonts w:ascii="Arial" w:hAnsi="Arial" w:cs="Arial"/>
          <w:sz w:val="21"/>
          <w:szCs w:val="21"/>
        </w:rPr>
        <w:t xml:space="preserve"> prodotti ad </w:t>
      </w:r>
      <w:r>
        <w:rPr>
          <w:rFonts w:ascii="Arial" w:hAnsi="Arial" w:cs="Arial"/>
          <w:sz w:val="21"/>
          <w:szCs w:val="21"/>
        </w:rPr>
        <w:t>alta frequenza d’acquisto (da +4,6</w:t>
      </w:r>
      <w:r w:rsidRPr="00B73DEE">
        <w:rPr>
          <w:rFonts w:ascii="Arial" w:hAnsi="Arial" w:cs="Arial"/>
          <w:sz w:val="21"/>
          <w:szCs w:val="21"/>
        </w:rPr>
        <w:t xml:space="preserve">% </w:t>
      </w:r>
      <w:r>
        <w:rPr>
          <w:rFonts w:ascii="Arial" w:hAnsi="Arial" w:cs="Arial"/>
          <w:sz w:val="21"/>
          <w:szCs w:val="21"/>
        </w:rPr>
        <w:t>a +4,4%</w:t>
      </w:r>
      <w:r w:rsidRPr="00B73DEE">
        <w:rPr>
          <w:rFonts w:ascii="Arial" w:hAnsi="Arial" w:cs="Arial"/>
          <w:sz w:val="21"/>
          <w:szCs w:val="21"/>
        </w:rPr>
        <w:t>).</w:t>
      </w:r>
    </w:p>
    <w:p w:rsidR="006B6148" w:rsidRDefault="006B6148" w:rsidP="00F440A5">
      <w:pPr>
        <w:pStyle w:val="Paragrafoelenco"/>
        <w:widowControl/>
        <w:numPr>
          <w:ilvl w:val="0"/>
          <w:numId w:val="4"/>
        </w:numPr>
        <w:tabs>
          <w:tab w:val="left" w:pos="10206"/>
        </w:tabs>
        <w:overflowPunct/>
        <w:autoSpaceDE/>
        <w:autoSpaceDN/>
        <w:adjustRightInd/>
        <w:spacing w:before="0" w:line="230" w:lineRule="exact"/>
        <w:contextualSpacing w:val="0"/>
        <w:jc w:val="both"/>
        <w:rPr>
          <w:rFonts w:ascii="Arial" w:hAnsi="Arial" w:cs="Arial"/>
          <w:sz w:val="21"/>
          <w:szCs w:val="21"/>
        </w:rPr>
      </w:pPr>
      <w:r>
        <w:rPr>
          <w:rFonts w:ascii="Arial" w:hAnsi="Arial" w:cs="Arial"/>
          <w:sz w:val="21"/>
          <w:szCs w:val="21"/>
        </w:rPr>
        <w:t>L’</w:t>
      </w:r>
      <w:r w:rsidRPr="00BA5D8E">
        <w:rPr>
          <w:rFonts w:ascii="Arial" w:hAnsi="Arial" w:cs="Arial"/>
          <w:sz w:val="21"/>
          <w:szCs w:val="21"/>
        </w:rPr>
        <w:t>aumento congiunturale dell’indice generale è dovuto</w:t>
      </w:r>
      <w:r>
        <w:rPr>
          <w:rFonts w:ascii="Arial" w:hAnsi="Arial" w:cs="Arial"/>
          <w:sz w:val="21"/>
          <w:szCs w:val="21"/>
        </w:rPr>
        <w:t xml:space="preserve">, per lo più, alla crescita dei prezzi dei </w:t>
      </w:r>
      <w:r w:rsidRPr="00BA5D8E">
        <w:rPr>
          <w:rFonts w:ascii="Arial" w:hAnsi="Arial" w:cs="Arial"/>
          <w:sz w:val="21"/>
          <w:szCs w:val="21"/>
        </w:rPr>
        <w:t>Servizi relativi ai trasporti (+</w:t>
      </w:r>
      <w:r>
        <w:rPr>
          <w:rFonts w:ascii="Arial" w:hAnsi="Arial" w:cs="Arial"/>
          <w:sz w:val="21"/>
          <w:szCs w:val="21"/>
        </w:rPr>
        <w:t>1,4</w:t>
      </w:r>
      <w:r w:rsidRPr="00BA5D8E">
        <w:rPr>
          <w:rFonts w:ascii="Arial" w:hAnsi="Arial" w:cs="Arial"/>
          <w:sz w:val="21"/>
          <w:szCs w:val="21"/>
        </w:rPr>
        <w:t>%</w:t>
      </w:r>
      <w:r>
        <w:rPr>
          <w:rFonts w:ascii="Arial" w:hAnsi="Arial" w:cs="Arial"/>
          <w:sz w:val="21"/>
          <w:szCs w:val="21"/>
        </w:rPr>
        <w:t xml:space="preserve"> anche a causa di fattori stagionali</w:t>
      </w:r>
      <w:r w:rsidRPr="00BA5D8E">
        <w:rPr>
          <w:rFonts w:ascii="Arial" w:hAnsi="Arial" w:cs="Arial"/>
          <w:sz w:val="21"/>
          <w:szCs w:val="21"/>
        </w:rPr>
        <w:t>)</w:t>
      </w:r>
      <w:r>
        <w:rPr>
          <w:rFonts w:ascii="Arial" w:hAnsi="Arial" w:cs="Arial"/>
          <w:sz w:val="21"/>
          <w:szCs w:val="21"/>
        </w:rPr>
        <w:t xml:space="preserve">, dei Beni </w:t>
      </w:r>
      <w:r w:rsidR="00B57626">
        <w:rPr>
          <w:rFonts w:ascii="Arial" w:hAnsi="Arial" w:cs="Arial"/>
          <w:sz w:val="21"/>
          <w:szCs w:val="21"/>
        </w:rPr>
        <w:t>alimentari non lavorati (+0,7%) e</w:t>
      </w:r>
      <w:r w:rsidR="00F6771E">
        <w:rPr>
          <w:rFonts w:ascii="Arial" w:hAnsi="Arial" w:cs="Arial"/>
          <w:sz w:val="21"/>
          <w:szCs w:val="21"/>
        </w:rPr>
        <w:t xml:space="preserve"> </w:t>
      </w:r>
      <w:r>
        <w:rPr>
          <w:rFonts w:ascii="Arial" w:hAnsi="Arial" w:cs="Arial"/>
          <w:sz w:val="21"/>
          <w:szCs w:val="21"/>
        </w:rPr>
        <w:t>dei Beni non durevoli (+0,5%); gli effetti di questi aumenti sono</w:t>
      </w:r>
      <w:r w:rsidRPr="001C3B24">
        <w:rPr>
          <w:rFonts w:ascii="Arial" w:hAnsi="Arial" w:cs="Arial"/>
          <w:sz w:val="21"/>
          <w:szCs w:val="21"/>
        </w:rPr>
        <w:t xml:space="preserve"> </w:t>
      </w:r>
      <w:r>
        <w:rPr>
          <w:rFonts w:ascii="Arial" w:hAnsi="Arial" w:cs="Arial"/>
          <w:sz w:val="21"/>
          <w:szCs w:val="21"/>
        </w:rPr>
        <w:t xml:space="preserve">stati solo in parte </w:t>
      </w:r>
      <w:r w:rsidRPr="001C3B24">
        <w:rPr>
          <w:rFonts w:ascii="Arial" w:hAnsi="Arial" w:cs="Arial"/>
          <w:sz w:val="21"/>
          <w:szCs w:val="21"/>
        </w:rPr>
        <w:t>compensat</w:t>
      </w:r>
      <w:r>
        <w:rPr>
          <w:rFonts w:ascii="Arial" w:hAnsi="Arial" w:cs="Arial"/>
          <w:sz w:val="21"/>
          <w:szCs w:val="21"/>
        </w:rPr>
        <w:t>i</w:t>
      </w:r>
      <w:r w:rsidRPr="001C3B24">
        <w:rPr>
          <w:rFonts w:ascii="Arial" w:hAnsi="Arial" w:cs="Arial"/>
          <w:sz w:val="21"/>
          <w:szCs w:val="21"/>
        </w:rPr>
        <w:t xml:space="preserve"> dalla </w:t>
      </w:r>
      <w:r>
        <w:rPr>
          <w:rFonts w:ascii="Arial" w:hAnsi="Arial" w:cs="Arial"/>
          <w:sz w:val="21"/>
          <w:szCs w:val="21"/>
        </w:rPr>
        <w:t>diminuzione</w:t>
      </w:r>
      <w:r w:rsidRPr="001C3B24">
        <w:rPr>
          <w:rFonts w:ascii="Arial" w:hAnsi="Arial" w:cs="Arial"/>
          <w:sz w:val="21"/>
          <w:szCs w:val="21"/>
        </w:rPr>
        <w:t xml:space="preserve"> dei prezzi de</w:t>
      </w:r>
      <w:r>
        <w:rPr>
          <w:rFonts w:ascii="Arial" w:hAnsi="Arial" w:cs="Arial"/>
          <w:sz w:val="21"/>
          <w:szCs w:val="21"/>
        </w:rPr>
        <w:t>gli Energetici, sia regolamentati (-3,</w:t>
      </w:r>
      <w:r w:rsidR="00F6771E">
        <w:rPr>
          <w:rFonts w:ascii="Arial" w:hAnsi="Arial" w:cs="Arial"/>
          <w:sz w:val="21"/>
          <w:szCs w:val="21"/>
        </w:rPr>
        <w:t>2</w:t>
      </w:r>
      <w:r>
        <w:rPr>
          <w:rFonts w:ascii="Arial" w:hAnsi="Arial" w:cs="Arial"/>
          <w:sz w:val="21"/>
          <w:szCs w:val="21"/>
        </w:rPr>
        <w:t>%) sia non regolamentati (-2,1%).</w:t>
      </w:r>
    </w:p>
    <w:p w:rsidR="002A59EC" w:rsidRPr="00214911" w:rsidRDefault="001D1334" w:rsidP="00F440A5">
      <w:pPr>
        <w:pStyle w:val="Paragrafoelenco"/>
        <w:widowControl/>
        <w:numPr>
          <w:ilvl w:val="0"/>
          <w:numId w:val="7"/>
        </w:numPr>
        <w:tabs>
          <w:tab w:val="left" w:pos="10206"/>
        </w:tabs>
        <w:overflowPunct/>
        <w:autoSpaceDE/>
        <w:autoSpaceDN/>
        <w:adjustRightInd/>
        <w:spacing w:before="0" w:line="230" w:lineRule="exact"/>
        <w:ind w:left="360" w:hanging="284"/>
        <w:contextualSpacing w:val="0"/>
        <w:jc w:val="both"/>
        <w:rPr>
          <w:rFonts w:ascii="Arial" w:hAnsi="Arial" w:cs="Arial"/>
          <w:sz w:val="21"/>
          <w:szCs w:val="21"/>
        </w:rPr>
      </w:pPr>
      <w:r w:rsidRPr="00AE406F">
        <w:rPr>
          <w:rFonts w:ascii="Arial" w:hAnsi="Arial" w:cs="Arial"/>
          <w:sz w:val="21"/>
          <w:szCs w:val="21"/>
        </w:rPr>
        <w:t xml:space="preserve">L’indice armonizzato </w:t>
      </w:r>
      <w:r w:rsidRPr="00356D88">
        <w:rPr>
          <w:rFonts w:ascii="Arial" w:hAnsi="Arial" w:cs="Arial"/>
          <w:sz w:val="21"/>
          <w:szCs w:val="21"/>
        </w:rPr>
        <w:t>dei prezzi al consumo (IPCA</w:t>
      </w:r>
      <w:r w:rsidR="00BF5150" w:rsidRPr="00356D88">
        <w:rPr>
          <w:rFonts w:ascii="Arial" w:hAnsi="Arial" w:cs="Arial"/>
          <w:sz w:val="21"/>
          <w:szCs w:val="21"/>
        </w:rPr>
        <w:t>)</w:t>
      </w:r>
      <w:r w:rsidR="00AE406F" w:rsidRPr="00356D88">
        <w:rPr>
          <w:rFonts w:ascii="Arial" w:hAnsi="Arial" w:cs="Arial"/>
          <w:sz w:val="21"/>
          <w:szCs w:val="21"/>
        </w:rPr>
        <w:t xml:space="preserve"> aumenta </w:t>
      </w:r>
      <w:r w:rsidR="00FB4168" w:rsidRPr="00356D88">
        <w:rPr>
          <w:rFonts w:ascii="Arial" w:hAnsi="Arial" w:cs="Arial"/>
          <w:sz w:val="21"/>
          <w:szCs w:val="21"/>
        </w:rPr>
        <w:t>dello 0,2% su base mensile e del</w:t>
      </w:r>
      <w:r w:rsidR="004549A2">
        <w:rPr>
          <w:rFonts w:ascii="Arial" w:hAnsi="Arial" w:cs="Arial"/>
          <w:sz w:val="21"/>
          <w:szCs w:val="21"/>
        </w:rPr>
        <w:t>lo</w:t>
      </w:r>
      <w:r w:rsidR="00FB4168" w:rsidRPr="00356D88">
        <w:rPr>
          <w:rFonts w:ascii="Arial" w:hAnsi="Arial" w:cs="Arial"/>
          <w:sz w:val="21"/>
          <w:szCs w:val="21"/>
        </w:rPr>
        <w:t xml:space="preserve"> </w:t>
      </w:r>
      <w:r w:rsidR="004549A2">
        <w:rPr>
          <w:rFonts w:ascii="Arial" w:hAnsi="Arial" w:cs="Arial"/>
          <w:sz w:val="21"/>
          <w:szCs w:val="21"/>
        </w:rPr>
        <w:t>0,5</w:t>
      </w:r>
      <w:r w:rsidR="00FB4168" w:rsidRPr="00356D88">
        <w:rPr>
          <w:rFonts w:ascii="Arial" w:hAnsi="Arial" w:cs="Arial"/>
          <w:sz w:val="21"/>
          <w:szCs w:val="21"/>
        </w:rPr>
        <w:t>% su base annua (da +</w:t>
      </w:r>
      <w:r w:rsidR="004549A2">
        <w:rPr>
          <w:rFonts w:ascii="Arial" w:hAnsi="Arial" w:cs="Arial"/>
          <w:sz w:val="21"/>
          <w:szCs w:val="21"/>
        </w:rPr>
        <w:t>0</w:t>
      </w:r>
      <w:r w:rsidR="00FB4168" w:rsidRPr="00356D88">
        <w:rPr>
          <w:rFonts w:ascii="Arial" w:hAnsi="Arial" w:cs="Arial"/>
          <w:sz w:val="21"/>
          <w:szCs w:val="21"/>
        </w:rPr>
        <w:t>,6% di novembre)</w:t>
      </w:r>
      <w:r w:rsidR="00BF5150" w:rsidRPr="00356D88">
        <w:rPr>
          <w:rFonts w:ascii="Arial" w:hAnsi="Arial" w:cs="Arial"/>
          <w:sz w:val="21"/>
          <w:szCs w:val="21"/>
        </w:rPr>
        <w:t>, confermando la sti</w:t>
      </w:r>
      <w:r w:rsidR="00AE406F" w:rsidRPr="00356D88">
        <w:rPr>
          <w:rFonts w:ascii="Arial" w:hAnsi="Arial" w:cs="Arial"/>
          <w:sz w:val="21"/>
          <w:szCs w:val="21"/>
        </w:rPr>
        <w:t>m</w:t>
      </w:r>
      <w:r w:rsidR="00BF5150" w:rsidRPr="00356D88">
        <w:rPr>
          <w:rFonts w:ascii="Arial" w:hAnsi="Arial" w:cs="Arial"/>
          <w:sz w:val="21"/>
          <w:szCs w:val="21"/>
        </w:rPr>
        <w:t>a</w:t>
      </w:r>
      <w:r w:rsidR="00AE406F" w:rsidRPr="00356D88">
        <w:rPr>
          <w:rFonts w:ascii="Arial" w:hAnsi="Arial" w:cs="Arial"/>
          <w:sz w:val="21"/>
          <w:szCs w:val="21"/>
        </w:rPr>
        <w:t xml:space="preserve"> preli</w:t>
      </w:r>
      <w:r w:rsidR="00BF5150" w:rsidRPr="00356D88">
        <w:rPr>
          <w:rFonts w:ascii="Arial" w:hAnsi="Arial" w:cs="Arial"/>
          <w:sz w:val="21"/>
          <w:szCs w:val="21"/>
        </w:rPr>
        <w:t>minare</w:t>
      </w:r>
      <w:r w:rsidR="00AE406F" w:rsidRPr="00356D88">
        <w:rPr>
          <w:rFonts w:ascii="Arial" w:hAnsi="Arial" w:cs="Arial"/>
          <w:sz w:val="21"/>
          <w:szCs w:val="21"/>
        </w:rPr>
        <w:t xml:space="preserve">. </w:t>
      </w:r>
      <w:r w:rsidR="00FB4168" w:rsidRPr="00356D88">
        <w:rPr>
          <w:rFonts w:ascii="Arial" w:hAnsi="Arial" w:cs="Arial"/>
          <w:sz w:val="21"/>
          <w:szCs w:val="21"/>
        </w:rPr>
        <w:t>La</w:t>
      </w:r>
      <w:r w:rsidR="004549A2">
        <w:rPr>
          <w:rFonts w:ascii="Arial" w:hAnsi="Arial" w:cs="Arial"/>
          <w:sz w:val="21"/>
          <w:szCs w:val="21"/>
        </w:rPr>
        <w:t xml:space="preserve"> sua variazione media annua del 2023</w:t>
      </w:r>
      <w:r w:rsidR="00FB4168" w:rsidRPr="00356D88">
        <w:rPr>
          <w:rFonts w:ascii="Arial" w:hAnsi="Arial" w:cs="Arial"/>
          <w:sz w:val="21"/>
          <w:szCs w:val="21"/>
        </w:rPr>
        <w:t xml:space="preserve"> è pari a +</w:t>
      </w:r>
      <w:r w:rsidR="004549A2">
        <w:rPr>
          <w:rFonts w:ascii="Arial" w:hAnsi="Arial" w:cs="Arial"/>
          <w:sz w:val="21"/>
          <w:szCs w:val="21"/>
        </w:rPr>
        <w:t>5,9</w:t>
      </w:r>
      <w:r w:rsidR="00FB4168" w:rsidRPr="00356D88">
        <w:rPr>
          <w:rFonts w:ascii="Arial" w:hAnsi="Arial" w:cs="Arial"/>
          <w:sz w:val="21"/>
          <w:szCs w:val="21"/>
        </w:rPr>
        <w:t xml:space="preserve">% </w:t>
      </w:r>
      <w:r w:rsidR="004549A2" w:rsidRPr="00BD7D03">
        <w:rPr>
          <w:rFonts w:ascii="Arial" w:hAnsi="Arial" w:cs="Arial"/>
          <w:sz w:val="21"/>
          <w:szCs w:val="21"/>
        </w:rPr>
        <w:t>(</w:t>
      </w:r>
      <w:r w:rsidR="004549A2">
        <w:rPr>
          <w:rFonts w:ascii="Arial" w:hAnsi="Arial" w:cs="Arial"/>
          <w:sz w:val="21"/>
          <w:szCs w:val="21"/>
        </w:rPr>
        <w:t>+8,7% nel 2022</w:t>
      </w:r>
      <w:r w:rsidR="00FB4168" w:rsidRPr="00356D88">
        <w:rPr>
          <w:rFonts w:ascii="Arial" w:hAnsi="Arial" w:cs="Arial"/>
          <w:sz w:val="21"/>
          <w:szCs w:val="21"/>
        </w:rPr>
        <w:t>)</w:t>
      </w:r>
      <w:r w:rsidR="00AE406F" w:rsidRPr="00356D88">
        <w:rPr>
          <w:rFonts w:ascii="Arial" w:hAnsi="Arial" w:cs="Arial"/>
          <w:sz w:val="21"/>
          <w:szCs w:val="21"/>
        </w:rPr>
        <w:t xml:space="preserve">. </w:t>
      </w:r>
      <w:r w:rsidR="002A59EC" w:rsidRPr="00214911">
        <w:rPr>
          <w:rFonts w:ascii="Arial" w:hAnsi="Arial" w:cs="Arial"/>
          <w:i/>
          <w:sz w:val="21"/>
          <w:szCs w:val="21"/>
        </w:rPr>
        <w:t>Per i dati annuali cfr. pag. 14.</w:t>
      </w:r>
    </w:p>
    <w:p w:rsidR="00107057" w:rsidRPr="00214911" w:rsidRDefault="00023424" w:rsidP="00F440A5">
      <w:pPr>
        <w:pStyle w:val="Paragrafoelenco"/>
        <w:widowControl/>
        <w:numPr>
          <w:ilvl w:val="0"/>
          <w:numId w:val="7"/>
        </w:numPr>
        <w:tabs>
          <w:tab w:val="left" w:pos="10206"/>
        </w:tabs>
        <w:overflowPunct/>
        <w:autoSpaceDE/>
        <w:autoSpaceDN/>
        <w:adjustRightInd/>
        <w:spacing w:before="0" w:line="230" w:lineRule="exact"/>
        <w:ind w:left="360" w:hanging="357"/>
        <w:contextualSpacing w:val="0"/>
        <w:jc w:val="both"/>
        <w:rPr>
          <w:rFonts w:ascii="Arial" w:hAnsi="Arial" w:cs="Arial"/>
          <w:sz w:val="16"/>
          <w:szCs w:val="21"/>
        </w:rPr>
      </w:pPr>
      <w:r w:rsidRPr="00214911">
        <w:rPr>
          <w:rFonts w:ascii="Arial" w:hAnsi="Arial" w:cs="Arial"/>
          <w:iCs/>
          <w:sz w:val="21"/>
          <w:szCs w:val="21"/>
        </w:rPr>
        <w:t>L’indice nazionale dei prezzi al consumo per le famiglie di operai e impiegati (FOI), al netto</w:t>
      </w:r>
      <w:r w:rsidR="00156390" w:rsidRPr="00214911">
        <w:rPr>
          <w:rFonts w:ascii="Arial" w:hAnsi="Arial" w:cs="Arial"/>
          <w:iCs/>
          <w:sz w:val="21"/>
          <w:szCs w:val="21"/>
        </w:rPr>
        <w:t xml:space="preserve"> dei tabacchi, </w:t>
      </w:r>
      <w:r w:rsidR="003C2F54" w:rsidRPr="00214911">
        <w:rPr>
          <w:rFonts w:ascii="Arial" w:hAnsi="Arial" w:cs="Arial"/>
          <w:iCs/>
          <w:sz w:val="21"/>
          <w:szCs w:val="21"/>
        </w:rPr>
        <w:t>aumenta</w:t>
      </w:r>
      <w:r w:rsidR="00CE0442" w:rsidRPr="00214911">
        <w:rPr>
          <w:rFonts w:ascii="Arial" w:hAnsi="Arial" w:cs="Arial"/>
          <w:iCs/>
          <w:sz w:val="21"/>
          <w:szCs w:val="21"/>
        </w:rPr>
        <w:t xml:space="preserve"> </w:t>
      </w:r>
      <w:r w:rsidR="009F318D" w:rsidRPr="00214911">
        <w:rPr>
          <w:rFonts w:ascii="Arial" w:hAnsi="Arial" w:cs="Arial"/>
          <w:iCs/>
          <w:sz w:val="21"/>
          <w:szCs w:val="21"/>
        </w:rPr>
        <w:t>dello 0,</w:t>
      </w:r>
      <w:r w:rsidR="006F4FA3">
        <w:rPr>
          <w:rFonts w:ascii="Arial" w:hAnsi="Arial" w:cs="Arial"/>
          <w:iCs/>
          <w:sz w:val="21"/>
          <w:szCs w:val="21"/>
        </w:rPr>
        <w:t>2</w:t>
      </w:r>
      <w:r w:rsidR="0082445B" w:rsidRPr="00214911">
        <w:rPr>
          <w:rFonts w:ascii="Arial" w:hAnsi="Arial" w:cs="Arial"/>
          <w:iCs/>
          <w:sz w:val="21"/>
          <w:szCs w:val="21"/>
        </w:rPr>
        <w:t>%</w:t>
      </w:r>
      <w:r w:rsidR="004018F1" w:rsidRPr="00214911">
        <w:rPr>
          <w:rFonts w:ascii="Arial" w:hAnsi="Arial" w:cs="Arial"/>
          <w:iCs/>
          <w:sz w:val="21"/>
          <w:szCs w:val="21"/>
        </w:rPr>
        <w:t xml:space="preserve"> </w:t>
      </w:r>
      <w:r w:rsidRPr="00214911">
        <w:rPr>
          <w:rFonts w:ascii="Arial" w:hAnsi="Arial" w:cs="Arial"/>
          <w:iCs/>
          <w:sz w:val="21"/>
          <w:szCs w:val="21"/>
        </w:rPr>
        <w:t>su base mensile e del</w:t>
      </w:r>
      <w:r w:rsidR="006F4FA3">
        <w:rPr>
          <w:rFonts w:ascii="Arial" w:hAnsi="Arial" w:cs="Arial"/>
          <w:iCs/>
          <w:sz w:val="21"/>
          <w:szCs w:val="21"/>
        </w:rPr>
        <w:t>lo</w:t>
      </w:r>
      <w:r w:rsidR="00BF5150" w:rsidRPr="00214911">
        <w:rPr>
          <w:rFonts w:ascii="Arial" w:hAnsi="Arial" w:cs="Arial"/>
          <w:iCs/>
          <w:sz w:val="21"/>
          <w:szCs w:val="21"/>
        </w:rPr>
        <w:t xml:space="preserve"> </w:t>
      </w:r>
      <w:r w:rsidR="006F4FA3">
        <w:rPr>
          <w:rFonts w:ascii="Arial" w:hAnsi="Arial" w:cs="Arial"/>
          <w:iCs/>
          <w:sz w:val="21"/>
          <w:szCs w:val="21"/>
        </w:rPr>
        <w:t>0,6</w:t>
      </w:r>
      <w:r w:rsidRPr="00214911">
        <w:rPr>
          <w:rFonts w:ascii="Arial" w:hAnsi="Arial" w:cs="Arial"/>
          <w:iCs/>
          <w:sz w:val="21"/>
          <w:szCs w:val="21"/>
        </w:rPr>
        <w:t>% rispetto a</w:t>
      </w:r>
      <w:r w:rsidR="004018F1" w:rsidRPr="00214911">
        <w:rPr>
          <w:rFonts w:ascii="Arial" w:hAnsi="Arial" w:cs="Arial"/>
          <w:iCs/>
          <w:sz w:val="21"/>
          <w:szCs w:val="21"/>
        </w:rPr>
        <w:t xml:space="preserve"> </w:t>
      </w:r>
      <w:r w:rsidR="009F318D" w:rsidRPr="00214911">
        <w:rPr>
          <w:rFonts w:ascii="Arial" w:hAnsi="Arial" w:cs="Arial"/>
          <w:iCs/>
          <w:sz w:val="21"/>
          <w:szCs w:val="21"/>
        </w:rPr>
        <w:t>dicembre</w:t>
      </w:r>
      <w:r w:rsidR="00BF5150" w:rsidRPr="00214911">
        <w:rPr>
          <w:rFonts w:ascii="Arial" w:hAnsi="Arial" w:cs="Arial"/>
          <w:iCs/>
          <w:sz w:val="21"/>
          <w:szCs w:val="21"/>
        </w:rPr>
        <w:t xml:space="preserve"> 202</w:t>
      </w:r>
      <w:r w:rsidR="006F4FA3">
        <w:rPr>
          <w:rFonts w:ascii="Arial" w:hAnsi="Arial" w:cs="Arial"/>
          <w:iCs/>
          <w:sz w:val="21"/>
          <w:szCs w:val="21"/>
        </w:rPr>
        <w:t>2</w:t>
      </w:r>
      <w:r w:rsidRPr="00214911">
        <w:rPr>
          <w:rFonts w:ascii="Arial" w:hAnsi="Arial" w:cs="Arial"/>
          <w:iCs/>
          <w:sz w:val="21"/>
          <w:szCs w:val="21"/>
        </w:rPr>
        <w:t>.</w:t>
      </w:r>
      <w:r w:rsidR="00F55E9A" w:rsidRPr="00214911">
        <w:rPr>
          <w:rFonts w:ascii="Arial" w:hAnsi="Arial" w:cs="Arial"/>
          <w:iCs/>
          <w:sz w:val="21"/>
          <w:szCs w:val="21"/>
        </w:rPr>
        <w:t xml:space="preserve"> </w:t>
      </w:r>
      <w:r w:rsidR="00F55E9A" w:rsidRPr="00214911">
        <w:rPr>
          <w:rFonts w:ascii="Arial" w:hAnsi="Arial" w:cs="Arial"/>
          <w:sz w:val="21"/>
          <w:szCs w:val="21"/>
        </w:rPr>
        <w:t>La variazione me</w:t>
      </w:r>
      <w:r w:rsidR="006F4FA3">
        <w:rPr>
          <w:rFonts w:ascii="Arial" w:hAnsi="Arial" w:cs="Arial"/>
          <w:sz w:val="21"/>
          <w:szCs w:val="21"/>
        </w:rPr>
        <w:t xml:space="preserve">dia annua del </w:t>
      </w:r>
      <w:r w:rsidR="006F4FA3" w:rsidRPr="00214911">
        <w:rPr>
          <w:rFonts w:ascii="Arial" w:hAnsi="Arial" w:cs="Arial"/>
          <w:iCs/>
          <w:sz w:val="21"/>
          <w:szCs w:val="21"/>
        </w:rPr>
        <w:t>(FOI), al netto dei tabacchi,</w:t>
      </w:r>
      <w:r w:rsidR="006F4FA3">
        <w:rPr>
          <w:rFonts w:ascii="Arial" w:hAnsi="Arial" w:cs="Arial"/>
          <w:iCs/>
          <w:sz w:val="21"/>
          <w:szCs w:val="21"/>
        </w:rPr>
        <w:t xml:space="preserve"> del </w:t>
      </w:r>
      <w:r w:rsidR="006F4FA3">
        <w:rPr>
          <w:rFonts w:ascii="Arial" w:hAnsi="Arial" w:cs="Arial"/>
          <w:sz w:val="21"/>
          <w:szCs w:val="21"/>
        </w:rPr>
        <w:t>2023</w:t>
      </w:r>
      <w:r w:rsidR="00D92675" w:rsidRPr="00214911">
        <w:rPr>
          <w:rFonts w:ascii="Arial" w:hAnsi="Arial" w:cs="Arial"/>
          <w:sz w:val="21"/>
          <w:szCs w:val="21"/>
        </w:rPr>
        <w:t xml:space="preserve"> è pari a </w:t>
      </w:r>
      <w:r w:rsidR="00BF5150" w:rsidRPr="00214911">
        <w:rPr>
          <w:rFonts w:ascii="Arial" w:hAnsi="Arial" w:cs="Arial"/>
          <w:sz w:val="21"/>
          <w:szCs w:val="21"/>
        </w:rPr>
        <w:t>+</w:t>
      </w:r>
      <w:r w:rsidR="00454712">
        <w:rPr>
          <w:rFonts w:ascii="Arial" w:hAnsi="Arial" w:cs="Arial"/>
          <w:sz w:val="21"/>
          <w:szCs w:val="21"/>
        </w:rPr>
        <w:t>5,4</w:t>
      </w:r>
      <w:r w:rsidR="00F55E9A" w:rsidRPr="00214911">
        <w:rPr>
          <w:rFonts w:ascii="Arial" w:hAnsi="Arial" w:cs="Arial"/>
          <w:sz w:val="21"/>
          <w:szCs w:val="21"/>
        </w:rPr>
        <w:t>% (</w:t>
      </w:r>
      <w:r w:rsidR="00CE0442" w:rsidRPr="00214911">
        <w:rPr>
          <w:rFonts w:ascii="Arial" w:hAnsi="Arial" w:cs="Arial"/>
          <w:sz w:val="21"/>
          <w:szCs w:val="21"/>
        </w:rPr>
        <w:t xml:space="preserve">era </w:t>
      </w:r>
      <w:r w:rsidR="00454712">
        <w:rPr>
          <w:rFonts w:ascii="Arial" w:hAnsi="Arial" w:cs="Arial"/>
          <w:sz w:val="21"/>
          <w:szCs w:val="21"/>
        </w:rPr>
        <w:t>+8,1</w:t>
      </w:r>
      <w:r w:rsidR="00CE0442" w:rsidRPr="00214911">
        <w:rPr>
          <w:rFonts w:ascii="Arial" w:hAnsi="Arial" w:cs="Arial"/>
          <w:sz w:val="21"/>
          <w:szCs w:val="21"/>
        </w:rPr>
        <w:t>% n</w:t>
      </w:r>
      <w:r w:rsidR="00BF5150" w:rsidRPr="00214911">
        <w:rPr>
          <w:rFonts w:ascii="Arial" w:hAnsi="Arial" w:cs="Arial"/>
          <w:sz w:val="21"/>
          <w:szCs w:val="21"/>
        </w:rPr>
        <w:t>el 202</w:t>
      </w:r>
      <w:r w:rsidR="00454712">
        <w:rPr>
          <w:rFonts w:ascii="Arial" w:hAnsi="Arial" w:cs="Arial"/>
          <w:sz w:val="21"/>
          <w:szCs w:val="21"/>
        </w:rPr>
        <w:t>2</w:t>
      </w:r>
      <w:r w:rsidR="00F55E9A" w:rsidRPr="00214911">
        <w:rPr>
          <w:rFonts w:ascii="Arial" w:hAnsi="Arial" w:cs="Arial"/>
          <w:sz w:val="21"/>
          <w:szCs w:val="21"/>
        </w:rPr>
        <w:t>).</w:t>
      </w:r>
    </w:p>
    <w:p w:rsidR="00E0420A" w:rsidRPr="00214911" w:rsidRDefault="00265663" w:rsidP="00BF3917">
      <w:pPr>
        <w:pStyle w:val="Paragrafoelenco"/>
        <w:widowControl/>
        <w:numPr>
          <w:ilvl w:val="0"/>
          <w:numId w:val="7"/>
        </w:numPr>
        <w:tabs>
          <w:tab w:val="left" w:pos="10206"/>
        </w:tabs>
        <w:overflowPunct/>
        <w:autoSpaceDE/>
        <w:autoSpaceDN/>
        <w:adjustRightInd/>
        <w:spacing w:before="0" w:line="230" w:lineRule="exact"/>
        <w:ind w:left="360"/>
        <w:contextualSpacing w:val="0"/>
        <w:jc w:val="both"/>
        <w:rPr>
          <w:rFonts w:ascii="Arial" w:hAnsi="Arial" w:cs="Arial"/>
          <w:sz w:val="21"/>
          <w:szCs w:val="21"/>
        </w:rPr>
      </w:pPr>
      <w:r w:rsidRPr="00214911">
        <w:rPr>
          <w:rFonts w:ascii="Arial" w:hAnsi="Arial" w:cs="Arial"/>
          <w:iCs/>
          <w:sz w:val="21"/>
          <w:szCs w:val="21"/>
        </w:rPr>
        <w:t>Nel 202</w:t>
      </w:r>
      <w:r w:rsidR="00E151AF">
        <w:rPr>
          <w:rFonts w:ascii="Arial" w:hAnsi="Arial" w:cs="Arial"/>
          <w:iCs/>
          <w:sz w:val="21"/>
          <w:szCs w:val="21"/>
        </w:rPr>
        <w:t>3</w:t>
      </w:r>
      <w:r w:rsidRPr="00214911">
        <w:rPr>
          <w:rFonts w:ascii="Arial" w:hAnsi="Arial" w:cs="Arial"/>
          <w:iCs/>
          <w:sz w:val="21"/>
          <w:szCs w:val="21"/>
        </w:rPr>
        <w:t xml:space="preserve"> l’impatto dell’inflazione, misurata dall’IPCA, è più ampio sulle famiglie con</w:t>
      </w:r>
      <w:r w:rsidR="00CC1154">
        <w:rPr>
          <w:rFonts w:ascii="Arial" w:hAnsi="Arial" w:cs="Arial"/>
          <w:iCs/>
          <w:sz w:val="21"/>
          <w:szCs w:val="21"/>
        </w:rPr>
        <w:t xml:space="preserve"> minore capacità di spesa (+6,5</w:t>
      </w:r>
      <w:r w:rsidRPr="00214911">
        <w:rPr>
          <w:rFonts w:ascii="Arial" w:hAnsi="Arial" w:cs="Arial"/>
          <w:iCs/>
          <w:sz w:val="21"/>
          <w:szCs w:val="21"/>
        </w:rPr>
        <w:t>%; +</w:t>
      </w:r>
      <w:r w:rsidR="00CC1154">
        <w:rPr>
          <w:rFonts w:ascii="Arial" w:hAnsi="Arial" w:cs="Arial"/>
          <w:iCs/>
          <w:sz w:val="21"/>
          <w:szCs w:val="21"/>
        </w:rPr>
        <w:t>5,7</w:t>
      </w:r>
      <w:r w:rsidRPr="00214911">
        <w:rPr>
          <w:rFonts w:ascii="Arial" w:hAnsi="Arial" w:cs="Arial"/>
          <w:iCs/>
          <w:sz w:val="21"/>
          <w:szCs w:val="21"/>
        </w:rPr>
        <w:t>% per quelle con maggiore capacità di spesa).</w:t>
      </w:r>
      <w:r w:rsidR="009477E4" w:rsidRPr="00214911">
        <w:rPr>
          <w:rFonts w:ascii="Arial" w:hAnsi="Arial" w:cs="Arial"/>
          <w:iCs/>
          <w:sz w:val="21"/>
          <w:szCs w:val="21"/>
        </w:rPr>
        <w:t xml:space="preserve"> </w:t>
      </w:r>
      <w:r w:rsidR="009477E4" w:rsidRPr="00214911">
        <w:rPr>
          <w:rFonts w:ascii="Arial" w:hAnsi="Arial" w:cs="Arial"/>
          <w:i/>
          <w:sz w:val="21"/>
          <w:szCs w:val="21"/>
        </w:rPr>
        <w:t>Per l’</w:t>
      </w:r>
      <w:r w:rsidR="009477E4" w:rsidRPr="00214911">
        <w:rPr>
          <w:rFonts w:ascii="Arial" w:hAnsi="Arial" w:cs="Arial"/>
          <w:i/>
          <w:iCs/>
          <w:sz w:val="21"/>
          <w:szCs w:val="21"/>
        </w:rPr>
        <w:t>approfondimento cfr. pag. 1</w:t>
      </w:r>
      <w:r w:rsidR="00DA3DE4" w:rsidRPr="00214911">
        <w:rPr>
          <w:rFonts w:ascii="Arial" w:hAnsi="Arial" w:cs="Arial"/>
          <w:i/>
          <w:iCs/>
          <w:sz w:val="21"/>
          <w:szCs w:val="21"/>
        </w:rPr>
        <w:t>6</w:t>
      </w:r>
      <w:r w:rsidR="009477E4" w:rsidRPr="00214911">
        <w:rPr>
          <w:rFonts w:ascii="Arial" w:hAnsi="Arial" w:cs="Arial"/>
          <w:iCs/>
          <w:sz w:val="21"/>
          <w:szCs w:val="21"/>
        </w:rPr>
        <w:t>.</w:t>
      </w:r>
    </w:p>
    <w:p w:rsidR="000B563F" w:rsidRPr="000B563F" w:rsidRDefault="000B563F" w:rsidP="000B563F">
      <w:pPr>
        <w:widowControl/>
        <w:tabs>
          <w:tab w:val="left" w:pos="10206"/>
        </w:tabs>
        <w:overflowPunct/>
        <w:autoSpaceDE/>
        <w:autoSpaceDN/>
        <w:adjustRightInd/>
        <w:spacing w:before="0" w:after="0" w:line="230" w:lineRule="exact"/>
        <w:jc w:val="both"/>
        <w:rPr>
          <w:rFonts w:ascii="Arial" w:hAnsi="Arial" w:cs="Arial"/>
          <w:sz w:val="18"/>
          <w:szCs w:val="21"/>
        </w:rPr>
      </w:pPr>
      <w:r>
        <w:rPr>
          <w:rFonts w:ascii="Calibri" w:hAnsi="Calibri" w:cs="Arial"/>
          <w:b/>
          <w:noProof/>
          <w:color w:val="FFFFFF"/>
          <w:sz w:val="28"/>
          <w:szCs w:val="28"/>
        </w:rPr>
        <w:drawing>
          <wp:anchor distT="0" distB="0" distL="114300" distR="114300" simplePos="0" relativeHeight="251658240" behindDoc="0" locked="0" layoutInCell="1" allowOverlap="1" wp14:anchorId="56B644C5" wp14:editId="2979235E">
            <wp:simplePos x="0" y="0"/>
            <wp:positionH relativeFrom="column">
              <wp:posOffset>6108589</wp:posOffset>
            </wp:positionH>
            <wp:positionV relativeFrom="paragraph">
              <wp:posOffset>2034098</wp:posOffset>
            </wp:positionV>
            <wp:extent cx="638175" cy="619125"/>
            <wp:effectExtent l="0" t="0" r="0" b="0"/>
            <wp:wrapNone/>
            <wp:docPr id="29" name="Immagine 8" descr="Descrizione: iconeComunicati-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8" descr="Descrizione: iconeComunicati-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6"/>
        <w:gridCol w:w="3290"/>
      </w:tblGrid>
      <w:tr w:rsidR="00F55E9A" w:rsidRPr="002578CE" w:rsidTr="00F527D6">
        <w:trPr>
          <w:trHeight w:val="115"/>
        </w:trPr>
        <w:tc>
          <w:tcPr>
            <w:tcW w:w="6916" w:type="dxa"/>
            <w:vMerge w:val="restart"/>
            <w:tcBorders>
              <w:top w:val="nil"/>
              <w:left w:val="single" w:sz="4" w:space="0" w:color="FFFFFF"/>
              <w:right w:val="single" w:sz="48" w:space="0" w:color="FFFFFF"/>
            </w:tcBorders>
            <w:shd w:val="clear" w:color="auto" w:fill="D9D9D9"/>
          </w:tcPr>
          <w:p w:rsidR="00F55E9A" w:rsidRPr="004A3353" w:rsidRDefault="000B563F" w:rsidP="00F527D6">
            <w:pPr>
              <w:pStyle w:val="Paragrafobase"/>
              <w:spacing w:before="120" w:line="140" w:lineRule="atLeast"/>
              <w:rPr>
                <w:rFonts w:ascii="Calibri" w:hAnsi="Calibri" w:cs="Arial"/>
                <w:color w:val="E42618"/>
                <w:sz w:val="56"/>
                <w:szCs w:val="56"/>
              </w:rPr>
            </w:pPr>
            <w:r w:rsidRPr="00394791">
              <w:rPr>
                <w:noProof/>
                <w:highlight w:val="yellow"/>
              </w:rPr>
              <w:drawing>
                <wp:anchor distT="0" distB="0" distL="114300" distR="114300" simplePos="0" relativeHeight="251656192" behindDoc="0" locked="0" layoutInCell="1" allowOverlap="1" wp14:anchorId="629C7890" wp14:editId="27CA0973">
                  <wp:simplePos x="0" y="0"/>
                  <wp:positionH relativeFrom="column">
                    <wp:posOffset>-352149</wp:posOffset>
                  </wp:positionH>
                  <wp:positionV relativeFrom="paragraph">
                    <wp:posOffset>-174874</wp:posOffset>
                  </wp:positionV>
                  <wp:extent cx="929005" cy="929005"/>
                  <wp:effectExtent l="0" t="0" r="4445" b="4445"/>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9005" cy="929005"/>
                          </a:xfrm>
                          <a:prstGeom prst="rect">
                            <a:avLst/>
                          </a:prstGeom>
                          <a:noFill/>
                        </pic:spPr>
                      </pic:pic>
                    </a:graphicData>
                  </a:graphic>
                  <wp14:sizeRelV relativeFrom="margin">
                    <wp14:pctHeight>0</wp14:pctHeight>
                  </wp14:sizeRelV>
                </wp:anchor>
              </w:drawing>
            </w:r>
            <w:r w:rsidR="00F55E9A">
              <w:rPr>
                <w:noProof/>
              </w:rPr>
              <w:drawing>
                <wp:anchor distT="0" distB="0" distL="114300" distR="114300" simplePos="0" relativeHeight="251662336" behindDoc="0" locked="0" layoutInCell="1" allowOverlap="1" wp14:anchorId="7F34D280" wp14:editId="287C7AF4">
                  <wp:simplePos x="0" y="0"/>
                  <wp:positionH relativeFrom="column">
                    <wp:posOffset>398145</wp:posOffset>
                  </wp:positionH>
                  <wp:positionV relativeFrom="paragraph">
                    <wp:posOffset>6514465</wp:posOffset>
                  </wp:positionV>
                  <wp:extent cx="920750" cy="920750"/>
                  <wp:effectExtent l="0" t="0" r="0" b="0"/>
                  <wp:wrapNone/>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anchor>
              </w:drawing>
            </w:r>
            <w:r w:rsidR="00F55E9A">
              <w:rPr>
                <w:rFonts w:ascii="Arial" w:hAnsi="Arial" w:cs="Arial"/>
                <w:iCs/>
                <w:noProof/>
                <w:sz w:val="21"/>
                <w:szCs w:val="21"/>
              </w:rPr>
              <w:drawing>
                <wp:anchor distT="0" distB="0" distL="114300" distR="114300" simplePos="0" relativeHeight="251661312" behindDoc="0" locked="0" layoutInCell="1" allowOverlap="1" wp14:anchorId="4A859F42" wp14:editId="033B7ECC">
                  <wp:simplePos x="0" y="0"/>
                  <wp:positionH relativeFrom="column">
                    <wp:posOffset>398145</wp:posOffset>
                  </wp:positionH>
                  <wp:positionV relativeFrom="paragraph">
                    <wp:posOffset>6514465</wp:posOffset>
                  </wp:positionV>
                  <wp:extent cx="920750" cy="920750"/>
                  <wp:effectExtent l="0" t="0" r="0" b="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anchor>
              </w:drawing>
            </w:r>
            <w:r w:rsidR="00F55E9A">
              <w:rPr>
                <w:rFonts w:ascii="Arial" w:hAnsi="Arial" w:cs="Arial"/>
                <w:noProof/>
                <w:color w:val="E42618"/>
                <w:sz w:val="22"/>
                <w:szCs w:val="22"/>
              </w:rPr>
              <w:drawing>
                <wp:anchor distT="0" distB="0" distL="114300" distR="114300" simplePos="0" relativeHeight="251660288" behindDoc="0" locked="0" layoutInCell="1" allowOverlap="1" wp14:anchorId="1C7C0718" wp14:editId="5D28D2ED">
                  <wp:simplePos x="0" y="0"/>
                  <wp:positionH relativeFrom="column">
                    <wp:posOffset>398145</wp:posOffset>
                  </wp:positionH>
                  <wp:positionV relativeFrom="paragraph">
                    <wp:posOffset>6514465</wp:posOffset>
                  </wp:positionV>
                  <wp:extent cx="920750" cy="920750"/>
                  <wp:effectExtent l="0" t="0" r="0" b="0"/>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750" cy="920750"/>
                          </a:xfrm>
                          <a:prstGeom prst="rect">
                            <a:avLst/>
                          </a:prstGeom>
                          <a:noFill/>
                        </pic:spPr>
                      </pic:pic>
                    </a:graphicData>
                  </a:graphic>
                </wp:anchor>
              </w:drawing>
            </w:r>
            <w:r w:rsidR="00534712">
              <w:rPr>
                <w:rFonts w:ascii="Arial" w:hAnsi="Arial" w:cs="Arial"/>
                <w:noProof/>
                <w:color w:val="E42618"/>
                <w:sz w:val="22"/>
                <w:szCs w:val="22"/>
              </w:rPr>
              <mc:AlternateContent>
                <mc:Choice Requires="wpg">
                  <w:drawing>
                    <wp:anchor distT="0" distB="0" distL="114300" distR="114300" simplePos="0" relativeHeight="251657216" behindDoc="0" locked="0" layoutInCell="1" allowOverlap="1">
                      <wp:simplePos x="0" y="0"/>
                      <wp:positionH relativeFrom="column">
                        <wp:posOffset>403225</wp:posOffset>
                      </wp:positionH>
                      <wp:positionV relativeFrom="paragraph">
                        <wp:posOffset>6517005</wp:posOffset>
                      </wp:positionV>
                      <wp:extent cx="6760210" cy="3480435"/>
                      <wp:effectExtent l="0" t="0" r="2540" b="5715"/>
                      <wp:wrapNone/>
                      <wp:docPr id="11" name="Grup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3480435"/>
                                <a:chOff x="635" y="10263"/>
                                <a:chExt cx="10646" cy="5481"/>
                              </a:xfrm>
                            </wpg:grpSpPr>
                            <pic:pic xmlns:pic="http://schemas.openxmlformats.org/drawingml/2006/picture">
                              <pic:nvPicPr>
                                <pic:cNvPr id="12" name="Immagine 9" descr="Descrizione: iconeComunicati-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261" y="11995"/>
                                  <a:ext cx="1020"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Immagine 8" descr="Descrizione: iconeComunicati-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271" y="14769"/>
                                  <a:ext cx="1005"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Immagine 2" descr="Descrizione: iconeComunicati-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35" y="10263"/>
                                  <a:ext cx="1410"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Immagine 3" descr="Descrizione: iconeComunicati-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246" y="10525"/>
                                  <a:ext cx="1035"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DAA9C6" id="Gruppo 11" o:spid="_x0000_s1026" style="position:absolute;margin-left:31.75pt;margin-top:513.15pt;width:532.3pt;height:274.05pt;z-index:251657216" coordorigin="635,10263" coordsize="10646,5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IUkYwQAAMEYAAAOAAAAZHJzL2Uyb0RvYy54bWzsWW1vozgQ/n7S/QfE&#10;dxpDCATUZNWGpFqpd1fd7v0Ax5jEWsDIdpr2Vvffb8ZA3lqp1a7uw1VUSmJsGGaeZ+ZhcK8/PVWl&#10;88iVFrKeuf4VcR1eM5mLejNz//q68qauow2tc1rKms/cZ67dT/Nff7neNykP5FaWOVcOGKl1um9m&#10;7taYJh2NNNvyiuor2fAaFgupKmrgUG1GuaJ7sF6Vo4CQaLSXKm+UZFxrmM3aRXdu7RcFZ+aPotDc&#10;OOXMBd+M/Vb2e43fo/k1TTeKNlvBOjfoD3hRUVHDTQ+mMmqos1PihalKMCW1LMwVk9VIFoVg3MYA&#10;0fjkIpo7JXeNjWWT7jfNASaA9gKnHzbLfn98UI7IgTvfdWpaAUd3atc00oEJQGffbFI46U41X5oH&#10;1YYIw3vJvmlYHl2u4/GmPdlZ73+TORikOyMtOk+FqtAExO08WRKeDyTwJ+MwmIziiAQ+cMVgbRxO&#10;STietDSxLXCJ10Uw48CqT4Jo3K8tu+t9EoVRe/UknNoYRjRt72y97bybXzeCpfDpYIXRC1jfTj+4&#10;yuwUdzsj1btsVFR92zUeZEBDjViLUphnm80AEjpVPz4IhmDjwQlDQc/Q56qiG1FzJ3GdnGsGCZ3h&#10;j/gbypCnjmDws5DVrhYM7uARi1JvrbVNMXZLo1PLxZbWG36jGygYwBXu008pJfdbTnON00j4uRV7&#10;eObvuhTNSpQl8ozjDhlw8SJnXwG3rYdMsl3Fa9MWuOIlhCBrvRWNdh2V8mrNIV/V59y3SQWJc68N&#10;3g5TyBbd92B6Q0gS3HqLCVl4IYmX3k0Sxl5MlnFIIC0W/uIfvNoP053mAAMts0Z0vsLsC29frbBO&#10;i9ratRrgPFKrNIiUdaj/tS7CFEKCvmrF/gSw4TwYG8UN2+KwAOS6eTj5sGBhPiKLHGgoxzcrDCsE&#10;2MRa8ZOkq6O+0mCxK7MksUp4qBPIDaXNHZeVgwMAG1y1YNNHCKQNrj8F3a4lUm6DKeuzCbDZzrxG&#10;U0KS5XQ5Db0wiJZAU5Z5N6tF6EUrP55k42yxyPyepq3Ic17jbX6eJQu6LEXeJ6pWm/WiVC17K/tn&#10;kx0oOJ42wmw5utEzi8aOmZf4QUhug8RbRdPYC1fhxEtiMvWIn9wmEQmTMFudh3SPhdw+AX8m8fYz&#10;N5kEE8vSidOYaSexEfv3MjaaVsLAk7gU1cydHk6iKdb+ss4ttYaKsh2fQIHuH6EAunuibc5ilsIq&#10;Jix8/oeaCxXSPhUPmgsdzbs0N0KUz9XyA2huYBOs5/g08wfNbbsTkNW409wwjhLMghYm7G58QqB3&#10;wdYmia0cD5prn5iD5g6ae3gTga72QnOh832X5gYfUnPHg+a+8Sb5yhshtmRWccP+ZdLHEajxILmD&#10;5A5t7tnWAr4IXkju+J2Sa7uYD9fmhoPkviG50ObiPpvdhsP3zos2F7fosM21De8gusPewn+/t2B3&#10;d2Gf3D7huz193Ig/PYbx6X8e5v8C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AOiXIR4wAAAA0BAAAPAAAAZHJzL2Rvd25yZXYueG1sTI9N&#10;S8NAEIbvgv9hGcGb3WzSxBKzKaWopyLYCuJtm50modndkN0m6b93etLbfDy880yxnk3HRhx866wE&#10;sYiAoa2cbm0t4evw9rQC5oOyWnXOooQreliX93eFyrWb7CeO+1AzCrE+VxKaEPqcc181aJRfuB4t&#10;7U5uMCpQO9RcD2qicNPxOIoyblRr6UKjetw2WJ33FyPhfVLTJhGv4+582l5/DunH906glI8P8+YF&#10;WMA5/MFw0yd1KMnp6C5We9ZJyJKUSJpHcZYAuxEiXglgR6rS5+USeFnw/1+UvwAAAP//AwBQSwME&#10;CgAAAAAAAAAhAKywreQeHwAAHh8AABQAAABkcnMvbWVkaWEvaW1hZ2U0LnBuZ4lQTkcNChoKAAAA&#10;DUlIRFIAAAG6AAABqQgGAAAA+7XzsAAAAAlwSFlzAAAewgAAHsIBbtB1PgAAABl0RVh0U29mdHdh&#10;cmUAQWRvYmUgSW1hZ2VSZWFkeXHJZTwAAB6rSURBVHja7N19jF1lfh/wZx1LYIrqiddR2GWXuYC9&#10;JmxYD9tsWTbaeCAINjWSR2obtQlbj5OFRW0WbNdt/2oZWqXqC8KGTSsKGzFWt4ryUtVOcRJWLIy7&#10;WsCRWsbQaHHixTMGdh1pTDz/GNBGpfcZn1nGHr/cl3PuOec5n490dT0Dc1+ec+753t9znuc5H/ng&#10;gw8CcGE7du4aad8NZT+OLvlPS38ftdq34ZyffrZ9m1ny86n2bXrJz9PZ78LuRx+ZsrVguY8IOhoe&#10;Yq0soM69xQDbWNO3dTgLv5lzb+0wnLHVEXSQZqCNLgmxkex+Y0Ob43AWfNNLAlA1iKCDmgTaUBZk&#10;owKta7NZ+MXblAoQQQfVC7V4G9YyuZrPQm8x/Kbb4XdKsyDooJhgay0JtVGVWmkOLwm+KVUfgg76&#10;D7bFm2qtmmYXQ0/wIejg0uE2tiTYVGz1Db59Wejt0xwIOlRtISyG2xYtkqT9WbW3T7WHoKMp4TaS&#10;hduYqq1xDmehN9kOvWnNgaAjtXAbz8LNuTaixS5OoYegQ7gh9EDQUZVwa2XBtl240UfoTWahN6M5&#10;EHRUJeDGs+ptk9YgRwez0NtnojqCjjLCbSSr3GIFt1qLUKC4Qkvs2tyjaxNBR9HhNhQ+7Jo0YpIy&#10;xJGbe1R5CDryDrhWFm7jqjcqVuVNOJeHoKOfgBvNAs5kbqosnsvbYyUWBB3dBFys3CaCkZPUy2xW&#10;4U1qCgQd5wu3ofBh96SAo85it+aerMpzHk/QCToB9+OAizfn30gx8MzJE3QIOAFH8vYGA1cEHY0K&#10;uIn27UGtgcBD0KGCg3QDb7tzeIIOAQcpM2hF0JFAyMVwmxBwcOnAa4fdhKYQdNQn4Mayb6qmCUDn&#10;zMMTdNQg4EaygHMVAejdwSzwpjSFoKM6ATeUBdxWrQG5MUIzASs0QRIhF8/DzQg5yF38TE23P2MT&#10;mkJFRzkBN5pVcS6XA8WL5+/GdWcKOgYTcLopoTz7s8AzHaEmdF3WL+TGg25KKFO8ZNVMdsoAFR05&#10;BlyrfTcZjKaEKomjM+PqKtOaQkVHfyEXvzlOCzmonPiZfMVgFRUdqjhogsPhzLk71Z2KDlUcJGmj&#10;6k5FhyoOmlTdjZlorqJjeciNq+Igmepu2shMFR0fBtxQVsVt0RqQHPPuBF3jQy4uwrwvuMoApCxe&#10;BmjMqirl0HVZbshNtO9eEXKQvHg9yBcMVFHRNSnghrIqzrk4aJ6DWXWnK1PQJRtysatyKrjiNzSZ&#10;rswB0nU52JCLI7BeEXLQeLoyVXTJBZyrDQAXYlSmoKt9yLXCmfNxrhkHXIjlwwqk67LYkBsNZyaA&#10;CzngYuIxYqp9zBjTFIKuTiE33r57ITgfB3QmHiv+h9VU8qfrspiQmwzOxwG927v70UfGNYOgq2LA&#10;mR8H5CWetxs1SKV/ui7zC7lWODM/TsgBeVg8bzeiKVR0VQg5k8CBosxnlZ0RmSq60kJuTMgBBVqd&#10;VXbjmkJFV0bIxR3vaS0BDMi2dmU3qRlUdEIOSNXT7WPPHs2gohtEyMVvVKYPAGUx/UBFJ+SApG3N&#10;jkUIOiEHCLum03Up5IB6M7Fc0PUdcC6xAwg7QZd0yE0FVx8AhF1tOUcn5IA0LC4ZNqQpBF2nXCwV&#10;EHaCLtlqbjJYnBkQdoIu4ZAz8ASoe9jt0wyCTsgBKdtknt0ZRl0mHnIjN4+E9evXh49ddVXXf/v9&#10;N94Ir732Wjg+e3zgr/ua4WvCTTfdFK7++MfD5Zdf3tXf/vDEifDWW2+Fl158aeCve+3ateEzGz8T&#10;rr766vCTQ931HP3VqVPh7bffDi+/9HI4ffr0QF/3FVdcETaObAyf+MQnut5X3nvvvfD2D35Q2r6y&#10;4YYNYd26deH6667raR+PbT79StJXwGn8cmGC7kzITbTvHkrpPcWg2LZ1axga6v/qQcdmZsM3vvHb&#10;Azn4xgPuPff8aviZ9sGrX6dOzYen9+4d2MF3892bwx2339b347z//vvhW899Ozz/7ecH9mXoH/zy&#10;3w+XXXZZ34/1vdePhG9+878NZF+JXyp+5Vf+Ybi2Ndz3Y5048Zfhd373d0sJamFXvJ+YmJhoesjF&#10;jb87pfcUDwAPPvAb4cor/0Yujxcrk0/feGP47ndfLPy179yxPZcDVxQrwc+2D+J/fvRomJ+fr0XI&#10;RStXrgwbPrU+/Oiv/zocO3as8GroK7+2beE58/BT7X3vunZldejQnxb+hej+r94XPvmJq3N5vCuv&#10;vHJhX5k+/OrAq+kBGXn22W/Nf+muO19u4nG+0efoUr3Uzi/9nV/K5dv5Uldd9dPh1i/cWujrjo8f&#10;nydPsR2+dNddhR908wq5pe684xcL31fuuvPO3B8zflGJVWKRPn/r5wvZV+JnJ2G7m3rx1sYGXXuD&#10;j4REryd3XatVyOPG8yBFWrNmTSGPm0c36MV88ppPFvK48cC7oeDXnlf1fK54jrJIP/vpTxfyuN2e&#10;V62heD27MUHXnJCbSvX95XFerqEHAWiCyewYKOgSDrl4tI7zS1bb34EGise+OKG8JejSDblYyQ3b&#10;14GGh92+pqye0rSKLl5ux/qVAA1aPaUxQZfNlbPqCcCHGrF6SiOCLhtS+5B9GmCZralPO0g+6LLR&#10;RXvsywAX9HTKIzGTDjojLAE6luylfVKv6GLIGWEJcGkL0w4EXb2qudhd6eKpAJ3bmOLglCSDLlvi&#10;5kH7LEDXkhucklzQZSdUJ+2rAD3bk9LglKSCLjuRGkPO4BOA3iW1ckpqFZ2VTwDyMRwS6R1LJuiy&#10;83JWPgHIz5b2sXW7oKtGyLWC83IARZio+/m6VCo6k8IBihGPrZN1Pl9X+6DLFmt2Xg6gOPEYOyHo&#10;ygm50WCxZoBBeDA75tbOyhqH3OJUgtI98MDXwrWtclYae+75F8KBZw7U7r0fm5kNjz/+9dJe9+a7&#10;N4c7br+t132vtNe94YYN4f777q3lvrL70Ud6+rs67yv9Kvu9n0ecctBqb8tTKrrBiGW0dSwBBmd1&#10;qOHAv1oGXVY+W+ILYPC2ZNO5BF2BIbd46R0AylGrUZh1rOj2BFMJAMpUqy7MWgVd1mVp9ROA8tWm&#10;C7M2QVelUZYALKhFF2adKrqJYJQlQJXELsw9gi6fai6us2aUJUD1bK36RPK6VHST9iUAx+gkgy67&#10;RIS1LAGqazhbd1jQ9RByrVDjhUQBGuSh7Jgt6LpkzhxAfUwKuu6qudH23Rb7DUBtbKri3LoqV3R7&#10;7DMAtVO5Y3clg84AFIDaqtzAlMoFXTbLfsK+AlBb26u0YkoVK7pYzRmAAlBflVoxpVJBlw1Nfcg+&#10;0p/333+/kMf9q1OnNG7b2rVrNUKDXHHFFRqhN1urMt2gahXdhH2jO2vWrFn2uzeOzRTyXG+//fay&#10;3338Y1f19FjXtpYvW/rOO+8U8rq/9/qRjtqtUx9d+9Gzfj45d7KwLyxvHn/zrN+tWrUq1+c4ceIv&#10;B7av9GrV5Zcv+93//bM/G9iXuY9ddVWgZ5OC7uxqbjS4BE/Xrmst/8L0J88+m3tVFw+IL7/08rLK&#10;5rLLLuv5Ma8Zvuasn1968aVCDryxPTppt05dffXVZ/08NzcXXnz5UO6v+zvffTGcPn36rN+tX7++&#10;58f72RtvXPa7fX/4h7m/7mMzs2H6lemzfjdy80jPj3fVVT+9rKqK++KpU/O5f7H44z/649y+zLFg&#10;UxXWwaxSRaea68HQ0Oqw4YYNZ/3u+Ozx8J+f+C+5HQjigevrv/Wflh10b/n8LX097i23LP/7+Dzx&#10;+fI6cD3x5FML7bFUbK/Ybr364s///LLf/f7v/X6uYffc8y+EA88cWPb7v9VnYJzb7XqkXe3u/a/f&#10;zO2LUayev/GN3172+5tuuqmvx73t9tvO+jnui0/v3ZvbF6P4WYmfmfilZalbv3BrX1/mqMax/SMf&#10;fPBBVaq5F+q6FR944Gvn7YoblPhh//f/4T+e97/FD+q6devCTw51PwDqhydOhFdffXXhYHiueMDc&#10;9U939H0Q+M1/+++WHVwWwyi+7uuvu67rx4zdT0ePHg2Hpw8vC+e8ttf/PPBH4flvP3/edvnMxs+E&#10;dddfHy4/T5fbxbz33nvh6Pe/H149/Op522Tz3ZvDHecc8HsJoifb4X+uWDFtHNnY877y/TfeCK+9&#10;9tqyLxWLlfuOBx/o+0vLv/43v3ne7RmrxVjp9tLFGPfxt956a6E34Xwe+lf/sq8vRXl8yXz88a+n&#10;EHbbdj/6yGTTg24qlriCLv8KoCj/4p//s4UKIY+QPl+1WJQ8wmLxwBsrgPMd2IuQR1gs+r0/+O8X&#10;PLDnLQbo137jn+Syr1wopIvy5X/05fDZkXKn8yYUdLPtoGuV9eSld11my8VsCvQlHrxv/8XbB3Lg&#10;igeAPA5cUXyce+751YGMbIvVbR4hF8VK9h/f/9Vl5xmLCrn4XHn55b/3dxfaok4hF/1Mu8qP+15T&#10;Qi4xcRL5eFlP/hMTExOlvvtnn/3Wn7Tvhuq8BeO5pl66e/K24VPrw/DwcPje914PP/rRjwo54P76&#10;r20L69ddn+vj/tTateHTN94Y5k6eLGQEYzzgbts2HkZ/4Yu5Pu7KlSvDZ28eCf8vfvM+dqyQbRq/&#10;vGz98j0Lz5Wn2N5/c/XqMHNsppB9JXY9f/Xee8Pac0ao9it2T45s3BjefOutMD8/n/vrjl3PX/nK&#10;r4cbzznvXZZ47vDQoT9NJexu/tJdd5Yyt67Ursss4Z+u+9arQtflUrFb7X+/Mt3+gBzKpWstngP5&#10;25/73MI36qLFrpr/9Z3vLBu112swxy8hcQBH0QMK4gHpW889F/7iz//ivOfXuj3YxvN8cdBL0eeH&#10;8txX4heKT234VPiFL35xIJ+H/zN9eOG8YF77yqZNmypXxSXUdbmolHN1ZQfdTCxpBV3xH5ZexPlL&#10;eXU79SKev3v3vfd6+ts4JLys0XIx9HqdXB97Bsoa/BBD7wc/PFHLfaWfkbpV/+wmFnSlnKtbWda7&#10;zc7NDQcKV+UP8sWUeeDsRwyqMkfq9Sp+MajrvlLX191AC+fqBl3VlTkYZbttDtA4E4N+wlKCLps3&#10;Z6QlQEOruiZUdBO2NUBjpR10qjmAxhvoGphlVHTjtjFA400kGXTZtYlcoQCATYO6Xt2gKzojLQEY&#10;aFU3sKBrJ3dcI2vcdgUgszXLhmQquhhyq21XAJYovKdvRUpvBoDaGU8i6Cz3BcAFFD6BfFAV3bht&#10;CUAZGVF40GXDR7fYjgBcQKFTDQZx9QLV3AU88eRTGgEa4v777tUIF7c9FDSWQ9CV6MjrRzQCwIdZ&#10;UUjQFdp1aRAKAB1aXdSglKLP0anmACg1MwoLumy2u0EoAHSqkEEpRVZ0qjkASs8OQQeAoOtWVnpu&#10;tL0A6FJcKWWkDhWddS0BqESGFBV0Y7YTAFXIkNyDLis5zZ0DoFers3nYuShiZZRx26gct37h1rBm&#10;zZrKv86jR4/2tCrMhhs2hHXr1tViWxx45kBPf7f57s21eH+HXj4U5ubmkt2G77zzTnjpxZccVMqv&#10;6vZVNeh0W5bkcz/3c+HaVj2K6V6CLh4g77j9tqSDri7vL35Z6SXo6rINj83MCrpqBF0ucu261G0J&#10;QE5y677M+xzduG0DQJWquhVVfFEAULmg020JQM5W5zF5PM+KbtQ2ASBn41UKunHbA4Cc9d19mUvQ&#10;ZZfksbYlAHkb7vfSPXlVdAahAFDJqi6voBu1HQAoSF8Zo6IDoOq2lBp02dDP1bYDAEVpZ03PVV0e&#10;FZ1qDoCi9Zw1eQTdqPYHoGClVnSbtD8ABduYTWUbbND102cKAIOo6laU8aQAIOgAoAJB5/wcAIPS&#10;03m6noPO+TkAStD1ZXtWDPLJAKBPXRdZKwb5ZABQp6BT0QEwaIPpusyuDTSsvQEYsNXZGsuFV3Sq&#10;OQBqUdUJOgAE3XmMamcAVHQAkL+uFivpOuiyWekutApAaboZkNJLRaeaA6BsrSKDblT7AlCyQiu6&#10;lvYFQNABQHE6zqJegs6leQAo28ZCgi5b+gsAStfpyMtuKzpBB0BVdJRJ3QadqQUAVEUhFd2QdgUg&#10;5YpuVLsCkHLQqegASDroNmpXACqiowuAdxx02WLOAFAZnUx7W9nF4xlxWXGPP/71pN/fgWcOLNwS&#10;/9DahtCdGHQzuVR0AFDRoAt5Bd2o9gQg5aADgKq55PiRboKupT0BqJhLjh8RdAAkTdclAHV2ySKs&#10;m6AzvQCAqrnkpPFugm619gSgbnRdAlBrl1odZUUeDwIAJeo/6IIRlwDU1EpNkI5rhq8Jq1atqvzr&#10;PDl3MszNzXX9d2vXrg0fXfvRWmyLI68f6envNtywoRbv783jb4bTp08nuw3ffffdcHz2uIOKoKNq&#10;xrZsCde2hiv/Op97/oWeFva95fO3hDtuv60W26LXxZnvv+/eWry/J558qqcwr8s2PDYzm/wi6Ylp&#10;Xew/6roEQNAJOgDqyvQCAAQdAAg6ABB0AJC7lqADQNABQIo6DTqX6AEg6aAb0lQApBx0ACDoAEDQ&#10;AYCgA4DBBt0pTQVAykE3rakASDnoAEDQAUAJZgQdAIIOAFIk6AAQdACQetDNaCoABB0ADN5MHkEH&#10;AIIOAKrGWpcACLrdjz5irUsAqmomj4oOACqpXYwJOgCaq5ugO6i5AKiY2TyDDgCqZibPoDPyEoDa&#10;6SbojLwEoGoumU26LgGos0v2NnYTdFPaE4CKmVHRASDoOuQcHQBVk1/X5e5HHzHqEoBK6WSJym67&#10;Lg9rVgAqYr6T/6nboFPVAVAVHZ1SW9nlg061b5u0bTXt278/rFq1qvKv8+TcyZ7+7tDLh8LRo0eT&#10;3oZPPPlULV7nm8ffTHobvvvuuw4o9TBTRNCp6Crs+OzxpN/f3Nzcwi1lR14/YhtCzkHXbdelkZcA&#10;VEVHmdRt0M1oVwAqoqNexq6C7lIXtwOAQWln0lQRFV3kunQAlG220/+xl6BT1QFQto6zSNABUEdT&#10;RQbdlPYFoGQdzwJQ0QFQRx1nUddBl428nNfGAJSlk8Wc+6nouioZASBnXY3+7zXoprQzACXpqtha&#10;OYgnYTAeeOBr4drWcOVf53PPvxAOPHOg67/bfPfmcMftt9ViW+zYuaunv9v96CO1eH9x8enU1+Uk&#10;naDTdQmAoDvPt86ZYEAKACXoZiBKPxVdNKW5ARiwrpeh7CfodF8CMGhdF1kqOgDqpOsiq+eg6/Ty&#10;CABQ14oucskeAAblcLvIOtXtH/UbdKo6ACpbzeURdAakAJB00KnoAEg36LK+UufpAChaT+fn8qjo&#10;VHUAVLaaE3QACLpLyebTWfcSgGQrOlUdAEU62Ov5uTyDbp/tAEBB+soYFR0AVddXxuQSdNn16Q7b&#10;FgDkbLbb688VVdGp6gAoQt+nxvIMuknbA4Cc9V1E5RZ0WWk5a5sAkJP5drZUqqLLpcQEgDwzJe+g&#10;m7JdAEg26LIS0yopAPQrl27LIiq63BIYANWcoANA0A066LJS0+hLAHqVW7dlURWdqg6AymRIUUE3&#10;aTsBkGzQmTwOQI9m8+y2LLKii/bYXgCUWc0VHXTO0wFQepFUWNBll+7Zb5sB0KHDWXbUpqJT1QFQ&#10;ajVXeNC1k3kyWBIMgEubL6o4WjGAFz9p+wFwCfvaxdGpugad0ZcAlJYVhQdddmLxoG0IwAUczuZf&#10;1zPoMpO2IwCDruYGFnTZoBQrpQBwrvksI+oddKo6AMrKhpUDLk0fsk2Ls2///rBq1arKv86Tcyd7&#10;+rtDLx8KR48eTXobPvHkU7V4nW8ef9MHjjyzIY2gi8NGd+zctbf9z622azGOzx5P+v3Nzc0t3FJ2&#10;5PUjdmSaZG8RK6Gca8WA39SE7QpAZnIQTzLQoDPVAIDMwXYmTCUXdKo6ADIDW0xk4EGXJbiqDqC5&#10;cr+4atUqumjSdgZorIlBPlkpQWcCOUCjq7mBFjsrSnyzE7Y3gGou2aBT1QGo5lKv6FR1AKq5wq0s&#10;8x3HZN+xc1d848NN3OIbbthgtwdUcykH3ZKEf7qJW/3+++616wOquYKV3XXpXB2Aai7toCs76QFI&#10;+xhfiaDLkt5qKQCquWQrOlUdQJq2l/0CKhN01sAESM7BQa5pWYeKLhq3XwAkY6IKL6JSQZddr26v&#10;fQOg9vYP6npzdavootifO28fAai17VV5IZULuvY3gFNhgBfkAyB3D2c9dILuImE3EUwiB6ij+aoV&#10;Kysq3Fjb7S8AtbM965kTdB1UdXFIqukGAPVxsOzJ4XWr6KJx+w1Afaq5Kr6olVVusXgyc8fOXQ+3&#10;//lQlV/nD0+csHsDTT+2PNY+Zk9X8YV95IMPPqh867XDbiY09Jp1ADUQBw+OVO3c3KIVNWnEcfsR&#10;QGVtr2rI1Sbostn1VkwBqJ79VVjPMoWKbuEbQ7BiCkCVzIcaTAWrTdBlZfG4/QqgMiaqtALKhdRi&#10;MMpSO3buiiXyFvsXQKninLnROrzQFTVs3PGgCxOgTPOhRj1stQs6XZgApatFl+Wi2nVdLtKFCVCK&#10;2nRZ1raiW2I86MIEGKRadVnWPuh0YQIMvsCoU5dlChXd4hUOHrPvARSu8hPDkwy6zET7dtg+CFCY&#10;uJbleF1ffG0Hoyy1Y+eukfbdK/ZFgELcXNUrEzSlogvZBthhXwTI3cN1DrlkKrollZ0pBwD5qd1U&#10;gmQruiXGw5m+ZAD6E6cSjKXwRpIKumzKwZj9E6BvY1W+xlyTK7rF83Xb7KMAPduRXQc0CUmdoztr&#10;K+3cNdm+22p/BehKnC+XVM/YioQ3VrwYoPl1AJ2Lx8zx1N5UshVdVtW12nexK3O1/RfgouLgk9G6&#10;TyVoWkUXsjXZDE4BuLTxFEMu+aDLwm4qGJwCcDEP13Udy04k3XW5lMEpAOe1tx1y4ym/wRVN2ZLZ&#10;hjxonwb4sTj4ZHvqb3JFwzbqWDASEyCKq0iNpjIpXNB9WNUtXqzVlcmBJltY3qsJIdfEim5x5ZRR&#10;YQc02FiqIywF3dlht92+DjTQtpSW9xJ0Fw+7yWDaAdAsO7JjX6OsaPIWzzb4Y/Z9oAHiNII9TXzj&#10;jZlHd9GvOObYAemH3HhT37ygE3ZA2pK7GkG3VtgHzsi+7ezXEkBCkrwagaDrz3gwoRxIJ+RGmzJX&#10;TtB1XtXFHWJU2AFCTtAJOwAhJ+iEHYCQE3TCDkDICTphByDkBJ2wA4Qcgk7YAUKuWayM0iUrqABC&#10;TtAJO4BiNXrtym7puuxBtoPt1RKAkBN0qYfdDi0BDNBjQq57ui77tGPnrrjTPa0lgIJta+JFU1V0&#10;1ajs4o53W/s2rzWAAswLORVdVSq7kfbdVPu2WmsAOYZcHFk5rSlUdFWo7OKO2Arm2gH5iMeSESEn&#10;6KoWdosTy13AFejHwaySm9EU/dN1WZAdO3ftad89qCWALpk+oKKrTXW3vX23LRikAnRum5BT0dWx&#10;souDVPa1b8NaA7gAg05UdLWu7OKOG8PuoNYAziMOOmkJORVdKtWd83bAUo9lpzkQdEmF3Vj7bjKY&#10;bwdNFrsqt5sELuhSDrtWOHPebqPWgMaJXZXjuioFXVMCT1cmNMverJJzDTlB16iw05UJ6dNVKega&#10;H3atLOw2aQ1ITuyqHLPKiaDjTOBNtO8e0hKQjIfbATehGQQdZ4fdSFbdGagC9TWbVXEGnAg6LhJ4&#10;BqpAPT3Wvk0YcCLo6CzsRrPqzvJhUI8qLk4bmNIU1WIJsArLPjAj2TdEoNpV3IiQU9HRX3Xn3B2o&#10;4hB0jQi8ifZdXBvPvDsolxGVgo4Cw64VzLuDssQrkWw3olLQMZjAi6uqxNGZBqtA8axuUlMGo9RY&#10;+wMXF4aO5+4e1hpQqDjYpCXkVHSUW921gu5MyJtuSkFHBQNvNJh7B/2azQJun6YQdFQ38OLIzIlg&#10;dCZ0I56H22M0paCjPmE3FM5MRTAdAS7t4SzkLN0l6Khh4LWy6m6r1oBl4sVQJ1xGR9Ah8EDAIegQ&#10;eFADRlIKOgQeJFvBTVqXUtAh8CDFgNNFKejgx4EXR2iOB6M0EXAIOhIOvKElgWfiOXWyMA8umCaA&#10;oKOL0BvPQs918Kiy2ax6m9QUCDp6DbzRrMJzHo8q2Z9Vb1OaAkFHXoHXygIv3nRrUlb1Fiu3Seff&#10;EHQUHXpjWeBt0RoMqHqbtNAygo6yqrwYettVeajeEHSkHnoj4cOuTVMU6EUcORmrtj1WL0HQUfXQ&#10;G8sqvTGhR4fhtk/XJIIOoUdK4Ta1JODMe0PQIfRQuYGgo26ht3hObzSYlJ6qw4uVm/luCDqaHnqt&#10;LPDGsnvVXn2rtqmscpsyWhJBBxev9kazm7l61XZwSdVmpCSCDnIIPhVf+RXbdFaxTWkSBB0UE3yt&#10;LPBGstsmrVKIw0uCbVrFhqCD8qu+EeHXs4NZoM1koaZaQ9BBTSq/xepv8d8xBJvc9XkwC7OZrFqb&#10;MWgEQQdphmAMv6Es+Jbe132qQ+xuPLUkzKazn6dNzEbQAUuDcDH4FkMwnPPvkFWIRS9mPZsF1qLF&#10;4Drr37oaYbn/L8AAUDDAfh6xM9cAAAAASUVORK5CYIJQSwMECgAAAAAAAAAhAItl6EFtLwAAbS8A&#10;ABQAAABkcnMvbWVkaWEvaW1hZ2UyLnBuZ4lQTkcNChoKAAAADUlIRFIAAAG6AAABqQgGAAAA+7Xz&#10;sAAAAAlwSFlzAAAewgAAHsIBbtB1PgAAABl0RVh0U29mdHdhcmUAQWRvYmUgSW1hZ2VSZWFkeXHJ&#10;ZTwAAC76SURBVHja7J19kFXlmeDfMNYo7NTQtsykpVEu0AgStBtREfygQcopRbY70fgVlWY0xkqi&#10;gmF2tzY1k3a39o/dcQU1mcqYZGnU+IFRmyhawyJ0a+TLIN2IAtLCbaSxk0JsqmZBKzPlnuf2udLQ&#10;NH3Pvee8X+f3q+q6qImnfc95z+8+z/s87/u1L7/8UgHAwCx6cHFN8FEW/mVtn3/U9+8LmeBndMyX&#10;7wx+sn3+uif4aevz123h31NLHnm4hbsF0J+vITpIucQyoaBO/BGBVTv6n9Ueyi974k8gwyx3HRAd&#10;gJ9Cq+0jsZrwszqlw9Eeiq+tjwCJBgHRATgitLJQZLUILTKdofzkp4UIEBAdgH1Sk5/RjEysHA6l&#10;l5dfWyC/HoYFEB1AMmLL9JFaLZGaMdr7iK+FqA8QHUDpYsv/EK3ZSWdeeogPEB3A4HKr7yM2IjZ3&#10;xdccSq+Z4QBEB0RtSuXlVseIeMnKMNprJtoDRAdpkVtNKLd6orbU0R5KrymQXhvDAYgOfJNbQyg3&#10;1tpAyKc4kR4gOkBugPQAEB3YIrdMKLaFyA1KkF5TKL0swwGIDmwRXEMYvc1kNCBGWkPpNdOoDogO&#10;TMitJozcJIIbzohAgsgOLZLaXEpqExAdJC23MnUsNUnFJJhAKjeXEuUBooO4BZcJ5dZA9AaWRXmN&#10;rOUBooNSBFcbCo5mbrAZWctbyk4sgOggiuAkcmtUVE6CW3SGEV4TQwGIDk4mtzJ1LD2J4MBlJK25&#10;NIzyWMdDdIgOwX0lOPlh/Q18FB49eYgOEByCA+9ZrihcQXSQKsE1Bj8PMBqA8ADRAREcgL/CW8ga&#10;HqIDBAfgMxStIDrwQHIit0YEBzC48ALZNTIUiA7cEVx9+E2VNgGAwqEPD9GBA4KrCQXHKQIAxdMa&#10;Cq+FoUB0YI/gykLBzWc0AGKDCk0PGMIQeCE5WYfLIjmA2JE51RbMsUaGgogOzAiuNoziOC4HIHlk&#10;/a6BdCaiAz2CI00JYI6VofBoR3AEUpfuSa5BkaYEMIkcWZUNlwyAiA5iFFwm+GhSVFMC2IRUZ8ru&#10;Km0MBREdlCY5+ebYhuQArEPm5FaKVYjogCgOIA20q961O6I7IjogigPwkmqiOyI6IIoDSFN0V0+j&#10;OREd9JdcA1EcgDfRXRuVmUR0cExwZWEUV8doAHgHfXeILvWSk02YmxWnDAD4jBwDVM+uKmYgdWlW&#10;co3Bx1YkB+A9ch7kOgpViOjSJLiyMIpjLQ4gfbSG0R2pTETnreQkVdmiOPEbIM2QytQIqUu9kpMK&#10;rK1IDiD1kMokovNOcJw2AAADQVUmonNechnVux7HmXEAMBBsH5YgpC6TlVyt6m0AR3IAcCrkHdES&#10;vDPqGQpE55LkGoKPdYr1OAAoDHlXvMxuKvFD6jIZyTUp1uMAoHiWL3nk4QaGAdHZKDj64wAgLmTd&#10;rpYildIhdRmf5DKqtz8OyQFAHOTX7WoYCiI6GyRHEzgAJMXhMLKjIpOIzpjk6pEcACTI8DCya2Ao&#10;iOhMSE4evGWMBABoYkEQ2TUxDER0SA4AfGVZ8O5ZyjAQ0emQnHyjon0AAExB+wERHZIDAK+ZH76L&#10;ANEhOQBAdmmH1CWSAwC3obEc0ZUsOI7YAQBkh+i8llyL4vQBAEB2zsIaHZIDAD/IbxlWxlAgukLh&#10;sFQAQHaIzttorkmxOTMAIDtE57HkKDwBANdl18wwIDokBwA+M5M+u16oukRyYIBzR5+rhg4dOuA/&#10;P3r0qNrXuY+BgjhI/XZhiK5Xco3Bx0+YD1AMEyZOyH1WVlbm5DVs2DB1dkXFV/98TGZ0bNfam+38&#10;6s+fdHerI0eO5KTY1dWV+3u7du7ihgCyQ3T9JCc3n1MIYNAIrLy8PCcz+TyzrEyNPLtCnX766db9&#10;rl988YU68Em3+qynRx06dCgnQfkkQuQ7fSC7VJ58kGrRITkYSGpVVVU5qYnQ4ozITCMRoQhQ5NfR&#10;0YH80kcqz7NLregCydUEH1t57tONpBnPm3BeTmrjxo71SmpR5PfRnj05+X2468NcOhS85puB7FJV&#10;kZlK0YWSa1G9R9RDypA1tQsvvFCNzWRURcXXGZAT6O7+g9qTzapt27ax5ucnh1XvVmFtiM5fyUkT&#10;pdzg0Tzv6WDEiBHqwuoLVdW4cer8sHAECmdHILv3tm9Xuz/crQ4ePMiA+CO7mkB2WUTnp+QkkmNr&#10;r5TI7ZKpU4naYo723tmyRW1r34b03Cc1m0CflrIbuxTJITcoHhnXeXOvy/0gPefJ755SS0TnTzTX&#10;qOiV8w4pJqmuqVZXXXEFcjMc6b35u9+p9rZ2ilncw/seu1SIjjYC/5CCkksvvVRdVEOAbhPSw/f+&#10;jp1q8+bNFLK4hddtB96LjgpL/6K3a+bMUWVl3E7b6ek5rFavWUOU5w5TfK3E9Fp0VFj6gay9zZo9&#10;S02dUmPlTiQweJS3ZWubWrd2HWt5diOVmBkfi1N8L0ZpRnLuQnrSD+TLyYzLpuV+3g2iO9Ka1iJp&#10;kpbgp4aIzp1oTiosH+DZdVNwf3PNNancpSQtyG4s/7J6NcKzE++KU7wUXSC5+uDjZZ5XBAcID4rC&#10;q+IU70RH8QmCA4QHJePVNmFeiY6dT9xCTgmor6tDcHCc8JpXruRUBTuQww9rfChO8a0YhZ1PHECq&#10;KK+97lqKTKAf8qVn0QP354pWXn/tdao0zSLfQJuCn3oiOnuiOdblLEf64KRN4MrLZ9AmAIMibQlv&#10;vb0+15ZAH57Z16vrB7Z6IbpAchnV2y/Hupyl1EypUXXz5tHoDZGRxvOVr7yi2ra2MRhmcH69zhfR&#10;yQ0gD2Yhkqa87bZbWYeDkpH1u2eeeZZ0phmcPunAedGxWbO9zL1+LmlKiJV8OnPVq6sYDP08Gohu&#10;IaLTL7na4GMdz59dSDXlrTffzGkCkBhyWsKzzz9PdaZ+ZgWya0F0+iTHPpaWRnFzZs9iIEALa9au&#10;I7rTi5P7YbrcXtCI5IjibEcKKT7rOfZO+GjPnsj/jnFjx3715zPLyijo6YN8qZo8aRLRnT7k4WtS&#10;jrUcOBnRkbK0i9lXz86dOJ1GJIV29PPPcwI7evSo6urqyv19HTt8yI4yQmVlpRo6dGhOiEPPOCO1&#10;XzZeWfWaWvvGWiakHr4ZRHXNiC45yUnKMqtoJTCO9MXdffddqamolKq/T7q71f79+3NCszmCkAhb&#10;BDhq1Ch1dkVFqu7RL3/5K/ruksepFKaLqculSM48Ek0smH+ntxWVknLck83mhNbR0eFcWkx+3xN/&#10;Z5FfVVVVToBjMxkvU6Ai9H/4+x+rZcufZN/MZHEqhelUREfK0g58LDiRsvU9e7Pqve3b1e4Pd6ei&#10;V0t6HC+svlBVjRunxo7JePelhUIVLTiRwnRGdFRZmse3VKVEbR/s3Km2bdvGt3/Vu3vN+PHj1aSJ&#10;E72J9khlJo4TKUyXUpeNSM4ckvZaMH++8y/AvNw2bdpEld4JyBZb+W225H5PmzbNeenJl7K/W/wj&#10;tWz5cu53MsjDIctJDUR0pUdzcsbcVp4pM0yfMV3Vzbve2dSWpCXf37FTtba28rIrAlmPvfTSS9U3&#10;zp/o9DOw8pVX1Yb1G7ihyWB1I7krEV0Tz5EZXF6Pk7TVO7//PS+3EpG0bj61K196Lrn4YufS1yLo&#10;m268QZWXl7Nul9w7OkNEV3w0J3urLeE50s8dd97h3Jlx+eiNs8ySJX+moItRnpx199STT3ET4+eh&#10;IKprRHTRJSffEDh+RzNSdHLfD3/gVOOxrL39/t13ObvMwLMiZwxefNFFTq3lSaP/4z/9Gc9K/IwJ&#10;ZJdFdNFEJ2WrdTw7er+p3/W3C5yRnAhu9Zo1pCctQNKa18yZ44zwRHa/+j/LiPzjpTUQXS2iK1xy&#10;Mlj0zGlEKu2+f+/3nEhFITiEFweS6v6nn/8zRUrxYl1vnc2i4zBVJIfgEB6yc4/OQHQZRDe45ChA&#10;QXL9XkaUh7uJbPp9zZyrrX++kF2sWFWYYp3o2LRZ/7du23vkZCsnikzcJl+0YnOrisjuuRUvfNU0&#10;DyVh1Y4pNvbRLURy+iQnvUW2smPnLvXSSy9TLOAB8iVF+tc2bdykbrvtViv78OTL3vw7bs8deUTm&#10;oGSs2jHFqogubCfYyzOSbsnJOtzKV17hm7XHyL6adfPmWbt+t+I3LyK7eLCi3cC2iK6R5yJ5ZEsn&#10;WyW3PvjGL9/8SVP6jXyJ+XDXh7mdd2ZcNs2630/mh+1nDjpCU/BTS0R3LJqTwaCdIGFsLTyRnqZn&#10;n3+eF0tKn8lbb77Zut5NClRiw/g+mEOI5pCcaaTY5H/+r3/khZJS5L7L/ZfnwCZknsh8kXkDbr/b&#10;rYjoiObSKTlZi3tuxQrOgoOvkLT6LTfdZNXaHZFdLCwIorqmtEd0RHMJIqXdcpacTZKTisp/fPh/&#10;Izk4jl3hc7HDoudC5o3MH5lH4OY73nhEF0Rz9cHHyzwHyUnOpg2aafyGQrGtx5ONoN2N6myI6JZy&#10;/5Pj7rvvskZy8qKQFBCSg0KQ50SeF0lx24DMo9tv/w43xsGozmhEF0RzDcHHMu5/Mth0npykop5+&#10;+td8G4bISFZCBHP+xAlW/D6cZ+deVGc6omvkvieDpH1skZxU0z3xxC+QHBSFPDfy/NhSlSnzSuYX&#10;uPPONya6cG1uNPc9fmxpCJf1ONlhQhrAAUpFniN5nuS5Mo3MrwmWRJiOMTrM5KUmolvIPY8fOTh1&#10;wfw7rZAc63EQN/l1OxtkJ/NM5hvYH9UZEV3YNzeT+x0vspYhp4ObrlLLF53QdwRJIM+VPF/ynJlE&#10;5pnMN9oO7I/qTEV0jdzr+LnhxhuMV1jmS7CRHCQtO3nOTMtO5tsNFp8AYjF+i45oLhlsKD6hzwh0&#10;Is+ZDbKjOKUoZoYu8Daia+Aex4ts7yWNtSaRkmvZrxDJgW7ZyXMnz59JZP6xJ2ZkGr0UXXje3Hzu&#10;b3zI+oDs/G5yXY6+IjCNPH8mZSfzT+Yh63WRo7qMjxEdlZYxY3pdDskBsutF5qGcrwf2RXXaRBeY&#10;u0yRtowVOaXZ5LockgNkdzxyiKzMSyiY+aEbvInoRHLDua/xICmSW276NpIDOInsTJ5+IPOSFGYk&#10;Es/0DfHpPyZNyN5/ptblpMrtxd+8yE0Aa5F9VU1VY8q8ZPPnyEGQ+6Jju694mX31bGMb3NJCAC5g&#10;uvVA5icpzIJJvIFcV0TXwL2MB0mJXDPnaiPXluNSkBy4JjtTx/yQwrTHEYmLLiwfreM+xoOplKXs&#10;Lbhs+XIkB87JTp5bE3tjksKMRKKtBjoiOqK5mJBUiKmU5bLlT7KtFziJPLfy/JqAFGYkEqvjQHSO&#10;ICmQunnzjFxbjkbZZbCKDaBU5PldYaiASuYtKUyzrkhUdBShxIc0opaV6e/OkDYCjtoBH5Dn2ESP&#10;nczbWbNncQMGZ3hSRSlJR3REczEge+hJI6pupGKNXjnwCXmeTVRizglEx9l15pyRmOjCbneKUGKg&#10;vk7/MMrivVSsAfiGPNcmilNuu+1WBn9wEilKSTKiI5qLAVnIHpPRn/2VxXsqLMFHeisx9RenyDym&#10;MMWMOxCd5ZgoQFmzdh3FJ+A18nzLc56G+YzoEhJdGHpWc79Kw0QByt5sp1r16ioGH7xHnnN53nUi&#10;81l2NoJTIjulxBr6npbQL8q+liUi5chXXj5D+3UlvbLkkYe5AXDKL0OPPfa4F/8tzzzzrFr8o0Va&#10;N2GQnY02btjI0sDgDoktsksqdVnPfSoNKUc2eZgqQBo4ePCgem7FC1qvKfOadgO9DolddGHISe+c&#10;g9EcQBpp29qm/Vgfmd80kZ+S4WEftrURXQP3qDTk1HCiOQB9yLE+OlsOZH5zGrm+qG6Izb9cGpGm&#10;UpOnhgOkEVkv053ClE0gaCJ3UHSkLUvn2uuuZRAADCApTN1VmKzVnZLY0pdxR3QN3JvikZw90RyA&#10;OaQKU2cKc+qUGtbqNER1Q2z8pdIK3+4AzCJVmG+9vV7b9ajAdEx0pC1Lj+aotAQwjzSS6zyVnArM&#10;UzI8jubxOCO6Wu5J8Vw2/TIqLQEs4bkVK7RGdTL/YUAabBJdA/ejlG91lzMIAJYge2HqLExh/p+S&#10;ktOXsYguPJKHKooimT5jupFDVQFgYKQwRRcy/+U9ACdldKlH98QV0VGEUgKXXHwxgwBgGVKYovNE&#10;ct4DyTkmLtHVch+KQ04PN3HeHAAMzuuvva7tWvIeoIE8GccQ0Rlm5syZDAKAxVHd+o2btF2PDSMG&#10;pM6o6MLSTxaYikBKir9x/kQGAsBipN1AVxO5vA9oNRjQNUVHdXFEdERzRVJdU01LAYDlyD6YW7a2&#10;abmWvA+q2R0pdtfEIbpaxr84rrriCgYBwAHWrV2n7VoUpcTvmjhExyJTEciic0XF1xkIAAfQWYFJ&#10;UcqAVIetbHpFV0rONO1Mu2wagwDgEDorMHk/xBvVDTFxUVDq4osuYhAAHIvqdJ1EzvsB0TmP9M6x&#10;EwqAe7S++aaW68j7Qd4TYIfoWJ8rgmnTSEsAuIjsganrZAPeEyelqHW6okXH+lzxTJpI7xyAq6xe&#10;s4b3hFkiH9tzms6LFYpsbuprie3pf/7nWtKW//Zv/67e3rBB/elPf2JaQKwcOnQo1f/97W3tqm7e&#10;9Yn3wObTl/s69/HQHY8EWS26RJdYRFdeXs7+jyWybft21fxyMwMBEDPSQP7+jp3qIg2N3ZK+RHSl&#10;u6eUNboaxtteWltbGQSAhNi8ebOW64zNZBjsGNxTlOjCs4EIuSxFFsv5FgiQHLqKUmRTCZrH+zE8&#10;3GM58YiOaM5ifv/uuwwCQMJ8sHOnluuMP288g12igxCdh2zSeKwIQFrRtf/lBZMnM9iGRFfLONtJ&#10;d/cfcjs4AECyyDyT+ZY0Y8dkGGwiOujLO1u2MAgAHs03aWOYMHECg308kTYriSy6sCud/assZVv7&#10;NgYBQBMdHR1arlNVVcVg93dRwQFXMREd0ZylSBUYaUsAfUh1s47qy3FjxzLY/ckkKbpaxtdOdFWB&#10;AYDeeccGGqUFXcWILsP42sm2baQtAXSze/duLdfhNIPiRVfMFmCJi0720tub7fTmbgz/y79U5eVn&#10;Jn6dXZrOygKAY7RtbVPz77g98evIOh0bQRTnomJEl/jRPBvWb8j9+MI993w3cdHtQHIAxpD5d37C&#10;lZFV48aptW+sZbCPUfBmo5FSl+HWXxCRsysqEr9Gx0cfMdAAhtAx/3S8R1yj0MrLqGt0iC4iw4YN&#10;03Isj64yZwAwM//kPSLvE4jupKiio7UgIuece07i1/jiiy/I3QMYROafzEMf3ieOkUhEV8a4RkNH&#10;o+eBT7oZaADD6JiHNI7riehqGddoyCGySfPRnj0MNIBhdMxDHe8TREdEF5mROgpRWJ8DMI6OeXhm&#10;Ga9gHaKrZlyjIQcnJs3H+z5moAEMo2MeskNKPwoakIJFF27mDBHQcTKw7LN35MgRBhvAMDIPdex7&#10;yYnj/dw0aFQXJaKj4jIiZ404K/FrfNbTw0ADWIKO+ajjveIYsYoOIqKjQopCFAB70DEfKysrGegE&#10;RVfLeNqH7AsKAOmZj0OHDmWgiejsQccZUogOIF2i42y6fgxaPxJFdBnG0z44sQCA+ZhyBq0fQXQJ&#10;knQpsI4thwDArnlJi0F0SF06DFt/ATAvId41OtoLIqDjNODPP/+cgQawDB3zkl664xg0xI0iuuGM&#10;Z+HoqIzqOnCAgQawDB3zkl66aJC6BAAApxlsd5QhcfxLoD86mjrZzBnAwoiuqyvxa3CKQT9KF52i&#10;4jIyNHUCpJOjR48iOssgdQkAAIgO7ITmVAD74NgsI2RO9Q9Pi+NfAv2pHDky8WtMmDiBgQbtSGpu&#10;X+c+BmIAdBybReoS0VnBGWeckfg17r3nuww0aGdvtlM99tjjDIRBOGk8GqQuAQAA0QEAACA6AAAA&#10;RAcA4D+yjglaySA6AABAdAAAAD5SqOg4ogcAALwWHU0bAAAFMvLsCgbBQdEBAECBnH766QwCogMA&#10;AEB0AAAAJXOajb/U3OvnqjmzZ3F3AABOwmc9PQxCAhEdowoAYAmHDh1iEBIQXRtDBQAwOByf5a7o&#10;AAAAEB0AACSPHH4Lx5FFdAAAmqiqqkr8Gl1dXQw0ogMAAEB0AACxU15envg1SF0iOgAAY5xZlvzW&#10;wPs69zHQCYguy1ABAAwOGzojOgAAr0l6Q2dOL4/uKFKXAAAxce7ocxkEC0Vn5V6XHR0dXoz8xAkT&#10;1KjKkYleY9v299Uf//hHHnPQBttPDYyOQpRPursZ6IgUKjqte13u2rkr9+MDSYtOJLfq1VU8yQAW&#10;UFlZmfg1jhw5wkBHpKDU5ZJHHmavS0sj08qRIxloAFtEp2E++pLxiplsyaKD4tDR63J2BRVeALag&#10;Yz7SQ3fSYAzRmUJHr0tZ2XAGGsAChg0bpmU+0kMXnSiia2W4otPd/YfEr8GxIADmOefcc7x4nzjI&#10;oP0WRHQJo+MkYB2byAKA+XnIyeInJRun6BjhIug6cCDxa1CQAmAeHfNQx/vER6KIjsrLYh5MDcdp&#10;jB2TYaABDKNjHlJxWZybSF0mzP6P9yd+DdlyaMSIEQw2gCFkR5Skt/4SPj34KYPdn0GzjVFE18J4&#10;RufgwYPqiy++SPw6488bz2ADGELH+lxPz+Hc+wT6kSWis4A9e7OJX+OCyZMZaABTohs3LvFrsPWX&#10;HtGxRlckOhaQWacDMIeO+UchysDBbmyiW/LIw1RdFomOBWRZH2DndAD96FqfoxBlQDfFXozSzrBG&#10;R9cG1RdccAGDDaAZXfPOl43uY+ZwIf+jqKIjqisSHTsaTJ40iYEG0IyOecdhqwNS0JJaVNG1MK7F&#10;sSebTfwaFRVfp80AQCMy32TeJc1He/Yw2CenoBcrEZ0mdu/ereU6F1ZfyGADaELXfGN9Tq/oqLws&#10;Nr7eqmfoLpk6lcEG0ISu+cb6XGlOiiq6LONaPDry7KQvAfSgK23J+twpKSjLGEl0gx1uB6dm+/vv&#10;a7kO6UsAf+aZrveGiwROakkiohM4l65IdOXZSV8C+DPPWJ8bkIJD3WJER1RXJHIysOxXlzSkLwGS&#10;RZrEdaQt5X3BieKluwjRaeaDnTu1XGfW7FkMNkBCTJs2zav3haO0JCm6Fsa3eHS1GUydUsNgAzg+&#10;v7Zt28ZgD0zBpexEdLrvzNY2Lcf2yN5702dMZ8ABYkbmlY69LeU9QVtBPC6KLLqw8vIwY1w87+/Q&#10;k4645OKLGWwAR+eVrveEqxSymXMpEV2kkBH6895772m5zpjMaE40AIgRmU8yr3x6TzhKpOr/YkXX&#10;wjgXj670pTBz5kwGHMCx+STVlrp2U3L1NapDdNyBEtmi6SG+qKZaDRs2jAEHKBFp2ZH5pAOqLRGd&#10;F2zatEnbtWg1ACidaZdN03Ytne8HRDcAFKSUjq7mceHKy2cQ1QGUgMwfmUc6kLMraRIf1EFaIjqh&#10;heEujbfeflvLdaQUmqgOoHhk/uhoKRDe2bKFAT81kbehLEV0pC9LZOOGjdquRVQHYH80p/u94CiR&#10;gywiOoMcOXJEvdvWTlQHQDSXQ94H8l6AeIOsokVX6PEIcGo2b95MVAdANKf9fZCmiO60Ei8oudLY&#10;G0ukjPesEWel5q7967/+P/UXf/EftER1N9x4A5PpBD7e9zHfosF4NCfFaWz5NSjtQZDVE/X/VKro&#10;WpIQnZTxziHNlgjSB6SrF8gVfv7EL3jBwEm/cOuM5lavWcOgJxDNCUNKvCgFKQDgJdded622aE52&#10;SmrXtF6P6DRdFADAZmRPS52Zj7feXk/63FbRhbnSVsYeAHyivq5O6/XWrV3HoA9OUetzcUR0RHUA&#10;4BVy3pyuEwoEWgqSdw2iAwAIkXaCunnXa73m66+9zsDbLrqwn459LwHAeeZeP1dbAUo+mjt48CAD&#10;70BER1QHAM4zYeIENUPjCQVEc5FoLXZ9Lk7RNXMfAMBVJGV5y003ab0m0Zw+xxDRAUDqkZRlWdlw&#10;ojl7KckxsYguPJ+ObkcAcA4TKUuiuUh0Rj1/LqmIjqgOAJzDRMpSdkEhmotEyUtjp8X4yzQFPw/E&#10;8S/atHGT6ujoSP3dveSSS9TUKTU85gAJcfvt39GespRdUIjm9AZRsYlOQstFDy7uDP5YcqelPAQ8&#10;CL276k+edL7WcmeAtCCN4edPnKA9mmMXlEgcDtxSckQ3JOZfiurLGJHdElaveYOBAIgZ2ctSd2O4&#10;IPOZXVD0OyVu0bVwX+Jl7Rtrc+dUAUA8yLrcrTffrD1T0t39h9x8BsdFF4aYvJVj5rkVKxgEgJiQ&#10;w4crKr6u/439298y+NGIJW2ZREQXm4HhGHIo6A4OBgUomdlXzzZy8LDMXw73NecSROcIL730cm4h&#10;GwCKo2ZKjZo39zrt15V5+/TTv+YG+CS6MNTs5B7Fi1ShUpgCUBxSfHLLTd82cm0KUIoitrRlUhEd&#10;UV1CyEL23izfIQCiIMUnC+bPN9KmI/OVAhTzDklKdE3cp4Tu/sqVDAJABMnd98MfaG8KZ76mQHTh&#10;vmSEHgmwr3OfWkPDKUBByM4nJiosBZmnMl8hMp1xpi2TjOiEpdyvZFj16qpcTw4ADMwdd96hfeeT&#10;PDI/ZZ6C+WhOOC3hX3YJ9ywZnn3+ebXogfuNXV8m8vYPPvBiLD89+CkPlIeSM9FGIEiVpcxPsCdI&#10;+tqXX36Z2G+76MHFIrs67lsySE+QiXLpPHLUyFNPPsWNACTXh1dWvUYBSvG0L3nk4dh3sh+S8C9N&#10;9WWCmK7ClJeJvFQAkFwvVFnaF80lLrrAzE2KLcES5Ze//JXRRnJkB0iuF5mHMh+haA4nFRwN0fDL&#10;N3H/kkMaUZctf9Lo74DsIO2SE2Qe0hheEs1BcNTjquiovkwY2UNv/cZNyA6QnCGklYC9LO11ReKi&#10;CwydDT5auYfJ8sKKF4zvmoLsII2Sk3lHK0HJtIf9126KLqSJ+5g8ptfr8rK7//77cjtSACSFPF//&#10;+T/9nXHJsS5nfzQnJNpe0JdFDy6WyG409zNZZPNak/11eaTP7vGf/ow1C0hEcrKtl6kdT/qy5NHH&#10;2P2kdGQD57IkLzBE438MUZ0GZNKt+M2Lxn8PeQn9w9//OCdegDi/yMlzZYPkZJ4hOTfcoFN0FKVo&#10;YsP6DblmbtPIbvHfv/d7avqM6dwUKBl5juR5MnEKwYnI/JJ5Bm64QZvowrLR5dxTPciOJTYc6SMv&#10;pZtuvEF929BZYOAH8vzIc2SD5OS0cHYEio3lYcGiNxGd0Mh91Ycsktuy+fOMy6ZRpAKRkedFnht5&#10;fmxA5hOnhcdKk46LaCtGybPowcUtwcdM7q8eRowYoRb/aJEV34SFnp7Datny5axtwKBMmDhBLZh/&#10;pzXPrlRY/rf//j8osIqP1iCaq9VxoSEG/uOI6jRy8OBB9U8//2fjbQd55ABMqQqde/1cbg4MiDwf&#10;997zXaskJ/MIycWKtroN7REdUZ0ZbGk76IusIT7zzLM5GQPkMxC33XarGpOxqxOJNoLYkcNVM7ou&#10;NsTQf2QT91kvtrQd9EVeZpJWrZlSww2C3HMgz4NtkqONIBEadV7MSEQXRnVZRQO5dqREW6rXbEMq&#10;2WSRn9RQ+pCCk9tv/46x08BPxf99Y616bdVr3CSHozmTEZ12o0Mv0vtjW2QnyEtOGoHpuUvfFy+5&#10;7zZKTrjqisvZ9MCDd7+xiI6ojshuIFi78x9b1+JORr4QhfSlm9Gc6YiOqI7I7qTIy+/H//W/5Crv&#10;6LvzC7mfcl/l/rogOSG/ww+RnbvvfKMRHVEdkd1gSN/d6jVr2G7Jk2ftmjlzci0mLkJk52Y0Z0NE&#10;R1RHZHdK5KUoIpbdMSZYuo4Dp0bum9w/uY+uSo7Izu13vfGIjqiOyC4Ksn7XvHIl36odQIRQX1fn&#10;TIqSyM7PaM6WiI6ozpLIbvlTT1uzg8pAyEtTGt/lZGkpaAD7kPsi90fuk2+SI7Jz8x1vRUQXRnUt&#10;it1SrPgWbstRKIUgx6Vs3rxZ7dq5i5tnGElRzrzqKmtbBYjs0hnN2Sa62uBjHc+EHbJbMH++U+sp&#10;ktL8l9WrEZ4hwf3NNdd4Gb0hu1j4ZiC6ZkRHVGcdUgZ+3w9/YMVJzlHIV2m2B5Eeu6wk+3xU11Q7&#10;XUWJ7LSg7YQCl0Qn4e1eng17XmY33HiDuih4obn48nl/x07V2trKCyjmaH/mzJnqG+dPdCa9jeyM&#10;MisQXQui6y+7puBjPs+HPUiD75zZs5z9/eWwzHe2bFEbN2wkyivyC89l0y9Tl0yd6lyEj+yMsjKQ&#10;XL0Nv4iNoisLPrLBz3CeE3uQneVvuenbzn+Ll82j39u+ndRmAXKT1OQFkyenprgE2cXOmEB0WUQ3&#10;sOwag4+f8JzYhaStbr35Zm++1SO945G2gPHnjUduyC4OHgok12jLL2Ol6ELZyTcBmsgt/KZv65Eq&#10;pSDpze0ffKA6OjpSVbkpFZNVVVVq8qRJpCWRXVwcDn4ygeh6EN3gopPc7stMGTuZffVsNW/udd6+&#10;pPbszaquAwe8E19ebJUjR6qxYzIUlCC7JFgQSK7Jpl/IWtGFsmtRtBtYi4v9dsUifXqfdHer/fv3&#10;q66uLideXnJ/Kisr1ahRo9TZFRWp6HOTyPyl5mb1rfp6KyLUFMrOinYC10SXUbQbWI3LLQhxvFQ/&#10;6+nJRX6HDh3K/Xx68FOt5+jJutpZI85S5eXluR+J1M4sK0tlGlJ2yXnxNy/m1ltt6gNNmeymBKJr&#10;Q3TRZdeoKEyxHl+qMuN8uR34pDv3Z5GhSDBPXoqDkZdX378WiQkjz65grPuM9XMrXlBtW9v6fQlD&#10;dlp5NJDcQht/MetFF8ouqyhMcSK687FQBexFKmeffvrXA1bNIjttdMr3XZsKUFwUXa1iH0yiO4BB&#10;ojhkZwzj+1k6L7pQdk2KHVOI7iD19F2Li/I8IrvEsGYHlIEY4tBgSu73MNPcDeQl9MQTv1A/D35k&#10;o2WAUpHnSJ6np558KnKDv/zvH//pz3IFRKbx7Dy7w+G72WqciejCqI7eOkeR/TKvvHwG6UwoKgJ6&#10;6+31atWrq2LJNBDZxftaDqK5pYguftlJHriO6e8eUgr/rW99k3QmFIwUm7z00suxtmwgu9iwsmfO&#10;F9Gx6bPjpPmgTiiMpA/SRXYlIynLGls2bfZOdKHsSGF6wPQZ0zm4E44jf3DuhvUbEr8WsivtNexC&#10;ytJp0YWyI4XpkfDq5l3P+h2C0yI4ZFcyzqQsfRAdKUyPkBfOrNmzKFhJGflCk3Vr1xk7KgnZRcKp&#10;lKXzogtlRwrTQ+HJadZXXn45KU3PI7i33n7bmlPfkV3BWN0Y7qXoQtlJnvgBXh3+wRqen4IzkaJE&#10;drFgfWO4z6KTFGZL8FOtwEtkS7GrrrySKk2HkSrKN996q6Atu5CdlbKzei9L70UXyq4m+NjK68Rv&#10;pA/v2uuuVd84fyLreA4gL+r3d+xUr7/2utaji5BdIlh5/E6qRBfKTrahWcLrxX/kRVRdU62uuuKK&#10;VJ67Zjuyzdabv/udam9rt2L9DdmVzEOB5Bpdfia9EV0oO1oOUobsFzht2jQ1dUoNUZ7hl/GWrW1q&#10;06ZN3mxWjOxyONdKkAbRyXqdhNcs5qQQWcu74IILSG1qfPlKavK9996zfu0N2RWFtBJkXF2X81Z0&#10;oexYrwOkh9yQXenMCiTX4sM99E50oewago9lvJYgL73x48erSRMn0qpQBNIS8MHOnWr37t2pkRuy&#10;c2uLr1SKLpRdk+KgVjgBWdOrqqpSVePGqbFjMkR7A7xI9+zNqo6PPlIdHR0+noaN7E6Ns/1yaRQd&#10;/XUwKHKSgoivcuTI1IovL7auAwdyYkvqxABk54Ts2oOfWh/W5VIhulB2GdVbnEK+CgqO+CorK9Wo&#10;UaPU2RUVXjapS/P2J93dav/+/aqrq4uIDdnlORxKzrv8tNeiC2VXG3ysY3pCKfIrLy/PCVAivzPO&#10;OMMJAYrQPv/881ykJkI7dOgQUkN2p8LJfSwR3THZNSiKUyCBl905556jhg4dmpOgMG7s2NznmWVl&#10;iRa+SFP20UBiwkd79uQ+RWZHjx5VH+/72NlGbWRnTHbON4WnXnSh7JoUxSlgMCoUIRaLCIxoDNkl&#10;JLvlgeQafL5PqRFdKLuW4GMm0xMAkF0OL4tPTmRIyp7J+vDGAgDEgqSJH//pz3LpZNNI1fD37/1e&#10;LoNQAJ1pkFzqRBfeUAnRDzM9ASDFspN3YH0aJJfGiE6FpbO1yA4AUiy7eh/bCBBdf9ktZGoCQApl&#10;t8CXPSwR3eCya5IbztQEgBTJblH47ksVqaq6PBmLHlwsG5c+wPQEgDixrRrzyad//cp37/rb/5jG&#10;e5F60YWyk2849NgBgLeyU+EWX6p3W8RUMYRHMZfGbAg+ljMSABAnNqUxVe+evy3BTw0RXbojO9nn&#10;rY6RAAAiOyI6X5HIjoZyACCyQ3R+EjZP1iI7AEB2iA7ZAQAgO0SH7AAAkB2iQ3YAgOyQHaJDdgCA&#10;7JAdokN2AIDskB2iQ3YAgOzSJTsaxiPCdmEAkAQ0lRPR2RTdNSi2CwMAIjtEh+wAAJAdonNfdosY&#10;CQBAdnbDGl2JLHpwsQhvGSMBAHHCmh2is0128gA0h99+AABik90D99/373/913/1Z8iueEhdxsCS&#10;Rx5uCR+Aw4wGAMTFkSNHDjf/9rezlB2tTc6mMRFdfLKTbzkZRa8dAMSDvEtq7rn7rreUPX28TsoO&#10;0cUru3xj+UpGAwBKoFXeJcE7JRv+tU2bVjgnO9boEmLRg4uXBh8PMBIAEJHlYVX3ySgLJVNtwe/p&#10;zJodEV1y0d3C4GOBYt0OAApnwSkkR2RHRGdtZCcPgVRkjmY0AOBU0VG41l8IRHaIzjrZlYWym8lo&#10;AMAJtIeS64n4/7NNdmWIDli3A4ATeTRc5igWW2QnyzRNiA7ysqsPHwiaywHSi0RACwPJxSEH07Kz&#10;WnKIzpzsMqo3lVnNaACkDklVNkRYj7NZdtZLDtGZFx6pTIB0sTyM5HoS+Hfrlp0TkkN0dsiOVCaA&#10;/8SZqrRBds5IDtHZI7tM+NBQlQngH5KqrO+zy0nSJC07pySH6OwTXmPw8RNGAsAbHgoE12jguknJ&#10;zjnJITo7ZVcTPkgUqgC4S2cYxZlsoo5bdk5KDtHZLTwKVQDc5NHgpzGhghNTsnNWcojOftnVhg8X&#10;24cBuBHFNYTnU9pEqbJzWnICmzpbTDhhasJviABgdxRXY6HkhFI2gnZeckR0bkV3rN0BEMXpjOy8&#10;kByic1N4jcGH7I1H3x2AWUxVVOqQnTeSQ3Tuyi6j6LsDMIWc/r3QcEVlkrLzSnKIzn3hya4qUp1J&#10;sQpA8uja3cSk7LyTnEAxisMEE042hpa1u4cYDYBEkWKTjCeSE05WoOKl5Ijo/IruMop0JkDcuJ6m&#10;LDSyW+qr5BCdn8KrVfTeAZRKZyi4ZoYC0YG9wpPKzEZFdSZAFGQdbqmD1ZSA6FIrO0lLLFS0IwAU&#10;wkOh5HoYCkQH7gkvE0Z38xkNgH7IYaiNGo/RAUQHCA8AwQGiA4QHUCy+V1ICogOEBymO4Joc2ZcS&#10;EB0gPIBIgiNFiegAvhKeVGg2KKo0AcEBogOPhVfWR3g0noNL5PrgFG0CgOgggvQaQulxDh7YTGcY&#10;vTUxFIDooFjh1YYRHut4YBMrw+ithaEARAdxCS8TCk9+SGuCqehNIrcm1t8A0UHS0qsPhVfHaICm&#10;6K2JjZYB0YGpKE+kt5AoD4jeANGB79KrUcdSm7QoQDFI5aREbUvZvQQQHdguvfow0qtHelCg3JpJ&#10;TQKiA6QHPsmtpY/g6HsDRAdID4jcABAduCa9/JperaIp3Vfa85Eb/W6A6CDt0suEwqsPP4n23I3a&#10;WsLIrYVqSUB0AKeO9mrDH3r17Ka1T9RGpSQgOoAYxEfEZz5iawsjthaGBBAdQDLiy4TCqwl/ZjIq&#10;idDeR2xtRGyA6ADMR301yK9oWkOhZUOpEa0BogNwJPLLR3/5P4sE05z6bA1llg2jtSxFI4DoAPyU&#10;oMivLBRf30/XWx0k3djTR2Zt4V+30ZgNiA4A+oowL768BNUJf1ZhhJj0ZtadobDy5MV13J9JNQL0&#10;5/8LMADra96/8nD3OAAAAABJRU5ErkJgglBLAwQKAAAAAAAAACEAsG1LfUArAABAKwAAFAAAAGRy&#10;cy9tZWRpYS9pbWFnZTEucG5niVBORw0KGgoAAAANSUhEUgAAAboAAAGpCAYAAAD7tfOwAAAACXBI&#10;WXMAAB7CAAAewgFu0HU+AAAAGXRFWHRTb2Z0d2FyZQBBZG9iZSBJbWFnZVJlYWR5ccllPAAAKs1J&#10;REFUeNrsnWtwldW9h5cZZ0S+sKU5IxWUeGuiLSXiaVF6IUQHjyBDLAXtFEyolzpVa6C0/dBpje30&#10;Gwewto7XEoSOAtLCQHBORyGctihzTiUp9EDUyg4tlc5ETL6gfOK8/521cQO57Mt633ddnmdmzxbF&#10;7L3XfrOe97cu/3XB6dOnFQAMz7LlK+qjp4z+Y0PBfyr890JN9Jhs+OV7o0e24M/90aOr4M9d+t+p&#10;1atWdvJtAZzPBYgOApdYjRbUuQ8R2FRHP1a3ll/23EckwyzfOiA6AD+F1lAgsXr9PDXQ5ujW4usq&#10;ECBpEBAdgCNCy2iRNSC0kunV8pNHJwkQEB2AfVKTx2RaxigDWnp5+XVF8uunWQDRAcQjtpoCqTWQ&#10;1FKju0B8naQ+QHQAlYst/yCt2UlvXnqIDxAdwOhyayoQG4nNXfFt1dLbSnMAogNSm1J5uc2nRbxk&#10;m057W0l7gOggFLnVa7k1kdqCo1tLrz2SXhfNAYgOfJNbi5Ybc20g5Ic4kR4gOkBugPQAEB3YIrca&#10;LbZW5AYVSK9dSy9LcwCiA1sE16LT20xaAwyyR0tvKxvVAdFBGnKr18lNEtw4WgRiRCq0yNDmGoY2&#10;AdFB3HLLqE+GJlkxCWkgKzfXkPIA0YFpwdVoubWQ3sCylNfGXB4gOqhEcA1acGzmBpuRubw1VGIB&#10;RAelCE6SW5ti5SS4Ra9OeO00BSA6GEpuGfXJ8CSCA5eRYc01OuUxj4foEB2COyM4eTD/Bj4Kjz15&#10;iA4QHIID71mnWLiC6CAowbVFj0dpDUB4gOiABAfgr/BamcNDdIDgAHyGRSuIDjyQnMitDcEBjC68&#10;SHZtNAWiA3cE16TvVNkmAFA87MNDdOCA4Oq14DhFAKB89mjhddIUiA7sEVxGC66Z1gAwBis0ER1Y&#10;Ijnm4QDig/k7RAcpCq5BpziOywGIH5m/a2E4E9FBMoJjmBIgPbZp4bEdAdFBTJJr0ZJjmBIgPWQ4&#10;U+bu1tAUiA7MCa4mempXrKYEsAlZnSnVVbpoCnupogmckJwsNulCcgDWIb+T+6Pf0TaagkQHpDgA&#10;3+lWg3N3pDsSHZDiALxkKumORAekOICQ0l0TG81JdHC+5FpIcQDepLsuPTIDJDrQ++Ikxc2nNQC8&#10;g313iC54yUkR5q2KUwYAfEb23TVRVSUdGLpMV3Jt0dN+JAfgPVLgYTcLVUh0IQkuo1Mcc3EA4bFH&#10;pzuGMhGdt5KTocpORQkvgJBhKDNBGLpMVnKyAms/kgMIHoYySXTeCY7TBgBgOFiVieicl1yNGpyP&#10;48w4ABgOyochOmcl16Alx1AlAIzGgJbdVpoC0bkiuZboaS0tAQCldh+cc4foXJBcu2I+DuA8qqur&#10;1aTLJ6mJEyfm/nz1VVed+W8f9verEydOqI8++kgdO3ZM9RzuCbmp1kWya+GKQXQ2Co79cQDncMXk&#10;K9T06dPV9XV1KpMpbRT/UCS7AwcPqu6ubnXy5MnQmk7m7RpYpILobJJcjWLRCcAZbp5xs5p9660l&#10;y2043opk9+rOV1VfX19osmORCqKzQnJsAgfQ1NbVqrsXLTImuHPZ++Y+1bGjI6SEN6CTHbJDdKlJ&#10;rkkNnjyA5CBoxo4dqxZ8fYGaVh//oMapU6fUy5s2q679wfT9IrvWSHbtXGmILmnJtShWVgLk5uG+&#10;cdddasKESxN93dd27c6lu4BYiuwQHZIDSEFy33nw2+qiiy5K5fVl7m79i+tDavInItlxoCuii11y&#10;ckfF9gFAcilLLmDZsf0A0SE5gFAkh+wA0SE5AO8ll+dItlc9//wLIa3IRHaIDskBhCK5PMeP/0s9&#10;+ctfhSQ7NpYjuooFxxE7AI5IDtkhO0RXnuQ6FdVOAJyRHLJDdogOyQF4Lzlkh+wKqaIJhoW6lQBq&#10;sOKJbAZ3TXKCbGB/5OGHcp8hEKTP6tQ36kCiGzHNtSvm5AByghBRJF3xhGRHsiPRITkAJEeyGy3Z&#10;cVI5iQ7JAYQgucCTHfvsEB2SAwhFcoWye2njRnW09yiyQ3RBSa4tenqMLg6QnN+SyyPH/Dz19DPI&#10;DtEFIzn58jmFAJBcIJILWHbLItmtQXRIDgDJBUSAsgvyPLtgRRdJrj562k8XB0guTMkFLLs7I9kF&#10;tSIzSNFpyXVGj3F0cxA6P/zB94OVXKCyG1CDe+y6EJ2/kpOKAfIFT6aLg9BZcs8SNa2eAkCByq4+&#10;kl0W0fkpOUly/GYDkkNyocsumOopoVVGWYPkAJDccEg9TyleLUWsAyCY6inBiE7vlWNDOCA5JIfs&#10;PmGmLpbhNUEMXbKNAADJlcOmV7aoN/a+EcJH9XrbgfeiY4UlAJJDdkVxg68rMb0WHSssAZAcsisa&#10;WYlZ4+PiFN/n6LYiOUBySK5SFn19gbp5xs2+f0wZ9er08YN5K7oozckKy5n8igKSQ3LIrmim+rg4&#10;xUvRRV9UU/T0KL+aEDKNtzQiOWRXDs16AZ83eDdHx+ITAJXrjKVThngIYM7OqzJhXomOyicASA7Z&#10;GaNXDZYJc35xim9Dl1Q+ASSH5BIhgGFMWcjXTqKzK83JvNzv+PUDJAdJsvfNfWrzps0+f0TnD2z1&#10;QnSR5GrU4H455uUAyUHivNXVrda/uN7Xj+f8fJ0vQ5dbkRwgOUgLWd0qWzk8RfrWdr0GAtGllOba&#10;FPNygOQA2cWJ9LFtrr55p4cuI8k1RE+7+RUDJAe24Pkw5qzVq1Z2IrrkJEcdSwiW+hvqVfOSxTQE&#10;sksaJ+thujx02YbkIETknLS7Fy2kISzG42HM3HwdiS6ZNNegGLKEQCUnh4LK4aBAskuRO6NU58zp&#10;5M6JTg9ZZhWrLAHJAbJLC6eGMF0culyD5ADJuc2pU6eC+e5kGPOBB+5XY8eO9eljOTWE6VSiY8gS&#10;kJwfknvq6WfUxIkTg1o1evz4v9STv/yVOnnypE8fy4khTGdExypLQHJ+sG79BtW1f7DIRmhbJDyU&#10;nRNDmC4NXbYhOUBybiMV//OSE6T6v/y7UJgw4VL1yMMP+TSMKUOY1tfBdCLR6TPm9tP1AZJzW3LD&#10;HWtDsnMeqzeSu5Lo2un6AMn5KbnCZBfKIhUPk53VfbT1oovSXKuiliUEgnR8S5ubg5JcoexkkQqy&#10;c5LJuu6wlVg9dMnxOxCa5KTjkw4wNMn5nmhHwrNhzCtXr1qZJdGVBnvmAMkFJDnhaO9Rkp27tJPo&#10;SktzDYo9c4DkgpJc6MnuhV+vVX19fa5/FOv21tmc6NYoACQXpORCTXYrvrcsJ3jHsa7vtlJ0LEAB&#10;JOcm2zt2GpFcqLKT9Cop1nHZWbcwxbqhS4o2A5JzkziLF4c2jJkvkyaidxSrKqbYmOhakRwgOSRH&#10;snM62VlVMcWqRKe3ExyhKwQkh+RIdl4kOyu2G9iW6NroCsFnkFzlye6nP/t5boUiyc4J2m14E9aI&#10;Tm8naKYrBF9Zcs8SJGcA2VgtG6yRnRPM1H07oiPNQQiSkwM4kRyyC1B2qfftVszRsTkckBySKwcf&#10;5zxHwuE5u6WrV61sDz3RkeYAySE5kl0RyW7Zo9/NHWtEqnNIdFGaa4qeZtIlApJDcsiuOOTsPsdk&#10;J5vIW0JOdJT6AiRnOSIRGyWH7JySXWqpLlXRacNPplsEJGe35EQitoPsSHW2Jro2BYDkrJecK2el&#10;ITtS3VCktupSz839jq4RkBySM42sxlwQCcCn72M0TJ0akQCJr8BMM9G10jWCLzTe0ojkLEt2Mqco&#10;C2hIdqS6VESn982x0hK8QDqXeXPnIDkLQXZWkvhcXVqJrk0BeCI56VyQHLJDdiWRqOgSn6OjCgog&#10;OSSXBr7NoY7G3jf3qc2bNtv8FmetXrWy09dE16IAkBySI9nFyoybpufkbjFtXiY6zpsDJIfkSHbJ&#10;YmtFG00i59UlnehYaQlIziKkSPBLGzcGI7kQk51I3eJkl0iqSyzRRWkuEz2JucfRXQKSs0Nyjp9e&#10;TbLzI9ldEqW6fl8SXQuSAySH5GxKdq/tCmddnEh97h1zbXxrsY/0Vfn0YQDioP6GeiTnKR07OnIV&#10;RULh1sZZuevZMlrifoFEhi4p9wWuIic6y8nOcg4Ykiue6upqNenySWrixIlq/Pjx6pJM5qz//rf3&#10;3lMfffSROnbsmOo53ENiT/ga+OnPfm7bvGysZcEu9MXYAKaReolLm5uRXAlymxUlhuvr6lQmM/Is&#10;xZU1Zx9aciiS3YGDB1Or1Zh/3RBkJ9fz4sXfVM8++5xtqS420cWe6NhSAK7ywAP3q+vqapFcEan3&#10;P267zUhbyfv8w5/2qt27dqeSOEJKdk9HorMhTRfe/8S11SCJREeaA+eQeQwkN3riNX1CgKQNmUf6&#10;ypdmqJc3bVZd+7tIdjFx2+zZtomuVcW0liOJxSiIDpxj/rx5SG4EaqObgJ/8+EexLc8X4TUvWZxL&#10;1SLUpGUXwgIVGT6utetmLjZXxCo6vQiFE8TBKWT4arQ5JldYu+5F45KT9nkwElASc5eSqh95+KHc&#10;/B+yM88Xv/hFm97OuLhONYg70ZHmwDlm33qrF59DOmrTQ1NpzGFNmHCpWvG9Zbm5QGRnls9eV2fb&#10;W3JLdLoSyny6TXAJ6Ux9SHNxnDad5kINSY+yAjatYUwZAvYRaVfLhi9n6gWMziQ60hw4x/Tp05Gc&#10;ZZLLIzcgMoyZNNKWMs/pq+yuueYa71MdogMoQPaAITn7JJdHhjEXLlqY+OvKPKevsrv6qqsQXTno&#10;6BlOtVTwAlnw4PKwpe+SyyPnrCU9X+ez7C4eM8a2tzQ5cojROmVxJTrqWoJzfKr6U0jOcsnlaZqf&#10;zvS/j7KTlGwhRh0Sl+ia6DbBNSycq0Byw5DmHjCfhzFtupexWnQ6crJ3DgDJxcrMr341tddGdrEz&#10;Tu/DtjbRtfAdgYskvXTdRsm5dCSRbCZP8ztDdu6kuiqb3xxAknx6wgRn3qucFm1acrLA4+4UVjRW&#10;wtSUTwhHdgGKjmFLcJkP+/udkZycjm1aci6euzflc59L/T24LjuL37ex4UvTia6F7hJc5cSJE0iO&#10;FF627N47knXyuv/n+8e9T3VVNr4pAEByxWDLvscl9yxx9lin948juqJh2BJc59ixY0jOQdKu1SiS&#10;m1bvbn2Mf/zjHza/vXEmNo+bTHQNdJXgMrYOXSI5e3FdcsI7b79j+1tssUl0LVz24DIyz2LbxDyS&#10;Q3Jxcvz4v1RfX5/tb7Pi4UsjotNH8lDbEpznr4cOIzkIQnLCf//xjy68zcmVHt1jKtGxCAW84MCB&#10;A0gOgpCcjF50R9eZI1TkGFOia+DyBx/o2t+V+vDlkWyvcclJBRFfJfdB3weJvZaUR/NBcsIf/rRX&#10;nTx50pW3W5FjSHQAQ3QAaSFzJs8//4JxycmBpb4muaTmmFypAVoM/f0Daveu3S695YqOq6hYdHrp&#10;5zgF4AnSAaSR6kRyT/7yV0bvsvOSs/QoFiNthuRKZ9v27S6lubxryk51JhIdaQ68QjqApFMdkiuP&#10;97JZJFciMv8rQ/QOUrZrTIiuQQF4RseOjsTSApIrn3feiXcPmG+Sk2ttyytbXH37qSa6mXSL4CMv&#10;bdwY+xAmkisfmWeKM5n4JjlpL9PXWsJM1VvZkhVdJWOmALYjG8i3bd+B5Czlf996C8kVidywrV23&#10;zmXJVZTqqtJ4UQBXkDPftnfsRHIWdtxxrRr0UXJyjJDcuHkAogOIg12v71KvGexUkVzlxLUHDMkh&#10;uqFgfg6CQBanbDIwiY/kKieuPWByCgKSs56y5unKFh3zcxAaMoxZieyk45EFLqaTyIKocw5FcsLL&#10;mzYZb0Mpj7a0+R4k5wYlH9tTleSLAYQqu7g6Hl/qLhaLzJf2HO4xLjmfyqN5Ljmh5JBVleSLAYQo&#10;OyRnBtnoLPOlSC5oySUuOhIdIDskl5jkOM0ByZXrngtOnz5d8qvos4GO0N1B6Iy0Sg/JITkkFxs3&#10;rF61suhqAeUmOtIcwAjJDskhuSSRwgYBSa5kByE6AMOyQ3JILknk2pNrMDBKctCFZb5IA90bwNmy&#10;E+bPuwPJITkk54noSHQAQ8gujk4HySE5JHceJRUrKXnoUu9K56BVgASYe8fcoCQnlWNMS04qx3zj&#10;rruQnGfoQ7/jER1pDiAZZEXnrY2zgpKclEczLTnfyqMhuTPUxCm6BtoXIH7J+VR3sVjJUQMUycUR&#10;usoRXQ3tC4DkkBySQ3QAgOSQHJKLj6JdVI7oOJoHAMkhuYSQsxCR3JAUvUqrJNHp0l8AgOSQXALI&#10;Vgs5CxGGdVJRw5elJjpEB4DkkFxCkjO91cJDinJSqaJjawEAkkNySM4WYkl0GdoVAMmVQ3//gHHJ&#10;CUiORGdadA20K0DlSEkqqYsZClLoeu26dcYlJ+XRkByiI9EBWCg53+oujiY5Cl0juTRFV2pR56m0&#10;KxRLdXW1uvYz16pJkyapT0+YkPt3V9ZMPvPfj2R7c8/vHz+uPvjgA/Xuu+96f6YWkkNySM4ok4v5&#10;S0WfMK6LOX9Iu8JocpvVOEtdX1enMpnSa3/LPM7/HT6s9u3b5530kBySQ3KxcOXqVSuzphIdKy5h&#10;WGrratVts2efldjKQeQ446bpuYckvv/6/e9Vz+EeJIfkkBwMR030MCY6gPOQpd0Lvr4gls5HpPng&#10;A/erQ5Hofvvb36m+vj4kh+S8aac4jiQKWHQjUspilAbaE86K+DfUq5/8+Eexdz7XRWlxxfeW5V4P&#10;ySE5XyRn+kgiRGdGdABnkANBm5csTqwDl9eR11u4aCGSQ3JeSM70VouAGXU3QClDlzW0J6Td8cjc&#10;3ZgxY6wf8kFySA7JJcaoQz2lJDpEB1Z0PPL68j5sReYtQ5Kc8PKmzcYl13hLI5IDI7AYBZy8u86/&#10;jy2vbLGq48jXXQxJcnJWWtf+LqM/U8qjzZs7B8mBkRBWSqJjewGSs+o9yfsRqYhcbJKcTyWpipGc&#10;6bPSfKsBiuRiZ9Q9TaWIbhztieRsQ6Rig+yQHJJDcvbCqksYEVnlaPs8SdqyQ3JIDsmly2iHgleZ&#10;+CHgJ9LxyCpHF0hLdkgOyQ1FXEcSwbBULjrFissgJedax5O07JAckhuKuI4kgvJh6BK86niSkh2S&#10;41obTnJx7CcERAd0PInKDslxrSE566gxIboa2hHJuSa7BTF8FiRnBqlbiuQA0QGSq7DjeXXnq8Z/&#10;rsgzJMnJMTKmJSfl0e52qGYpknMfhi7B2yEk08f6+FZ3sRjJma4p6lsNUCSH6ADJedPxIDkkh+QQ&#10;HSA5JIfkkBwgOrAH6XiQHJJDckjOE2oQHQzZ8SA5JIfkSieOI4kA0QEdD5JDclYQx5FEED/Fio4j&#10;epAckkNywUvO9FYLsEt0GZoKySE5JIfkwGfRAZKzijgk58KRRCY5ku01LjmpHLO0uRnJAaIDJFdp&#10;x2Naci4dSWQCOSvt+edfMC45KY+WyYzz6lpDcogOkJzzHY9v+wmLkZzps9J8rAGK5BAdIDkkh+SQ&#10;HHglun6ayh2qq6uRHJJDckgOShQdG0ccQTqee7+1FMkhOSRXBts7diK5gEUHjkiOu2skh+TKQ7Za&#10;7Hp9Fx0JogMkh+SQnJ+SM73VAhIli+iQHJJDclxrSA7RAZJDckhuNJAcuAiiQ3JWsffNfcYl59uR&#10;RKMh5dFe2rjRuOSkPBqSA0QHSK7Cjmfzps3GJefTkUTFSI4aoEgOyhNdlqZCcq51PD5umk9DcnPv&#10;mIvkANEBkkNyfkpO2L1rd27Oj2sNLCZrQnRgCffddy+SQ3KJSU6QuT5Z2OK67JAcogMHkHmSK2sm&#10;Izkkl5jkfJGdvG8kFy7UunRIcsyTILk0JHeu7OQcO9ckJ+8bEN2IrF61klqXSA7JBSy5Qtn94hdP&#10;5r5DlyRneqsFWEfWRKIDJIfkApdcIfId2i47JBcOURhDdEjOX8n5eCTRaKxd92KqknNBdkgOyhXd&#10;HpoLyVXS8Wx5ZYvRn+njkUSjIeXReg73WPN+bJQdkguOUSeNSXRIzsmOx8f9hMVIzsaz0mySHZIL&#10;kqxJ0bHyEskhOSRnreyQHJgQHSsvkRySQ3Ijyu61XbtTeW3Z8oDkgmVUN11IG9mBHCOD5JCcq5LL&#10;07GjQx07dkzdvWhhYnOncuKF6WLg4BSjjjaWIrrO6PEYbRqP5Hw6RgbJhSm5M7fX+7vU2z1vq8WL&#10;v6muq6uNr3frH1Avb9pk1eIcSIUsiQ7JITkklzjy/T/77HOqNhLdbbNnGy1dJ4L7/WuvOd0+YK/o&#10;mKNDckgOyZWEpC15yKb+mTNnqs9eV1f2kOah6OccOHgQwcF59z6j/YULTp8+XfRPW7Z8xWnaFMkh&#10;OSRXCSK9KVOmqImXXabGjBkzZNqT6+mjjz9Wf3vvvdycnwyFstAEhmL1qpUXmEx0gqwfnkrTIrlC&#10;pCRVHCveZI4nJMnJ8vwQ0opUdbGhsgt4wUAxf6nUDePspUNy50lO6i6alpxstYhzIYONkuMYGYCS&#10;KWpKrVTRddKuSO5cyZm+O/dtPyGSA4iNLIkOySE5JAeA6OKIiXA2ssQaySE5JAdgnFiGLrO0a2nI&#10;CrOlzfcgOSSH5ADMU9QoY0nbCwS2GJQmOZ/OSkNySA7AJorZWlBOohM4lw7JITkkB5A2vcX+xXJE&#10;l6V9kRySQ3IAKVO0ixAdkktFcgsXLQxKclK+CskBGKUzTtF10r5hSE7Ytn2HccnJVosZN00P5rqQ&#10;clYbNvyGXxAAsxS9C4BEh+SGJY66i77tJyxGchwIChALRbuo5FWXwrLlK2RJ5zjaGckhOSQHkAbF&#10;rrgsN9GVFBmRHJJDcmaQ0xx++IPv59oSIHBKWv1frug6aefBjucbd92F5JBcIpLLH1kkbYnsIHBK&#10;ClskOgMdD5JDcklJLg+yA0SH6JAckvNWcsgOoDQHlbUYRQh1QQqSQ3I2SC7u7w/AZkpZiFJJohM6&#10;kRySQ3LpSi6f7BpvaaT3g1AouQxlJaILavjSR8m9tmu3ccn5diTRaEjlmBd+vdb4FoIFURuWcq3N&#10;mzsnV1INIABKDlkkukAlJ3UXO3Z0GP2Zvh1JVIzkpDxaX1+f0Z9bbg1Q+X+QHQRAySGrbNGtXrUy&#10;CNH5KjnTdRd93E9YjORsK3SN7IBEZzbRCV4f2YPkkJxLkkN2EADdUcjqL/V/qlR0Xqe6++67F8kV&#10;cTOwtLkZyVkiOWQHpDnzovN2QYp0ElfWTEZyo7B48TdVJhPGLhPXzuWTn8lqTEB0JLpEOx7fJFd/&#10;Q726rq4WyVl8rclqzNpAviNAdLGITo+VejVP59uBoHGeaj1/3jwk58ANlayElSFmAMcpa37ORKLz&#10;KtVJQvHpQNA4JSebwkMYsnRdcoLMn869Yy7dJASZ5hBdAdXV1eruKM0hueL46pe/HMRvVhySE+kk&#10;PWogN3ByjQMgujLQ++kGXG/Br33tTm9WDkpJqi2vbInt58t2Ap9Wow6HlEczLTlJwrc2zkrl89w+&#10;53a6SkB0oaY6maz3ZVFFEqdaT5kyJQjJ+VYDVFIkqQ4cZU+583MmRbfV5Ra8bfZsJFcCV191FZJz&#10;THJ5Pj/183SZ4CIVOSb4RCd3uD7sl0tKcoJP+wtDkpzwhRtvpMsEF6nIMUZEF0XKbPTU7WLrzUpp&#10;vsRVycn8HJJzU3KCzK0yfAmO0Rs5pqLiJFUG34yTqe76ujokVwIXX3wxknNUcnkmXT6JrhNcouKp&#10;MZOia3et9eTO1uW9YElLzlfRhXb47MSJE+k6wSUqDlHGRKejZa9LrXftZ65FcoF3kiGesD7xssvo&#10;OsEVBiK3WJXojETMJBk/fjySK5ETJ04gOYclJ4wZM4buE1zBiFNMi67TpRZ0dZn8JZdkVPW/pbOg&#10;wBfR7X1zn3HJyUKd+fPuoGsC8Fl0OmIO8N3Ei1RwkYNOfV4BGSdSHm3zps3GJRfS4bMACWBk2DKO&#10;RGfMwGCn7P5+9O/OS44T1gHCSXOIDtmVjMwL9ve7GdqRHACiM4KOmr18R/7K7r1sFsk5LLmPP/6Y&#10;XxywHWPDlnElOlJdSrKT8/SS4MCBA0jO4SR37J//5JcGgklzcYqunTvb5GXXvGRxbnl73HTt78od&#10;SIrk3ByuPHbsGN0oILpKcWXzuI93trKHKwnZ/fXQYSTnKG/3vE03CjbTa3LYMs5EJ6zhztZf2b26&#10;81Uk5yBSbCCNQgMAaaW5uEVn/Tydz3e2ccuur68vt+naRg4d7jEuOamL6sPqyv/585/pRsF2jIek&#10;2ESnj+7ZZnNryp2t3OEiu/Lo2NFh3VYD+T43bPiN0Z85duxYde+3lnqxheAv3X+hGwWb6dbucCbR&#10;OZHqfL/DjVN2cqPw8qZNVknOdA1QkdwjDz+UO8fNdWQ4V5I4QEhpLnbRRWZuV5aXBHvzjTe9v3Li&#10;lF3P4R712q7dSM4BbJ9XheAZiCscVSXw5tttblnpGOVOF9mVjwxhptmGSG50ZD6VNAeWszUKR/2u&#10;is761Zeh3OmK7BpvaYzlZ8vijzRkh+RGR+ZR5WYEwHJic0XsotMTi3tsbl2507Vh+C0J5s2do5bc&#10;syQ22W3v2JnYZxGxIrnRkXlUthSA5XTr/dduik7Tbnsr745E52qx4lKZVj81Ntnten2XevrZ52Jt&#10;S6nKIoemiliR3MjIjYfMowKEmuaEC06fPp3Ip1i2fIUku8k2t7RsCF726HeDubLi2FRdKI1ZjbPU&#10;V740w+iyfHnPWyLJmU4oPkouzu8XwCBSwDkT5wtcmOCHkVT3mM2tfbT3aC4pyFxWKMlOiKMzFBHJ&#10;vJAkZRHev0+bpjKZcWUnOCk5JnOpcSyoQHIAqdIe9wskmejE2B+60OqyYEPmskh25hPzlClT1NVX&#10;XaUu+/SEEZPekWyvev/4cfXOO+/kikjHyQMP3K+uq6vl+wRIhyvj2CSeiui07MTczS60vCzFDyXZ&#10;pdk51p4jGDnBPMmFEzJXmU+2fI8AibMuklxL3C9yYcIfqs0V0b2x943cM8OY8ZLmQgkkB5A67Um8&#10;SKKJTqe6zuhppivfAsnOT5AcQOrsidJcQxIvVJXCh2tz6ZuQZCcLVEIhzq0HSA7JARSQWDGRxBOd&#10;i6kuxGQXR8URJGceOZLo2Wefo8sE15DDVWuSerGqlD5ku2vfSmjJTpbay5J7WXqP5Oy9GTF9JBFA&#10;QrQl+WKpJDqd6rLK8g3kJDt/kp2PkvMxcQNpzqdEl7jRSXbhJjskBxBumks10bmc6kh27rBw0UI1&#10;46bpfA8Agaa5tBOds6kun+ykeLGUpyLZ2XszguQAwk5zqSc611OdIGWtvvPgt40WLqazJXEjOSDN&#10;+ZPonE51ghSCfurpZ0h2SA7JAVja16ee6HxIdSQ7JIfkAOxMc7YkOudTXcjJTgSP5JAcgM19vBWJ&#10;Tqe6TuVYtRSS3eBZcSJ4ET2SM9uuK/9zdSzn7wGElOZsSnRepLoQk50IXcSeZrLzUXJyDSE58ITW&#10;tN+ANYnOp1RHskNyridkAEMkdkKBK4lOaPHl2yXZITkkB2DHSJ1VotPHqa/zTXayqADZmU/MSA7A&#10;arZFfXonohsaGc8d8El2snIO2ZmVnLwGkgOwmlZb3oh1oovuAPpVggfyJYEsD0d2ZiXny9wnkgNP&#10;eVyP0CG6EWTXFj31Ijtkh+QAnGPAtrBSZXFjtfr27Ycqu9q6WiSH5CAcWvXInDVYtb3gXHzablCI&#10;1ImUqiJSXSQU5Aw/OfEByQ2y+olfIDnwESu2E7iU6IQWH6+E0JKdICskZTsAkhuUPpIDX9OcjW/K&#10;atHpyczHkV2YsvNVcuUmWwDLeSLqs7sQXXmya1OeLUxBdqPLDskBOIX00W22vrkqRxqxxderA9md&#10;T3V1NZIDcAvrFqAUYvVilEKWLV/RHj01+3ylLLlniZpWPzWY34yhOn8fF+ogOfAcqYDSZPMbrHKo&#10;Mb2qmDIU619cr97q6g422SE5AOcYUA5sBXNGdDoWt/h+1YQqOyQH4CRtNlVAGQ5nhi7zLFu+Ymv0&#10;NN/3qye0Ycz+/gGVyYxDcgDuYOWeOacTXQEtyvMhzBCTHZIDcIoB5dAIm3OiC2UIM0TZ+cDeN/ch&#10;OQgBJ4Ys8zg3dJknlCFMIbRhTFeRmxK5OQHwHGeGLJ1NdAW0qACGMEl2SA7AIpwasnRedCENYSI7&#10;JAdgS8Bwacgyj7NDl3mWLV8h5x49GspV1nhLo5o3dw6/bkgOIGms3xjuXaIroC16BBN1dr2+K7eq&#10;D5AcQIJILcsWV9+884lOp7r66Gl/SFedbLKWzdaA5AAS4AZbTyYIJdEp/QUsC+mqkyXsJDskB5AA&#10;j7ssOW8SXUGyC2bLAckOyQEkgHNbCbxNdAW0KE/PriPZpc+hwz1IDkJCthI0+fBBvBKd3nLQFNrV&#10;iOziR84L3LDhNzQEhESTzWfMhZzo8vN1S5EdmJScHI4rh+QCBMKyqC/t9OXDeDVHd9a3FMBBrUPB&#10;nB2SA6gQZ/fLBZPoCpDDAIMrJSLJbt36DerUqVP8uiI5gFKRPrPFtw/lbaLTqa4mepKhzHGhXa1X&#10;TL5CfefBb6uLLrqIX10kB1AMsvikwfWtBMGJTsuuIXraHeJVi+yQHEAJ3BlJbquPH6zK929OT6gu&#10;DfGqPdp7VD319DMMYyI5gNF43FfJBZHoCpJduwpwcQrJDskBjMK6SHItPn/AqlC+Sf1F7iHZAZID&#10;OIMsPmn1/UNWBfalNqkAV2Iiu5GRNkFyECBSRarBl03hiO6TVJc/rHUgxKsa2Q0tOWkTJAeBkSvv&#10;FYLkhGDm6ArRx/p0qgC3HQjM2Z0tObkBAAiMWT5VPkF0w8tOkt3aUK9ykd3S5maVyQTpeiQHIbM0&#10;klx7SB84WNEhO6XGjh2rHnn4ITVhwqVIDiCQbi+S3JrQPnTQotOyky/9UWQXhuyQHASM99sIEN3I&#10;spMY3xzq5w9FdkgOkFyYIDpkF4TskBwEjHenEZRKFdfAIPpuZ1uon1+W18teMtk4jeQAvMHL0wgQ&#10;XWW0qEA3lPsqOyQHgUuuIZS9coiu+FQnF0QDsvNHdtu270BygOQChzm6IVi2fEVGDW4onxpqG/gw&#10;Z7fplS25g2gBkByioxWQnXeyQ3KA5ADRIbuiWXLPEjWt3p0mQHKA5ADRITtvZYfkAMkBokN23soO&#10;yQGSA0SH7LyVHZIDJAeIzpzw2lXAFVRslB2SAyQHiA7ZeSs7JAeBEnTtSkSH7IKRHZIDJAeILn7Z&#10;tUZPq0Nug8ZbGtW8uXMSfU0p6yUVT5AcBMgTkeRaaQZEl7Ts5M5qbchtUFtXq+5etCiR08qlNNlL&#10;GzdS1gtCJLiTwRGdXbJriJ62Ro9xobaBVFGZe8dcNeOm6bGluD/8aa/q2NHBBQehMRA9WpEcorNB&#10;dvVqcPvBuJDbobq6Wt0+53Zjc3ciuL8eOqxe3fmq6uvr40KDECUnKyu7aApEZ4vs2GtXkPBuuvkm&#10;9YUbbyyrVuahwz3qwMGDqrurO3eiAkCAyPaBpkhyWZoC0dkoOxlimE9rfCK9y6+4XF1zzTVq/Pjx&#10;6pJM5ry/8/7x4zmhvfvuu6onkhxA4OzRkmOPHKKzWnhroqdHaQkAKBG2DyA6p2QnF6sIbxytAQBF&#10;wMpKROek7GSRiqzInExrAMAwsOgE0Tkvu4yW3UxaAwDOgZqViM4r4TFvBwCFUOkE0XkpuyY1uCqT&#10;eTuAcGETOKLzXnY1anAocyqtARAcMlTZwnwcogtFeAxlAoTFOp3kmI9DdEHJjqFMAP9hqBLRBS+7&#10;Gi07VmUC+AelvBAdFAivLXp6jJYA8IbHI8G10QyIDs6WXb1OdyxUAXCXXp3iWHCC6GAE4bFQBcBN&#10;nogebSw4QXRQnOwadLqjfBiAGylOtg100hR2UUUT2Iv+hanXd4gAYHeKq0dyJDqoLN0xdwdAigNE&#10;F4Tw2qInqY3HvjuAdGFFJaKDGGVXo9h3B5AWcvp3KysqER0kIzypqiKrM1msAhA/VDdBdJCS7OSs&#10;OxnKZKM5QHywZQDRgQXCq1EMZwKYhmFKRAcWCq9BsfcOoFJ6teC20hSIDuwVngxntilWZwKUgszD&#10;rWE1JaIDd2SXn79jOwLA6DyuJcc8HKIDB4VXo9NdM60BcB5yGGobx+ggOkB4AAgOEB0gPAAHYCUl&#10;ogOEB+BtgmunLiWiA4QH4KPgGKJEdABnhCcrNFsUqzQBwQGiA4+FlykQHhvPwSVy++AU2wQA0UEJ&#10;0mvR0uMcPLCZXp3e2mkKQHRQrvAadMJjHg9sYptOb500BSA6MCW8Gi08eTCsCWmlN0lu7cy/AaKD&#10;uKXXpIU3n9aAhNJbO4WWAdFBWilPpNdKygPSGyA68F169eqToU22KEA5yMpJSW1rqF4CiA5sl16T&#10;TnpNSA+KlNtWhiYB0QHSA5/k1lkgOPa9AaIDpAckNwBEB65JLz+n16DYlO4r3fnkxn43QHQQuvRq&#10;tPCa9DNpz93U1qmTWyerJQHRAYyc9hr0g716drOnILWxUhIQHYAB8ZH40k9sXTqxddIkgOgA4hFf&#10;jRZevX7MpFViobtAbF0kNkB0AOmnvnrkVzZ7tNCyWmqkNUB0AI4kv3z6y/+zSDDkoc89WmZZnday&#10;LBoBRAfgpwRFfhktvsJn17c6yHBjf4HMuvSfu9iYDYgOAApFmBdfXoLqnH9WOiHGXcy6VwsrT15c&#10;Z/0zQ40A5/P/AgwA0yI7wWMS1tIAAAAASUVORK5CYIJQSwMECgAAAAAAAAAhANCV63noOgAA6DoA&#10;ABQAAABkcnMvbWVkaWEvaW1hZ2UzLnBuZ4lQTkcNChoKAAAADUlIRFIAAAGpAAABqQgGAAAANyzJ&#10;WwAAAAlwSFlzAAAewgAAHsIBbtB1PgAAABl0RVh0U29mdHdhcmUAQWRvYmUgSW1hZ2VSZWFkeXHJ&#10;ZTwAADp1SURBVHja7J0JmBbVlfdvL/QCDTab0kIjiOjIhLBMMghGIqiJT4RE2qCTIQEGZAyOojOQ&#10;ieLC44rO2DOKmRBHwSWSPAYDGokP4wIG88GHk2H5yBAdQZAGGmRroJvuhl6+Oq/VTtv28tat7VbV&#10;7/c8ZbfQ1dR76lb97zn33HMyGhsbFUAS2VtclGF9Ocv+317W0c/+vrt1XN7ix+f4cAmLWvz/NuvY&#10;YX9/3Dp22d9X9isrr+OOQRLJQKQgxiKUb33JtY7h9h9Nava1OIIfqcw6VtrfN33dIv+xRKyCOw6I&#10;FIC53tBA6xhge0BfsY4xCTRHk4g1eWRb8MIAkQII1jPqax1DbTGKqkcUBhJafMc6dlvHLjwvQKQA&#10;3AlStu0ZNQnSHKziOcut4w1bvPZZwlWNSQCRAmhdlArVp2tHo61jNh5SKDSFC+XYgrcFiBQgSp+G&#10;7PCSzGURogWIFCRBlCR8J6G7q/GUIs1861htHe8THgRECqIuTEXWl0usY55KZrZd3FlvHc9ax28t&#10;wSrHHIBIgemiJOngg9SniQ734i0l0suSZIydlmjxYgFECowSpsnW8TAWAQQLEClAmADBAkQKoIU4&#10;yRrTNYpQHrgTrOdYwwJECrwSJsnKm6hIfgBvkT1Z91vHMrIEAZECp8LUFM6TUN5kLAI+I6HAherT&#10;vVi8kACRgjbFSWrjTVGE8yA8ZuFdASIFLcXpAuvLrYrKD2CWdzXfEqsdmAKRwgrJFCYJ6X3dOh5S&#10;rDWBucja1VTr+D0tRxApSIY4SSLEdEVID6IHoUBECmIsTlLQVWrmsa8pIeROHKJyhwxROReNUNl9&#10;BsTmczWcOrE1s3ufW7MvvORd7jIiBfEQp/sU602JIHtYT1V42z+o3EtLVEbnwlh/1vq92/epMzWL&#10;sgaO/CfuPCIFiBNEQJzyrpqRuM/ecGx/bWPFgXsRK0QKECcwkC6zr1KFty+KveeEWCFSgDhBxOjx&#10;xDzVuWQuhkCsEClAnMAsei19KJHhvXRJrVkp9cOsfkNWYQ1ECoIXJ0kl/5EiWy+RFD54oyqY9gCG&#10;QKwQKTBOnGQT7kzreBprJJP8KaNUz0dewRBOxWrXpvWZPfpOzTjrnJ1YA5ECfwTqcuvLC4pNuIkl&#10;szhPFb21OfFJEro0Vp9saNj3/s8zzx3895YNj2ERRAq8ESfp4/SyonxR4jn7V/+mckaXYAgvxOrA&#10;h3eSXIFIgTtxknWnUkVSBKhPK0j0/unbGMJDZL0qIyf/usyzB27EGogUpC9OTcVf12INaKLP68tU&#10;9tDxGMIPsdr5h1WZRRdMJQRoHpmYwDiBktDe7xEoaE7O2P4IlI9kDfrKBJWRdbh+16Z/xBpmkY0J&#10;jBEnUsqhTbpNv0n73MZTFap69RJV9dbrGLLjSfujmfl5wwu+84O/zR37V5WYJHwI95khUCOsL68q&#10;svagDfp+8CetjL76XZvVoVt/oOq2HsGIzkj1sepXVv4OpkCkku49kRgB7aK7L0o8qPIrR6iGshqM&#10;qI90CJ5GD6tw3VsIz3v6CIGCjuhyxbe1zqt4fA4C5Z7J1nHK3qMIeFJ4TwAtOXfTBpXZe4CjcxoO&#10;7Vb7R47GeHhVeFKA9wT+IX2inAqUUPlSKcbDq0KkIG1xyrCOO61vNymSI8ABnb50gdZ5p1azg8FH&#10;1lrP8xN2VAQQqcgLlKRkfaxILQcNci8e6vgcyegjm893JBrykb2vERCpyArUJOvLMbwn0CXnwhGO&#10;z6ndvAbDBYM81/ut5/xGu0oMIFKREads6/iV9e0KrAGuHtAC53ujat/fiuGCRdrmvGQ98/mYApGK&#10;gkCJ+y/JEZOxBrgla9BIx+fU7d2H4YKnKaliBKZApEwWKAnv7VeE98AjdKpM1L62HcOFxybCf4iU&#10;ieKUQXgPAGwI/yFSRglUU/Ye4T0AaELeBx+Q/ece8vzdCZTEnzdhCfCLum3OMvVOf7gZo5lDU/bf&#10;OArV6kNZJH2ButF26wEAOmK+dTxiiRUvXETKd3GSBdGXFOE9AHAGtf8QKd8FShZCP1Bk7wGAHtKn&#10;6suWUFVgivQgcSJ9gSpCoADAJfL+OGa9Ty7AFIiUlwIlA4r9TwDgFR/a+yoBkXItUJIg8SGWAACP&#10;WWG/X6AdWJNqW5wkQWKmIoMPAPxFEipuIPMPkXIqUGTwQWhkFuepTsPPV/mjxqjscweq7D4DUn+e&#10;PXR8pD7HoZuvoEwTQuUKNvMiUGCQMOVPuEx1nTg9cmIErpH3zSXW++ciUtQRqfYESlLM37KOMVgD&#10;ghSnbjd9X3WZPFeroCzEBknM+gChQqTaEyhSzCFQcicOUT3vW6Iyew/AGIBQtTaJwwQIFIRDtx9/&#10;V/X+6dsIFLQlVBSnRaQQKAiHHk/MU91ueRJDQHtCtZ9NvwkXKQQKwqDL7KtU55K5GALS4cOkC1Vi&#10;RQqBgjDIHtZTFd6+CEMAQoVIIVBgHr0WLiKDDxAqRAqBAvOQTD72PwFChUghUGAk3WffhREAoUKk&#10;ECgwD1mLwosChAqRQqDASDpfPQ4jgJessd9r8Z/gIVAAAYjU1/VaBzWeqlDVq5eo6vfeVfVl5er0&#10;uj0YE5T9Pvvg9P9deUnOJZP2x/mDxroKul0s9veKWnwQMv0sgXFK/a7N6tCtP1B1W49gQGiVvO98&#10;6ZMe9/77tzPPHrgxrp8xtuG+ZtXMESgIlZyx/bXOO3L3DxEoaJeGYyfOzujaa73lcXdHpKIpULTb&#10;gNDJOKtAy4sitAcdIWMkI79rZuPJox/FVaji6knNRKDAFKRxoVOq163AcJD+i/yc8wvjKlSxEynL&#10;i7pR0fIdABJC3bY1nwlVw8GPViFSZgvUBQgUxIHqjesxAjgma+DIMfU7//AaImWmQEnvlQ8ZpmAa&#10;OReOwAjgnyd1YPfnhWrQVybU79r0j3H5fLHYJ2XvhdrIcAUjXyLlu1SmHZJJl8bjlRgO0htf+3e1&#10;5lE9Wr93+/asfkMiH/6LvEjZmXxs1gVjOXrbYxgBAiezZ/GrDZ/sGhP1PVRxCPe9hEABQFJpa/1S&#10;UtNVY+PqqGf8RVqk7Ew+Us0BAFp7wUvG39H92xCpcARKVqPJ5AOARFO/52C7f5/Vb0jfKGf8RVKk&#10;LIGS1qabGJ4AkHTSKZ0V5Yy/yImUnSjx/xiaAAAOXvZ9Bi9s+GTXKETKf0iUAABohtR67IioJlJE&#10;SqQsL0qa8pAoAQDQjMbKY+m98CWR4vCe3yNS/giUVJSg6iYAgAuy+n95SP3OP/wzIuWtQMmmYypK&#10;AAC0wukPNzv6+axBX5l3ZtvbAxAp7/iFYh0KAKBVGk5WOD6ndvPv1tiJaEZjfFkk1qEgimQP66k6&#10;fekClXvx0NT/S5HZzILCRHz2k689p6oWv8kgMJ3GxoHWf++wjoWIlL5AyVPNOhREAmkTX3Dd9Srv&#10;sutUZu8BibVDp01rGQwBc2bfx87H66fV+R+23rPL+5WV70CknAsU+6EgEuROHKK6z75LZQ8djzEg&#10;FOr27nN8TjPPXsJ+51tCVYdIOUPcUNahwFgyi/NUr9JSlTO6BGNAlJH3rKz7X2/kc2aoFyV+6MOM&#10;HTDZeyp6azMCBXFhsvXevRyRSk+gxLt7lTEDptJl9lWq90/fVhmdCzEGGMGZLR85PqeV8PRau4Es&#10;ItUBpYowHxgsUN3nv4AhwCgaymq8+lXPI1Lte1ES5pvDkAMTyZ8yCoGCuGNc2M8YkSLMByYj+556&#10;3PschoAkYFTYzyRPijAfGEuvhYtYgwKjaTzlvOqEZKi2gTFhPyNEijAfmIyE+dgDBaZTv9N5H9hO&#10;w89v66+MCfuFLlKE+cB0us99HCNAEjEi7GeCJ/UjRZgPDPaiklziCBLPI2FfQKgVJ+weUWzaBWPp&#10;+p2prs6XjqnV61ao6o3rE2Oz+j0HGTjxYY71nn6uX1n55rAuIDSRsmvzvcwYAFORRWXdihKyiH30&#10;/umqehlt0CDyvGq9r8+zhKoxlOcwxA/+desYw/0HU8kdO0xboA7N+iYCBYHSUFnh16+W5ZiZoU0W&#10;Q/KixIOjnj+YLVJ2LyinHJ53nTq9bg8GhEA5/T/OI3LZ/fqm+6NP262TEuNJlTKkwHTyRo5z/qLY&#10;sELVvrYd40Ek6NT3PCc//u+JECk7WYI9URBLTr5K2SSILZPtPa2x96RIloDYcuaPOzACxJlX7aS3&#10;wAg0u8/ewUyyBETDK3rtOcet0Ou2HsFwEGckieJa61gZO5Gy1ZdYCESGqsVvYgSAL7LCep93Cqrd&#10;fJDhvpmKyhIAAHHgR0H9Q4GIlJ1y/jT3FQAgFjwcVEp6UJ7Uj7inAACx4r5YiJStttTnAwCIF3Ps&#10;LUWR96Tu414CAMQS37cU+ZrdZ3tRbNxNCFKQVZqoZXbrql1SCOJBxd3PYIRkMMZ6z1/Qr6zctw2C&#10;fqeg40XFHOm31OWKb6uc4ePpuwSIVDKRVvOXRk6k8KLi7TF1u+n7qsvkuSqjcyEGAYgoDSc9qZzu&#10;qzflpyeFFxVTz6nHvc8hTgAxoHa7Z8WQffOmfEmcwIuKp/d09q/+TfV85BUECsDEZ7RrqM9lypuK&#10;kieFFxUzgTpn2QqVNXAExgAwlJzBoT+fvnhTnntSeFEIFAAkEl+8KT/CfXhRMQKBAgCH3pS5IoUX&#10;FS96PDEPgQKIMfV7DhrvTXntSc3mtseD3IlDVOeSuRgCICJk9jnf8Tk+9T+71UiRsiudU6MvJnSf&#10;fRdGAIiSSJmzmX6OlxXSvfSkpjNM4uNFZQ8djyEAQBfPomqeiJTddfde7gteFACE4EUV5zk+p27b&#10;Gj8v6WE7uuYar/ZJfV3RdTcWZA/r6dqLksFfs2ktxgQICCnsbCDTrcN1EUevROohhkk86Hz1OO1z&#10;a95cqo4ueEA1lNVgSADDaais8PufuNfyppb0KytvdOUlur0KO91wDLc8HuT9hZ5IVT5/jzo84y4E&#10;CiAEcocMcXzO6f/Z7PdlSXRtuNtf4sWa1K0MkRiFDYY5D/VJeI/WDADhEXLdvvb4SagiZXlR+YrN&#10;u7FB1qN0isceW0y0FyBMci50vum+euP6IC5tjNt0dLee1BSGR3zI6n+O43MaT1Wo2te2YzyAMD2p&#10;AqM7E7hKR9cWKdLOYzjQu3V1fM6ZrWswHEDI6GTkBji5dJWO7saTGqRIO48VuRcPdXxOAIuvANCe&#10;QA3r6fgciYAEzNfCEClKIAEAhIxOmL5+56agL1N74VpLpGzXbTLDAwAgXPJHOd8BdPrDwCMg2gkU&#10;up7URIZG/Diz72PH52SfOxDDAYSITmZf3f7dYVzqd4MUqXkMjfhRt3ef43M6XUC/KYAw0dnbWLs9&#10;lIzcp+2EO39FyvpHihQVJmJJ4/FKx+dIU0SdhVsAcI/u3sYQt40MCsKTuoahEU9Or9ujdZ6ben8A&#10;oI/Os1e/K9SMXMcVihyJFHuj4o/OAC64gQ6+AGGgU2uzdnOoexvnON0z5dSTYm9UzNEZwNIRtPDB&#10;GzEeQIBID6mc0SWOz6t+792wL93RhkynIkXaeczRHcAF0x5QOWP7Y0CAgMifcJneRHTd1rAv/U4n&#10;P5zR2Jheqw871NfA0Ig/fT/4k9ZirOxiPzTrm9prWwCQPkXrXk8lLjlBwvnlY79lwuV36ldWXue1&#10;JzWIYZEQb2r1Eq3zRNh6P/0fqtuPv4sRAXwkd+IQxwKVerbXrTDlI6Qd8nPiSYmLRimkBCBprX1W&#10;/dHV72g4tFvVvPvrVPiw4cRJjArGIVsuour193l9mVZR2U+mjDLlMy+3PKnrPRMpQn3Jo9fSh1Te&#10;VTMwBMQW6SYdxWad4kX1/unbWhPH/SNHm/RR0gr5pRvuI9SXMCqe+BeMAPEWqeUrI3fNktHX8z69&#10;cHzlS6WmfZy0Qn7pitTlDOlkUbf1SGqmCRBHTm9YkRrjUROoc5atSG350OHU6rWmfaTpXooUG3iT&#10;6E3d/UzYu9MBfOHkqy9E7pp7lZZqJUsINW8uNVGU56RTy69DkbJr9bGBN6EcufuHYTRIA/ANWZup&#10;XrYxWgK19CGtjbufifLKZaZ+tA6XktLxpC5hWCcXyQQ6ev90DAGx4dTrSyJ1vW6TmOq2rQmzoGxH&#10;dFggIh2Roi1HwpFZ57GHp2IIiAVRSpiQPYdus2yPLX7I5I8425VI2YUAacsBqmrxmymhIvQHkY4M&#10;RChhosvsq1S3W5509TtkLcpgL0oo7qhjb0ee1FCGNTQXKil7JDF9gCgSlYQJqYPZfb67a5UJ5dEF&#10;D0Th4w53I1JXM6zhczPRdXvUge+MU6dWlGIMiBTy0o5CwoQIlJQXc4usJTeU1UTh1tzsRqRmM7Sh&#10;JTLwj972mDow4UupcAJAFNCtSRkkqc26D/5Mq8Bzc2SPY4QyGCe3l4reZlkkO054jKENHSG1/qRD&#10;aJdrZmjv4wDwG5lUmb4epVuTrzkycTw8466o3Z5z+5WVlzsVqcutL2sZ2uB0Jthp+Pkqf9QYldm1&#10;UOUMRrTAOzIKumtNhAxqUdEmXtTLjKhACSWWSLWadtleG99JPBLgFAkF1pZtNz2jCCKKZLzpJBSc&#10;+OW/Gv+53AqUCHFEBUr4nnW0KlLtrUnN4ZEAAKNe5uOu1TqvetW7xn4mLzL5RKAOTimJ8q1tc12q&#10;VZHqKG8dACBoJJSsUxpIQmCmZrnJZ3KbySdbQkSgIpLJ1x59nHhSw3kkAMAkCv56gtZ5VW//xtjP&#10;dPZTS1xl8kla/eHbb4iDQAmXOBGp0TwSAGASkj2q8xI3NRW7xxPzXGfyyeb6qHYXboXvOREp9kcB&#10;gDHINgedrD5T90blTxmlOpfMdfU7pExZjARKmJyWSNn1+mjNAQDGIPvwdKj89a+MFNwe9z7n6ndI&#10;xRcpUxY3WsuHaM2TGsAjAQAmoRPqk4QCEz2N3k/+3NU6lBTJlYovMWV4OiJFUVkAMMrz0An11bz7&#10;a+M+S+GDN7qqypLaCzV3bpxv9+h0ROpyHgsAMIW4hPpyJw5RBdP0q5JLEoh0yo5JJl9bTEhHpNjE&#10;CwDmiNTXnRe/MS3UJ/uhej3mzrOTquYxS5RojTEtN/V+TqSsv8znkQAAk17uOmnapoX6epWWulqH&#10;kkSJCFU1d8tZ7XlSfXksAMAU8idcpnWeSaE+aQGvUymjibpta+KcKNEan0ueaFlglqSJBNDUWiP7&#10;3AGtVik//eFmVfv+VlW7flNkWm1DPNGp1WdSqE+eta4z3K1DfXLTzKTddkmeeKctkbqcxyKeSNhE&#10;ysoU3DBXZfYe0P6DNXS86mx/L9lEVb9dqip/sSruC7ZgIFq1+gwK9fVauMhVmO/wvOuS+NxJ8sTC&#10;z95dLf6S9hwxFCdJey16a7PqdsuTHQpUSyRdVs6T8+X3yO8DCAKpyqCDKaE+eV7clD2S7roJbXkz&#10;pvn/fNb00M6oaODRiNEsdGx/1evxlxwLU3tIKOXIgpn0iwL/vRCNJoAyPvePHG3Es3e2i0SHKDRp&#10;9Jnu/crKK1p6UmfxWMQHaaImD4mXApUaMNbv6/3Tt1OzRAA/yb3Ueajv9JY1Rlx7zwd/pn2urEMd&#10;uvUHiZ+jfPbOafaHA3ks4oFUV3bbRK0jZFOizHQB/PJEdNZyTGjL4baqhOyHImFJ9WtNpAbwaEQf&#10;SXd1W105XSQUg1CBH3T+xje0PJCw9xJJNp+bqhLSoDFB+6HaY1JrInU5dok2stAsSQ5BIkIloUUA&#10;T8fyWOehvjNbww/1STafLrKednTBA9z8TylqTaS+gl2iixfl/3WR0KKEZwC8Gss64bKqta+Eet0S&#10;xXCTzScJSWzz+IzJrYnUGOwSXdzux3CLm4VigObkjhmpdV71qndDu2bZmuFm066UPSJj9vPYvQ0/&#10;FSlq9kUbCbe5bUPtFpn5EvYDL8j/6uWOz5GU7TC9EDe1+STMV/HYT7jxX6SguSeViz2iy1mz7jfi&#10;OgpvX8RmX3DvSWmknlevWxHe9U4c4qo2H2G+NhnYXKSGY4/oelFe74XSRWaSugVBAQTd1PNTb7wR&#10;yvXKpKznfUu0zyfM1/78u7lIQUTp9r2/1z5XUnblITl08xUS8k19lf+XP4+6VwfRRDf1PKyCst1u&#10;+r72JJEwX4ekSoc0FZilZl9EZ526mwYlhi+72ptvGpQZnRzZw55VvZ/8udbvlgdWrisBzdnAB/JG&#10;Ou/CG1bquds9UYT5OqQPnlTEKbjueu0Z3MEpJW3uapc/l78XIQvyugB0EoDCSj13syeKMF9aTGou&#10;UnhSESR3hF5GXzozOPl73fpheZddx80B5+N54hCt86TvWdDIxnndjFoJTxLmS4vi5iJVjD2ihSzY&#10;6oTjpOxKujM48aikXYDja+s9IBUKAXD04h/lfKumRAXCqHPXfe7j2udKbT7CfOkh3Tky7RYdELVZ&#10;59hhWuedeO4pRz9fuXyl3vVpbsiE5KKzHhVGg8NUXzXNZAlpBU9tPkecJZ4ULTqiOOv8S+ep3jpt&#10;tWWWenqD8z0ouX82jJsEjtAJn1W/F2yVCYlgdJmsX8D58J1zuNFObY4JIupJaaxH6c46dRamcwaP&#10;4CZB+uNZdz1q3dZAr7PHffdoV5aQ0DktOBwzUESqF3aI2MxCcz1Kd9apszCdNYhwHziIDGisRwVd&#10;Ckm2VjjtFNxEak/U3c9wo52TCvf1ww4Re6A1qzrozjpl9ud0g2+YxW4heuisR9VuDnZ/VI87Fmqf&#10;e6z0dm6y7qQcE0SPLuOuDXzWWb/TuTelG8KB5GH6epSMZd2Uc5IlXDFaRKo7dogWnYY5f1jczjrr&#10;DuzG8OALur3IzvxxR3Be1I8e0z6XZAlX9BGRuhw7RAfZRKgTSnM766zbv8v57LhfX24YdEje6L90&#10;fE6Q+6OkiLNu+TGSJdxDuC9idLni21rnhRFu6NT3PG4YdOxJXeRcAE5vCW49SrdosqzjnnjqRW4w&#10;IpUsdHrt6Oxzakntn7ZhfPBHpIY7D1+f/mBzINfmphXOyaX3UFnCPXMQqQihG+rzogBnw4mT3ADw&#10;fpZcnKclAjUb3jPai5Jw5IlHX+YGe+RJsaoXEbRDfavexXhgJJ2Gn691XhCtYNyUPyLl3FuRgojM&#10;OHU2Ekqoj5ADGBsd0NjEKyndQTxvuuWPSDlHpJL5MGtu4A2r1w5AOuRcqJE08aH/61HScVd3Q/qx&#10;xQ9xYxGp5KHbJp5QH5hM9gXOy2fVvu9/vT43XhTNDD0eI5ggArNNzTbxXob6orbnqanaRePxytBa&#10;2UtPraz+56S+P7Plo9DCribYos1Zssaaz5n//sBfgZp9lbYXxcZdRCqR6LZj9zLUZ/qeJxGEgsmT&#10;VP7YklYFXcpCVf12qar8xSpfxUIyMLt+Z2qqKkjLF53sm6n9PyvUyZXLfJ1tm2KLdMXT8eTLZ6HV&#10;zeiThqJs3PVhIoMJDL9BxXkq/+qZjs+TF2JSQn2ShdVn1R9VwbQH2vQ45c+73fKkKnprc+rn/fB2&#10;i9a9rno+8orKGV3S6kxc/kySX3r/9G3V5/Vl2uWATLeFn96530kTbvZFVTzxL7ywEKnkIQkTOqEH&#10;mbGHndV3Zt/Hvgu4CIO8kNNFbCk/LyIh53v1Yjt72UZHIVkpVtr76f9InRsnW/jtnftdQxIvCpEC&#10;h+gmTDhtE9+hp6CRhVW3d5+vAnXOshXaNdVEJOR8ty9nEZnu81/QOldEQs51K1Re2SJodNpz+Flp&#10;Ai8KkQKHSMxe58Wj0ya+w4FSYFZ/qF6lpdov5Sbk/MJ5t+gL99j+2gLVnMLbF6XWkcK2RY8n5gX7&#10;8unjfCNv7Xb/1vK6TpyOF4VIgaOHZtIUrfMqXyr1/FoyCpx3dJFsMj+Q5ARZ9/GCziVztRfwez74&#10;M29sa3lUvRYuirQttF4+Gl5L/Z6Dvk0IdftF4UUhUolEZta6raola8trtFLgfcrCKrxpgae/76wf&#10;/J2WOLj1Xj53v60XpE4ihQm20PVCdfDLY9GdEOJFIVKJpduMv9F+aLxOmAhjUb29l5uX4pD6nZYn&#10;4jTcJmnmXuN0q4FftgjifmecVeBcoHzK7HMzIfR67RcQqWjcFM20c78eGp0ioLIXxw90GuSlQ+4Y&#10;Z5UPdLojd3gNI8abYYuxw3wf47lDnIcVGyorjJoQimiatjkakYJgvCjNumF+PTSZ3bo6Pqex8pg/&#10;s95zB/jye52kQ8skQrciQXs49Yp0mgWmJSAXD/X/xdPVuf1O/48/Ex/dCSE1+hCpxHpRunXDTr72&#10;nDEvLb+KgOYMHhH6PdJtL+G5YPcZENlxnn3uQOee1EnvPSndEkgSKaBGHyKVSHQ370raedXiN2P9&#10;QoH4oCOwfqSfa+9D/OW/chMRqWSiu+P91OtLjHqhVG9c78u1BNGmoSOkWKwJmGCLKKObeOLnhBAQ&#10;KaPR3fEudfpOPPWifyKlsX/Erz1Sdft3+/J7a/+0Lf2XVFlNyuZe4zTZxARbBDmmvA6vdZt+k3ET&#10;QkCkYulFVa9e4ludPt1KCH5lPZ1avdafF/M6Zz2KpDai59eweU0kbRFVci/V2wTt54QQEKnYeVGp&#10;h2bps75dV1M/JCdIOMQvZOOk1/tldPaWSbsNr3F6H02xRRB47bnqJkyYap+4i9QizBBdL8rvHe/5&#10;o8Y4F6kD/q7ZeJ36q7O3TEJPXgqE7n302hamlvip37nJW5Ead63WeX5MTgBPKtZelN8vFZ3q5zWb&#10;1vp6TSIQp1Z4U5+w8vl7tEOTRx+505MZvvyOowse0LaFCJxXtgiixE+Q9QFbQ0LYOvUOSTtHpJJ5&#10;A4rzUlWwTfSiUg/0BSMdnxPEwvvR2x5zXdVC7Fdx9zPa54u4VTzurl24CNShWd90FUISgQvbFlGi&#10;89XjtM6TbsYQOIsQqZDRrS4RhBclAqpVqbqsPBDbHZxSok5v0EtgkJfy4Rl3ub4GSUU+cse1Wh5V&#10;k0C5TTIRgRNb6IYfvbJFZCIX15hTuBnS86S2YYbwvCjd6hJBeFG6lRWCqmcmL+dPrv87deInt6Yt&#10;EpLUIaLi5Uu5etlGdfD6rzkSCbl/5VeO8MxWYosD35oSui1MR0J9OnujSJgI8Z5Zxw7MgBfVGjpJ&#10;E35Vqm6PE4++nJrlSrUOWRCX4q/N7Sov7TNb16iqta/4tglTJgwiErJBVKqZS7HYli/D1JrG5jWp&#10;LD6/Jhgm2MJktEN9b/+GF1Y4HMjGBuHN6Aqm6S2WB9XDRidpIqwqCDLLlZdu2C9e8YyOrnvM+u6x&#10;0K7BFFuYiE6oT4RdvGUIhQ0S7juOHYKn8LZ/0D43qDRhraSJ97dyc8HYiaFOqE82y0N4iEjtwgzB&#10;Iim4uk3WgvKi5IHWSZo4898fcIOhfc/Ep5JZHaEb6qv89a+4aeFxnOy+EOg+W3+hOigvymkTwNTL&#10;51QFTeCgQ8IaI3l/4VykJLmEMR0qu0SkKrFDcORPGaVVXFOQDaxBeFEpkfoz591Zva4KANBEZh/3&#10;Pbx0NvDWvPtrjB/2ve9XVl6HGQIydnGe6j73ca1zxUupeOwngV2r01bmqQfa50oTkOBnR7MiS/PJ&#10;oQ5Vb72O8cOlsincV4Yt/EdSznUftqrlpYHt0xAx1Vpg9qmHFMQPna0KuhX5UyL1l5dpTQwpgxQu&#10;4kQ1idRKzOEv8oDpbtz1u1/UF7yoscO0zuOBBj/p9KULAo0M+NGOBRyRcp5InAiIHnfdr79x9/E5&#10;ge5215l1uq0dB8lCJzSsMy5dRQb+8x1uVLisbC5SeFJ+eiYTh2gt2ja9/IPelKk169y8hhsNaXNm&#10;38eBjEtXkYH1JAKZAJ6U3wa2ZnE979PfDHj0n+cFfr1as8733uVmQ/oipbGfTsalzrqUbmQgqExa&#10;SM+T2oI9/MFNsoRU+A56nUd71rmOShPgYGyv26NVOb5g8iTnInX1TCID0eQ4npTPpIqNatbnS3lR&#10;D90b+DXrzjqpEA2OvamtzoVAko/E2097kvjj72qtBVPeywh2fSZS/crKK7CH9/S4Y6H2uUF1Sf2C&#10;J8V6FAREzX85T54Qwelx3z1p/ayIWdcZmh2PWY8ygdqWnhR7pTxEZnC6lSWkFEuQKedNaBfgZD0K&#10;NDi1Wm/zt9S97DL7qg4F6pxlK7S8KNajzMBynqpbihQZfh6+7HVncMKx0ttDCZ/p1OtLTXdYjwIN&#10;RAh0ty50n/+C6vHEvFZDf/L8iUDpTLgE2sQbwWeVAZr3k6JDr0e42RMlO/HD6l2T/9XLta6X9SjQ&#10;5cQv/zUlODp0LpmbSoqQVhrizWd265Yaw7odBpqgTbwR/KE1kaJDrxcv+imjtPdECYfvnBPatede&#10;qlGAk3p94ILqVe+qwtsrtCd1cp6IlRxeQJt4Y/gsstc83Ecauksk9NDj3uf0Z3AhJUsIkomo86I4&#10;9cYb3HjQJtVFeHmpMdcTVCsc6JC9rYkULTtc0qu0VHtGKMkSFXc/E9q1d/7GNxyfQ/8o8AJJEpLx&#10;HzZBtsKBDjn8BZGiZYc7JNvITZjvyIKZoV5//ljn104BTvDKm5JkoVCvQSaJAbbCgfZpvi2q5Wbe&#10;RZjHOZJNVHi7vulkBhdmBXHt1HMKcIJHSLKQVFgJC5kkshZlDJ/r+dNSpHjraNBr4SLtMF/QzQxb&#10;Qzf1XBa9Abzi8Ny5oVTTl7Vg2swYxar2RGo39nGGm027wtH7p4c+g+sy7lrH51AKCbxGxtOhW3+g&#10;VdNPF8nmC3MtGFplQ3sitQv7pI9kxHW75Unt8yW8EdaeqM8GQHGe1lpa9TrWo8B7JHHh0KxvBuJR&#10;iUAdnnEXRjePD9oUKWr4OXu593zwZ9rny2xRwhtho1v1nNRz8AvJGD04pUSrxXy6nPjJrQiUuRxq&#10;z5MSlmOjjpEil7plVwQTwnxClyu+7fgcyYQi9Rz8RJ6NA9+aklov8jL8J2P30M1XqBOPvoyRzaSs&#10;ZaZ5ayLFFLkDpKqEm9IrJoT5PvOkNKpMnN5C1XMIBlkvOnj911KhOTeI0Ing7R85miQJs1nc8g+y&#10;W/mhd7BT20i6tpuqEqaE+ZrEVicrsert3zAQIDBknUpCc5nFD6iCv56gulwzI+0ohkwIq9a+oqoW&#10;v4kho8GGln+Q0djY+Lk/2FtclG99OYWtvkhT+X83YT4JNZgyk+u19CHHHqGI7L6LLmYwQOjPYqfh&#10;56v8UWO+8HcNJytU7fbteEzRpHvL3IgveFLSw8MSKuktVYy9Po/bdaiwN+22RCfUR5UJMAFZs6ot&#10;Q4hiyPEvTEja+EF6S7VAyh65WYeSlFqTyq7ohvqoMgEAPrHccpIaESkNZD+Um7JHwpG7f2jU5led&#10;rL6USFFlAgD84Zet/WFbIkXbjiYDFeepXo+/pF32SJA9GaalbGtl9W1YQZUJAPCLbWmLFJt6/5ez&#10;n1qiMnsP0D5fXuym7cnQzupb+woDAgD8YrcTT0pIfEV0yX5zU5dPNg6akm7eHEJ9AGAY69tqF9We&#10;SCV6XcptooRgavl/Qn0AYBjPtvUX7YlUYtelcicOUd3nv+Dqd8g6lInpsYT6AMBA3nEsUkldl5JM&#10;vl6P/drV7zBxHaqJrt+ZqnUeoT4A8JGdOp6UMD9JVvIik8/Udaimz6fTloNQHwD4SKv7o9IVqdVJ&#10;EigpeeQmky9Vl+/2G4x9oedPuEzrPEJ9AOAjv2z33dzBye8nxUq9SktdlTwSKh6fY3QLi27f+3st&#10;4SXUBwA+slZbpKSOn/VlfewFaulDWmGw5khdPpMrLUv1dh0Rllp9hPoAwCfKOsp/yE7jl0hq4Jg4&#10;C5TbVHPpIHr0tseM/pwFkydpnSe26Vc2g0cJPEPWbRsOfKTqDuxO1YKsXb8p1Y4DEsnijn7gC606&#10;WrK3uKjI+rI/jtYpfPBGVTDtAVe/QwrHSqtr072NczdtcLXeBuAn8hxV/XapqvzFKjz3ZDHY8qR2&#10;uBIpW6ga42YZ2azrdi+UrNccmvVN41upy96ono+Q/ADmk1oDXb0k1TEAsUoEndqqNNFEZpq/KFap&#10;6F5UNReiIFCC7t4ogKCR7R+dS+aqorc2pyZXEGuWdyRQTkRqeZws0/PBn7naCyUce3hqJARKd28U&#10;QNhiJd6/rBnLGIZYsjCtd1iav2xnXKzS7cffdZ1qXvn8PUZn8jWn4K8n8ChAZJHEndT+RYQqjmzz&#10;TKTs3cCRD/nJQO86w12iRM2bS1XF3c9E5jMX3DCXRwEijUwqEarYsT6dUJ8TT0qIfMiv203fdxXm&#10;E4E6POOuyHxeKZRLRh8gVGAgae/ZcSJSkQ75yeDuMlnfq5AU2aMLHojUZ+46aQqPAsRKqHrcdw+G&#10;iAdpl9xLW6SiHvKTunW6XlRU9kK1FGW3m5QBTEPGtGwfgUiz3q5m5LknJUQ25HfWrPsTI1ACCRMQ&#10;V2T7CGG/SHOLowm3w18eyZCf7IvSXZs5cvcPI7mpkIQJiCsSESHsF2m2OflhRyIV1ZBfwXXXa50n&#10;qeZR2AvlpSgDRAEJ+0nRZIgcy9PN6vtsUpJOWaTmRLGWn07dOinPUn7lCEqzAHiMZJ12ufJbKv/q&#10;mYnKtoUUIy2R2uybJ2V7U+XWl7K4exVVy0sRKAAfqH1te6prgEwCRWi0xe7SEtamoscWpydkav5D&#10;90fFIp2/8Q2t80489SLDCcBHZBIonpCE1XUQL0y32zSEwvz22sR7LVLLomKV/LHO69bJ7A4vCiAY&#10;pIKLrkfVZdy1GDA6PKdzkpZI2TnuxqejSyhAp05f1du/YTgBBIhslJd1YKd0GjYe40WD9fZSUTAi&#10;ZbPQdKt0Gn6+1nnVyzYypAACRCIXFY/PcXyehPxk3RmMR7t1uRuR2mK6VfJHOe96f3rDCoYTQAhU&#10;r3pXz5v684swnvm8FrhI2Qtgs0y2St7IcY7PqfmvtQwngJC8qTNb1zgXqb7nYTyzWeR0b5RXnpRg&#10;dAJF1qCRzkVqw3sMKYCQ0Jkk5lw4AsOZzSNuTnYlUiYnUMhudJ2NglGsMAEQF2q3b3f+EisoxHDm&#10;op0w4ZUnJRhZJimr/zmOz6nbtoYhBQDgHa5LgrgWKUsldygDK1BoJU18uJkhBQDgHb8LXaRspppm&#10;mcyuzkMAdft3M6QAALxhlk6FCb9E6vemWSdnsPPFVJ14OAB4R3a/vhghPniSWOeJSNnphUalo2f2&#10;cb6R98yWjxhWACGS/9XLHZ9Ts4ltIwayyEn33SA8Kc9U0zOR0qh8Tr0+gBCf2eK8VGVzx8/tyQqM&#10;Zx4LPBsXXv0iWzUXGREy0GiGJm3iASA8CufdorVthDC9cUjauWczh0yPL26BCRbSST9vrDzG0AII&#10;iS6zr1KdS+ZqnSv9qcAopnnqYXv5y2z1XBRFq9Yd2M3QAggYKQ7ba+lDqvv8F7TOp9amkV7UDi9/&#10;YbYPF/mkdcwJ00o6e6Tq9u9ieIUwe+46cTqGSChStsxN+3ihau0rGDLGXpQvIiUqure4aL317Rju&#10;F7SHFAbNHko/INBDKqZL5XQwhjKvvSgh06eLnRY161ZvXM8QA4gQVctLycg1C1+KOvgiUraahvbW&#10;12nRAQDR8qJOPPUihjDIi1IelEAK0pOKpDcFANHg5NJ78KIM86K8KIEUqEiF7U05npkdr2SYAUQA&#10;6VZw4tGXMUQCvCi/PalIeVP0kQIwn4ZDu9UnN83EEGYx3i8vyneRsr2pwPdNkTEGED9kHerw7TcQ&#10;5jOL9X5k9AXpSQkLuI8A4AYpW3Zo1jeJeJiH79Ey30UqylUoACB8pKrEwSklCFQCvaigPCm8KQBw&#10;jKw/HbnjWvXJ9X9HiM9MrgniHwlEpGxvahb3FADSEadjD09V+0eOVtXLNmIQM1nkZaXz9sgO8EM9&#10;Zx1Pm2ht2nQAhIckRNTv3JRqXnjqjTcI60WDO4L6hwITKeneu7e4SEpBGNdGkzYd4VC5fCXlqJIs&#10;TscrEaRoMsurrrumeVKCbPiSjV/F3Geo23okdQBAZJD395Ig/8HMIP8xe8MXm5gAAKLJVD837oYu&#10;UrZQhbLBFwAAXCEp5+8E/Y9mhvRh7+B+AwBEimvC+EdDESl70a2Eew4AEAnmB5VyboonJUjf5zLu&#10;PQCA0ch7+p/D+sezw/qHZfFtb3GRJFF8yBiAJNPjiXkqZ/AIR+ccfeRO0rchKCRZoi5xImUL1Q5L&#10;qCSJYk6Y15E1aCTDEEIjd8R4lTXQmUhlnFWA4SAIloeRLNGcTAOMMFeFHPbL6FzIUIRwHsDiPMcC&#10;JdTvOYjxIAj+NvRnJOwLsN3IqYwFSCLdbvq+1nlsgoYAKAkrWcI0T0rZ7uRyxgQkiexhPVWXyXOd&#10;e1HUmgT/kXplr5hwIZkGGWUa4wKSgoT5ej/5c61Q85kdiBT4zjVBV5YwXqTsvVPjGBsQd7rMvkoV&#10;vbVZay1KqHr7NxgR/MSIMF8T2SZZRsJ+e4uLJOw3mXESfyTcVTB5UmI+b86FI1SnYeNdJepIWwt6&#10;LIGPGBPmM1KkbKa5FSl5kMnYM5+s/ueogmkPYAgHVK9eghHAT4wJ8zWRaZqFvAj7SQM1p+ROHMLw&#10;BOM5sfRZjAB+YVSYz1iRsoXqHUWldIDPUfn8PaSeg1/IMssrJl5YpsFGC32TL4ApNBzarU489SKG&#10;AL+YZlqYz3iRsjf5jmLsACh1ZMFM1VBWgyHAD0YG2Q4+Tp6UCFW59WUWYwiSzLGHp6ra17ZjCPCD&#10;RdZ71uiNd5kRMKKkMzmqRlGzaa3jfyR/1BiGKxgpUFWL38QQ4AeynHK76RdpvEjZcVKqUQACBeAt&#10;XzZ1HSpqnlRTWjr9NCARyD6/QzdfgUCBn4wzMd08siJlC5XETX1bn8rsyuZfCJ+aN5eq8itHsAYF&#10;frIo7B5RsRQpm7TWp6o3rnf8i512RgXwWpwOTPiSOjzjLrL4wE8isQ7VnOwoXazdcl7Wpy6xjmLG&#10;G0SZum1r1KnfrVSnVq9lky4ExUVRWIeKrEjZQlVtCZXsn9rPeIs20l1WqigkhTP7PlZ1e/epxuOV&#10;6vS6PQwACJrBJu+HaouMxsbGSFrbEqrLrS+t5ppLde0+q/7o6PfJYvW+iy5mGANAHJllCdQzUbzw&#10;zKha3F74m9/a3+mETqiaDgAxZXlUBSrSImXziKLtPABAW0iixA1R/gCRFqlmG32/UIhWwndOyRnb&#10;nyENAHESqMglSsTNk2ra6Pvlln+u01Mq46wChjUAxIXxUUyUiJ1I2UIlbtNgxiQAQAqpKLEjDh8k&#10;My53xL4hJU3/X3dgt+PfkTuE7rwAEHlmRamiRGJEyhaqlcounVS3f5dzY1AaCQCizaIoZ/LFXqRs&#10;oZIbRMYfACQNee/dHrcPlRnTm3XD6Z3v/87pSXkjxzHMASCKpFLNo57J1xrZcbxbcqPqd/znVY3V&#10;J2sy8rtmMn4BIOYCdVEcBSq2IiVkXfDVMw2f7JJ2u+vTFarMPucz3MHJZMjxOXuLizAc+CFQ1XH9&#10;gLH2MjLPHrix8eThMZZH1ZDWz/cewJAHgCjx5TgLVOxFSkuoivMY9gAQBQZHpbsuIpWGUDV88tGN&#10;6fxsp+GE/MCfyUz9rs0YDrwUqB2JeNaSckezzhv2bP2uTT9mbIMX6ExmGiuPYThAoBCpdoRq4Mh/&#10;6kioqDoB6dDlym85PkenCgpAkgUqcSKVjlBRdQI6fGiK81T+1TOdi5RGFRSAJAtUIkWqI6HKuXAE&#10;jwK0iXR9PmfZCq0mmdUb12NAQKCcPnNJveO2UMnXRz+n2gV4Un4jfbui1BYls1tXlXvx0NQEJmd0&#10;ifbvqX1tOzcfEChEyp1QsaHXf3rcsVBlDx2fqM98esMKbjwgUDqTxKSPgKbQX9M+Kjb0gh9UrX0F&#10;IwAChUjpC1XzDb+y7gDgFY2nKlT1qncxBCBQiJQLQzSrTJHV/xwMAt55UctLVUNZDYaAdJBafN0R&#10;KESqXaHqVNzvCNYAr7yoE0+9iCEgXYG6KAmljhApl0LV7W8fLFY0TgQPOHr/dLwocCJQ1ZgCkerY&#10;KD2LZaDcgFCBG06tKFXVyzZiCOgIec+ch0AhUo6wG4iJUM3CGuCUmjeXqqO3PYYhoCMWqZh21PWK&#10;bEzQoVA9s7e4SNao2OgCaVH5/D2q4u5nMAR0xCzrHcNAwZPyRKxWWl8GYwloj4ZDu9Whm69AoCAd&#10;xiFQiJTXQiUpod3VpwucAJ8TJ/Ge9o8cTekj6Ah5f8geqHcwRXoQ7nMmVBV7i4susr593jomY5Fk&#10;C9PpLWtU1du/ITkCnAgUGXyIlO9CVW0JlSRUlFvHHCzinNMfRqtDrfSBamqzIZXM6/ccVHVb2UoH&#10;jpAMPhIkNMhobMRmulhiNUmRUAEA7UOCBCIVqlBdYH1ZYx3FWAMAWkANPpeQOOESewBepNj4CwD/&#10;i6w/dUagEClThKqpQsV8rAGQeGSDLhUkPIJwn8fsLS6S/vObsARAIhlHejmelOlelaSudbaO9VgD&#10;IDE0tdhAoBCpSAiVuPlfU4T/AJJAU3iPFhs+QLjPZ8j+M5vCB29UBdMecHQOtfmgGSPt6AngSUXW&#10;q5LsnvMV2X8AcUKe584IFCIVF6Gqs47rrW/HYQ2zyLlwhONzzuz7GMMlmxL1afUIsvcQqdiJ1Tvq&#10;06QKvCpTHoCCQsfn1O3dh+GSiSRDSXLESsobIVJxFqpqvCpzyBo0EiNAut7T10iOQKTwqiC4wV+c&#10;pzI6O/ekpMAs4D0BIoVXBb7Safj5WudRAR3vCRCppHpVi7BGcOSPGuPci9pFMlcCWI73hEhB617V&#10;bda3skhC998gRGpsieNzzuxApGKMPHdS1uh6vCdECtoWK3kLnmcds7CGf+SM7a+yBjpPPz/9ASIV&#10;U6Q6zPmUNUKkID2harSbpHVXJFb4QrfpN2mdV7PhPYwXL5oSIxbKfkbMYR6URYoAdmX1VxWllTzz&#10;os5ettHxeQ2Hdqv9I0djwHggob2peE54UuCNZ9UUAizBGi4HfHGe6vngz7TOPb1lDQaMBxJKPw+B&#10;QqTAW6GSEOBK69tOiurqWmQP66nOWbZCay1KOLlyGUaMNpI9K/X2niFrLzoQ7osoVS/ed17N5vcW&#10;NlTXfA9rtI+kmmefO1DlXlqitXlXINQXaWTd6Roy9hApCIH6j7f+TUa33oszu5+bizX848RPblUn&#10;Hn0ZQ0RPnKbZnQgAkYJQxWrXpn/MKOxzP2LlPY2nKlT5lSNUQ1kNxogGkhQxHnGKB6xJxYSsgSP/&#10;yRKoPEusftxwbH8tFvGOk0vvQaCiI05SYuw8BApPCvCsEgFrUZERp6nW8TsSIhApQKwSxaGbr1C1&#10;r23HEGbCmhMiBXESK9Upb05WvyF9sUZ6VD5/j6q4+xkMgTgBIgWBidXe7RNUQ92jWf2/PARrtE3N&#10;m0vV4Rl3YQizkH1OC0glR6QgATQePzio4ei+FzL7DL4kI78rCTQIlMlIhYhl0ikAUyBSkDSxOlXR&#10;vaF8x/yMHufeyroVAmUQEtKTG0EyBCLF/YdPSXIoUPZCVTw+R1UtfpOBEC4S0nvEEqZyTAGIFLT+&#10;wpZQ4KE992T07PtXSfCuxHs6uuAB9kKF6zU9Zh2v0S4DEClw7l2dqbkza+DIMbH6XLs2q6rfLlWn&#10;Vq9VdVuPcKPDQQolP4fXBIgUuKbhSFn+6f9648r6T/be2lhfd1UkP8PJClW7fbs6s+UjvKbwkCae&#10;C61jC2tNgEiBL+wtLsq2vgy1jjutYzIWgQ6QcN4t1rGNcB4gUoBggSnCJOtMq0kdB0QKTBOs6dYx&#10;B4skjqZQHh4TIFJgvGBlWF8G2d7VbOsoxiqxQwq7LrbFaTfCBIgURFm0pCXucOu4WREWjLq39Evr&#10;WEt5IkCkIM5eVh/ruMQ6vodoGY2sLT1rHe9Yx04y8gCRAkQL0TLBU9qmCOEBIgXQpnA1hQel4+AE&#10;6xiDVTxH1pRW2scW6ziOpwSIFIC+t3UWwqWNhO1WWccG6/jAOg7hJQEiBRCMx9XLOvpZxyTrKFLJ&#10;DheKGP3B9o72WsdhEhwAkQIwT7xkz1aBdQy0PTDxvvrYQhbldPimEJ2yvx63jl3WUcumWUCkAOIj&#10;Yk3hQ9VMyFQzMWsiiE3Ji5p9f0B9GpJTzQRIqCQ8B0nk/wswAMnyOKF9TTXCAAAAAElFTkSuQmCC&#10;UEsBAi0AFAAGAAgAAAAhALGCZ7YKAQAAEwIAABMAAAAAAAAAAAAAAAAAAAAAAFtDb250ZW50X1R5&#10;cGVzXS54bWxQSwECLQAUAAYACAAAACEAOP0h/9YAAACUAQAACwAAAAAAAAAAAAAAAAA7AQAAX3Jl&#10;bHMvLnJlbHNQSwECLQAUAAYACAAAACEA5cSFJGMEAADBGAAADgAAAAAAAAAAAAAAAAA6AgAAZHJz&#10;L2Uyb0RvYy54bWxQSwECLQAUAAYACAAAACEAV33x6tQAAACtAgAAGQAAAAAAAAAAAAAAAADJBgAA&#10;ZHJzL19yZWxzL2Uyb0RvYy54bWwucmVsc1BLAQItABQABgAIAAAAIQAOiXIR4wAAAA0BAAAPAAAA&#10;AAAAAAAAAAAAANQHAABkcnMvZG93bnJldi54bWxQSwECLQAKAAAAAAAAACEArLCt5B4fAAAeHwAA&#10;FAAAAAAAAAAAAAAAAADkCAAAZHJzL21lZGlhL2ltYWdlNC5wbmdQSwECLQAKAAAAAAAAACEAi2Xo&#10;QW0vAABtLwAAFAAAAAAAAAAAAAAAAAA0KAAAZHJzL21lZGlhL2ltYWdlMi5wbmdQSwECLQAKAAAA&#10;AAAAACEAsG1LfUArAABAKwAAFAAAAAAAAAAAAAAAAADTVwAAZHJzL21lZGlhL2ltYWdlMS5wbmdQ&#10;SwECLQAKAAAAAAAAACEA0JXreeg6AADoOgAAFAAAAAAAAAAAAAAAAABFgwAAZHJzL21lZGlhL2lt&#10;YWdlMy5wbmdQSwUGAAAAAAkACQBCAgAAX74AAAAA&#10;">
                      <v:shape id="Immagine 9" o:spid="_x0000_s1027" type="#_x0000_t75" alt="Descrizione: iconeComunicati-03" style="position:absolute;left:10261;top:11995;width:1020;height: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pmTEAAAA2wAAAA8AAABkcnMvZG93bnJldi54bWxET01rwkAQvQv9D8sUepG6qYdQUjfBFlJK&#10;EcUo6HHITpOQ7GzIbjX117tCwds83ucsstF04kSDaywreJlFIIhLqxuuFOx3+fMrCOeRNXaWScEf&#10;OcjSh8kCE23PvKVT4SsRQtglqKD2vk+kdGVNBt3M9sSB+7GDQR/gUEk94DmEm07OoyiWBhsODTX2&#10;9FFT2Ra/RsFhGsf20hzfV+3n9zLP281+vZNKPT2OyzcQnkZ/F/+7v3SYP4fbL+EAm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pmTEAAAA2wAAAA8AAAAAAAAAAAAAAAAA&#10;nwIAAGRycy9kb3ducmV2LnhtbFBLBQYAAAAABAAEAPcAAACQAwAAAAA=&#10;">
                        <v:imagedata r:id="rId19" o:title=" iconeComunicati-03"/>
                      </v:shape>
                      <v:shape id="Immagine 8" o:spid="_x0000_s1028" type="#_x0000_t75" alt="Descrizione: iconeComunicati-06" style="position:absolute;left:10271;top:14769;width:1005;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R83EAAAA2wAAAA8AAABkcnMvZG93bnJldi54bWxEj0FPwzAMhe+T+A+RkbhtKRwYKk2nAUIw&#10;iUs7Dhy9xjTVGqdqsrb8e3xA4mbrPb/3udgtvlcTjbELbOB2k4EiboLtuDXweXxdP4CKCdliH5gM&#10;/FCEXXm1KjC3YeaKpjq1SkI45mjApTTkWsfGkce4CQOxaN9h9JhkHVttR5wl3Pf6LsvutceOpcHh&#10;QM+OmnN98QZO2fH08vHU82Wup+ZQbZ3/equMuble9o+gEi3p3/x3/W4FX+jlFxlA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7R83EAAAA2wAAAA8AAAAAAAAAAAAAAAAA&#10;nwIAAGRycy9kb3ducmV2LnhtbFBLBQYAAAAABAAEAPcAAACQAwAAAAA=&#10;">
                        <v:imagedata r:id="rId20" o:title=" iconeComunicati-06"/>
                      </v:shape>
                      <v:shape id="Immagine 2" o:spid="_x0000_s1029" type="#_x0000_t75" alt="Descrizione: iconeComunicati-02" style="position:absolute;left:635;top:10263;width:1410;height:1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FbBzCAAAA2wAAAA8AAABkcnMvZG93bnJldi54bWxET01rwkAQvRf8D8sUvNWNRYpG1xAsgrQI&#10;NrbgccyOSWh2NmbXmP57VxB6m8f7nEXSm1p01LrKsoLxKAJBnFtdcaHge79+mYJwHlljbZkU/JGD&#10;ZDl4WmCs7ZW/qMt8IUIIuxgVlN43sZQuL8mgG9mGOHAn2xr0AbaF1C1eQ7ip5WsUvUmDFYeGEhta&#10;lZT/Zhej4DzJ3rvPj3Qj+fDTHLPdVl7GWqnhc5/OQXjq/b/44d7oMH8G91/CA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RWwcwgAAANsAAAAPAAAAAAAAAAAAAAAAAJ8C&#10;AABkcnMvZG93bnJldi54bWxQSwUGAAAAAAQABAD3AAAAjgMAAAAA&#10;">
                        <v:imagedata r:id="rId21" o:title=" iconeComunicati-02"/>
                      </v:shape>
                      <v:shape id="Immagine 3" o:spid="_x0000_s1030" type="#_x0000_t75" alt="Descrizione: iconeComunicati-05" style="position:absolute;left:10246;top:10525;width:1035;height:1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G9urCAAAA2wAAAA8AAABkcnMvZG93bnJldi54bWxET89rwjAUvgv7H8IbeNPUsnWjGkWEwQ7C&#10;WOuGx0fz1nQ2L6XJtPWvN4eBx4/v92oz2FacqfeNYwWLeQKCuHK64VrBoXybvYLwAVlj65gUjORh&#10;s36YrDDX7sKfdC5CLWII+xwVmBC6XEpfGbLo564jjtyP6y2GCPta6h4vMdy2Mk2STFpsODYY7Ghn&#10;qDoVf1bBy/Vbp0fzVWfuefygJ/27t7ZUavo4bJcgAg3hLv53v2sFaVwfv8QfIN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BvbqwgAAANsAAAAPAAAAAAAAAAAAAAAAAJ8C&#10;AABkcnMvZG93bnJldi54bWxQSwUGAAAAAAQABAD3AAAAjgMAAAAA&#10;">
                        <v:imagedata r:id="rId22" o:title=" iconeComunicati-05"/>
                      </v:shape>
                    </v:group>
                  </w:pict>
                </mc:Fallback>
              </mc:AlternateContent>
            </w:r>
            <w:r w:rsidR="00F55E9A" w:rsidRPr="004A3353">
              <w:rPr>
                <w:rFonts w:ascii="Arial" w:hAnsi="Arial" w:cs="Arial"/>
                <w:color w:val="E42618"/>
                <w:sz w:val="22"/>
                <w:szCs w:val="22"/>
              </w:rPr>
              <w:t xml:space="preserve">                     </w:t>
            </w:r>
            <w:r w:rsidR="00F55E9A" w:rsidRPr="004A3353">
              <w:rPr>
                <w:rFonts w:ascii="Calibri" w:hAnsi="Calibri" w:cs="Arial"/>
                <w:color w:val="E42618"/>
                <w:sz w:val="56"/>
                <w:szCs w:val="56"/>
              </w:rPr>
              <w:t>Il commento</w:t>
            </w:r>
          </w:p>
          <w:p w:rsidR="00F55E9A" w:rsidRPr="00462842" w:rsidRDefault="00F55E9A" w:rsidP="00F527D6">
            <w:pPr>
              <w:widowControl/>
              <w:tabs>
                <w:tab w:val="left" w:pos="284"/>
              </w:tabs>
              <w:overflowPunct/>
              <w:autoSpaceDE/>
              <w:autoSpaceDN/>
              <w:adjustRightInd/>
              <w:spacing w:before="0" w:after="40"/>
              <w:jc w:val="both"/>
              <w:rPr>
                <w:rFonts w:ascii="Calibri" w:hAnsi="Calibri" w:cs="Arial"/>
                <w:color w:val="E31C18"/>
                <w:kern w:val="0"/>
              </w:rPr>
            </w:pPr>
          </w:p>
          <w:p w:rsidR="009D6968" w:rsidRDefault="009D6968" w:rsidP="0028632C">
            <w:pPr>
              <w:pStyle w:val="Paragrafobase"/>
              <w:tabs>
                <w:tab w:val="left" w:pos="6526"/>
              </w:tabs>
              <w:spacing w:line="260" w:lineRule="exact"/>
              <w:ind w:left="142" w:right="176"/>
              <w:jc w:val="both"/>
              <w:rPr>
                <w:rFonts w:ascii="Arial" w:hAnsi="Arial" w:cs="Arial"/>
                <w:sz w:val="21"/>
                <w:szCs w:val="21"/>
              </w:rPr>
            </w:pPr>
          </w:p>
          <w:p w:rsidR="009D6968" w:rsidRPr="002578CE" w:rsidRDefault="001A7EAE" w:rsidP="009E5626">
            <w:pPr>
              <w:pStyle w:val="Paragrafobase"/>
              <w:tabs>
                <w:tab w:val="left" w:pos="6526"/>
              </w:tabs>
              <w:spacing w:after="40" w:line="260" w:lineRule="exact"/>
              <w:ind w:left="142" w:right="176"/>
              <w:jc w:val="both"/>
              <w:rPr>
                <w:rFonts w:ascii="Arial" w:hAnsi="Arial" w:cs="Arial"/>
                <w:sz w:val="21"/>
                <w:szCs w:val="21"/>
              </w:rPr>
            </w:pPr>
            <w:r w:rsidRPr="007120A6">
              <w:rPr>
                <w:rFonts w:ascii="Arial" w:hAnsi="Arial" w:cs="Arial"/>
                <w:sz w:val="21"/>
                <w:szCs w:val="21"/>
              </w:rPr>
              <w:t>P</w:t>
            </w:r>
            <w:r>
              <w:rPr>
                <w:rFonts w:ascii="Arial" w:hAnsi="Arial" w:cs="Arial"/>
                <w:sz w:val="21"/>
                <w:szCs w:val="21"/>
              </w:rPr>
              <w:t>rosegue a dicembre</w:t>
            </w:r>
            <w:r w:rsidRPr="007120A6">
              <w:rPr>
                <w:rFonts w:ascii="Arial" w:hAnsi="Arial" w:cs="Arial"/>
                <w:sz w:val="21"/>
                <w:szCs w:val="21"/>
              </w:rPr>
              <w:t xml:space="preserve"> la fase di fless</w:t>
            </w:r>
            <w:r>
              <w:rPr>
                <w:rFonts w:ascii="Arial" w:hAnsi="Arial" w:cs="Arial"/>
                <w:sz w:val="21"/>
                <w:szCs w:val="21"/>
              </w:rPr>
              <w:t xml:space="preserve">ione dell’inflazione, scesa a </w:t>
            </w:r>
            <w:r w:rsidR="009D6968">
              <w:rPr>
                <w:rFonts w:ascii="Arial" w:hAnsi="Arial" w:cs="Arial"/>
                <w:sz w:val="21"/>
                <w:szCs w:val="21"/>
              </w:rPr>
              <w:t>+0,6% da +</w:t>
            </w:r>
            <w:r w:rsidRPr="007120A6">
              <w:rPr>
                <w:rFonts w:ascii="Arial" w:hAnsi="Arial" w:cs="Arial"/>
                <w:sz w:val="21"/>
                <w:szCs w:val="21"/>
              </w:rPr>
              <w:t xml:space="preserve">11,6% del </w:t>
            </w:r>
            <w:r>
              <w:rPr>
                <w:rFonts w:ascii="Arial" w:hAnsi="Arial" w:cs="Arial"/>
                <w:sz w:val="21"/>
                <w:szCs w:val="21"/>
              </w:rPr>
              <w:t>dicembre 2022. Nella media 2023</w:t>
            </w:r>
            <w:r w:rsidRPr="007120A6">
              <w:rPr>
                <w:rFonts w:ascii="Arial" w:hAnsi="Arial" w:cs="Arial"/>
                <w:sz w:val="21"/>
                <w:szCs w:val="21"/>
              </w:rPr>
              <w:t xml:space="preserve"> i prezzi </w:t>
            </w:r>
            <w:r>
              <w:rPr>
                <w:rFonts w:ascii="Arial" w:hAnsi="Arial" w:cs="Arial"/>
                <w:sz w:val="21"/>
                <w:szCs w:val="21"/>
              </w:rPr>
              <w:t xml:space="preserve">risultano accresciuti del </w:t>
            </w:r>
            <w:r w:rsidRPr="007120A6">
              <w:rPr>
                <w:rFonts w:ascii="Arial" w:hAnsi="Arial" w:cs="Arial"/>
                <w:sz w:val="21"/>
                <w:szCs w:val="21"/>
              </w:rPr>
              <w:t>5,7%, in netto rallentamento dal</w:t>
            </w:r>
            <w:r>
              <w:rPr>
                <w:rFonts w:ascii="Arial" w:hAnsi="Arial" w:cs="Arial"/>
                <w:sz w:val="21"/>
                <w:szCs w:val="21"/>
              </w:rPr>
              <w:t>l’</w:t>
            </w:r>
            <w:r w:rsidRPr="007120A6">
              <w:rPr>
                <w:rFonts w:ascii="Arial" w:hAnsi="Arial" w:cs="Arial"/>
                <w:sz w:val="21"/>
                <w:szCs w:val="21"/>
              </w:rPr>
              <w:t>8,1% del 2022. Tale andamento risente principalmente del venir meno delle tensioni sui prezzi dei Beni energetici (+1,2%</w:t>
            </w:r>
            <w:r>
              <w:rPr>
                <w:rFonts w:ascii="Arial" w:hAnsi="Arial" w:cs="Arial"/>
                <w:sz w:val="21"/>
                <w:szCs w:val="21"/>
              </w:rPr>
              <w:t>,</w:t>
            </w:r>
            <w:r w:rsidR="00462842">
              <w:rPr>
                <w:rFonts w:ascii="Arial" w:hAnsi="Arial" w:cs="Arial"/>
                <w:sz w:val="21"/>
                <w:szCs w:val="21"/>
              </w:rPr>
              <w:t xml:space="preserve"> da</w:t>
            </w:r>
            <w:r w:rsidRPr="007120A6">
              <w:rPr>
                <w:rFonts w:ascii="Arial" w:hAnsi="Arial" w:cs="Arial"/>
                <w:sz w:val="21"/>
                <w:szCs w:val="21"/>
              </w:rPr>
              <w:t xml:space="preserve"> +50,9% del 2022). I prezzi nel comparto alimentare evidenziano invece un’accelerazione de</w:t>
            </w:r>
            <w:r>
              <w:rPr>
                <w:rFonts w:ascii="Arial" w:hAnsi="Arial" w:cs="Arial"/>
                <w:sz w:val="21"/>
                <w:szCs w:val="21"/>
              </w:rPr>
              <w:t>lla crescita media annua (+9,8%,</w:t>
            </w:r>
            <w:r w:rsidRPr="007120A6">
              <w:rPr>
                <w:rFonts w:ascii="Arial" w:hAnsi="Arial" w:cs="Arial"/>
                <w:sz w:val="21"/>
                <w:szCs w:val="21"/>
              </w:rPr>
              <w:t xml:space="preserve"> da +8,8% del 2022), nonostante l’attenuazione della loro dinamica tendenziale</w:t>
            </w:r>
            <w:r w:rsidR="004806DB">
              <w:rPr>
                <w:rFonts w:ascii="Arial" w:hAnsi="Arial" w:cs="Arial"/>
                <w:sz w:val="21"/>
                <w:szCs w:val="21"/>
              </w:rPr>
              <w:t xml:space="preserve"> durante l</w:t>
            </w:r>
            <w:r w:rsidRPr="007120A6">
              <w:rPr>
                <w:rFonts w:ascii="Arial" w:hAnsi="Arial" w:cs="Arial"/>
                <w:sz w:val="21"/>
                <w:szCs w:val="21"/>
              </w:rPr>
              <w:t xml:space="preserve">a seconda metà dell’anno. Nel 2023, la crescita dei prezzi al netto delle componenti volatili </w:t>
            </w:r>
            <w:r>
              <w:rPr>
                <w:rFonts w:ascii="Arial" w:hAnsi="Arial" w:cs="Arial"/>
                <w:sz w:val="21"/>
                <w:szCs w:val="21"/>
              </w:rPr>
              <w:t xml:space="preserve">(inflazione di fondo) è pari a </w:t>
            </w:r>
            <w:r w:rsidR="009D6968">
              <w:rPr>
                <w:rFonts w:ascii="Arial" w:hAnsi="Arial" w:cs="Arial"/>
                <w:sz w:val="21"/>
                <w:szCs w:val="21"/>
              </w:rPr>
              <w:t>+</w:t>
            </w:r>
            <w:r>
              <w:rPr>
                <w:rFonts w:ascii="Arial" w:hAnsi="Arial" w:cs="Arial"/>
                <w:sz w:val="21"/>
                <w:szCs w:val="21"/>
              </w:rPr>
              <w:t xml:space="preserve">5,1% (da +3,8% del 2022) e </w:t>
            </w:r>
            <w:r w:rsidRPr="007120A6">
              <w:rPr>
                <w:rFonts w:ascii="Arial" w:hAnsi="Arial" w:cs="Arial"/>
                <w:sz w:val="21"/>
                <w:szCs w:val="21"/>
              </w:rPr>
              <w:t>il trascinamento dell’inflazione al 2024 è pari a +0,1%.</w:t>
            </w:r>
          </w:p>
        </w:tc>
        <w:tc>
          <w:tcPr>
            <w:tcW w:w="3290" w:type="dxa"/>
            <w:tcBorders>
              <w:top w:val="nil"/>
              <w:left w:val="single" w:sz="48" w:space="0" w:color="FFFFFF"/>
              <w:bottom w:val="single" w:sz="36" w:space="0" w:color="FFFFFF"/>
              <w:right w:val="single" w:sz="36" w:space="0" w:color="FFFFFF"/>
            </w:tcBorders>
            <w:shd w:val="clear" w:color="auto" w:fill="E31C18"/>
          </w:tcPr>
          <w:p w:rsidR="00F55E9A" w:rsidRPr="00163D97" w:rsidRDefault="000B563F" w:rsidP="002A59EC">
            <w:pPr>
              <w:pStyle w:val="Paragrafobase"/>
              <w:spacing w:before="120" w:line="320" w:lineRule="exact"/>
              <w:ind w:left="176"/>
              <w:rPr>
                <w:rFonts w:ascii="Calibri" w:hAnsi="Calibri" w:cs="Arial"/>
                <w:b/>
                <w:color w:val="FFFFFF"/>
                <w:sz w:val="28"/>
                <w:szCs w:val="28"/>
              </w:rPr>
            </w:pPr>
            <w:r>
              <w:rPr>
                <w:iCs/>
                <w:noProof/>
              </w:rPr>
              <w:drawing>
                <wp:anchor distT="0" distB="0" distL="114300" distR="114300" simplePos="0" relativeHeight="251659264" behindDoc="0" locked="0" layoutInCell="1" allowOverlap="1" wp14:anchorId="0F990215" wp14:editId="7BF19D84">
                  <wp:simplePos x="0" y="0"/>
                  <wp:positionH relativeFrom="column">
                    <wp:posOffset>1577340</wp:posOffset>
                  </wp:positionH>
                  <wp:positionV relativeFrom="paragraph">
                    <wp:posOffset>-171947</wp:posOffset>
                  </wp:positionV>
                  <wp:extent cx="657225" cy="638175"/>
                  <wp:effectExtent l="0" t="0" r="9525" b="9525"/>
                  <wp:wrapNone/>
                  <wp:docPr id="24" name="Immagine 3" descr="Descrizione: iconeComunicat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3" descr="Descrizione: iconeComunicati-0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55E9A" w:rsidRPr="00163D97">
              <w:rPr>
                <w:rFonts w:ascii="Calibri" w:hAnsi="Calibri" w:cs="Arial"/>
                <w:b/>
                <w:color w:val="FFFFFF"/>
                <w:sz w:val="28"/>
                <w:szCs w:val="28"/>
              </w:rPr>
              <w:t>PROSSIMA</w:t>
            </w:r>
            <w:r w:rsidR="00107057">
              <w:rPr>
                <w:rFonts w:ascii="Calibri" w:hAnsi="Calibri" w:cs="Arial"/>
                <w:b/>
                <w:color w:val="FFFFFF"/>
                <w:sz w:val="28"/>
                <w:szCs w:val="28"/>
              </w:rPr>
              <w:t xml:space="preserve"> </w:t>
            </w:r>
          </w:p>
          <w:p w:rsidR="00F55E9A" w:rsidRPr="00163D97" w:rsidRDefault="00F55E9A" w:rsidP="00107057">
            <w:pPr>
              <w:pStyle w:val="Paragrafobase"/>
              <w:spacing w:line="320" w:lineRule="exact"/>
              <w:ind w:left="176"/>
              <w:rPr>
                <w:rFonts w:ascii="Arial Narrow" w:hAnsi="Arial Narrow" w:cs="Arial"/>
                <w:b/>
                <w:color w:val="FFFFFF"/>
                <w:sz w:val="28"/>
                <w:szCs w:val="28"/>
              </w:rPr>
            </w:pPr>
            <w:r w:rsidRPr="00163D97">
              <w:rPr>
                <w:rFonts w:ascii="Calibri" w:hAnsi="Calibri" w:cs="Arial"/>
                <w:b/>
                <w:color w:val="FFFFFF"/>
                <w:sz w:val="28"/>
                <w:szCs w:val="28"/>
              </w:rPr>
              <w:t>DIFFUSIONE</w:t>
            </w:r>
          </w:p>
          <w:p w:rsidR="00F55E9A" w:rsidRPr="002578CE" w:rsidRDefault="00FB4168" w:rsidP="00107057">
            <w:pPr>
              <w:pStyle w:val="Paragrafobase"/>
              <w:spacing w:before="60" w:after="60" w:line="160" w:lineRule="atLeast"/>
              <w:ind w:left="176"/>
              <w:rPr>
                <w:rFonts w:ascii="Arial" w:hAnsi="Arial" w:cs="Arial"/>
                <w:sz w:val="21"/>
                <w:szCs w:val="21"/>
              </w:rPr>
            </w:pPr>
            <w:r>
              <w:rPr>
                <w:rFonts w:ascii="Arial Narrow" w:hAnsi="Arial Narrow" w:cs="Arial"/>
                <w:color w:val="FFFFFF"/>
                <w:sz w:val="22"/>
                <w:szCs w:val="22"/>
              </w:rPr>
              <w:t>1</w:t>
            </w:r>
            <w:r w:rsidR="00D41D03">
              <w:rPr>
                <w:rFonts w:ascii="Arial Narrow" w:hAnsi="Arial Narrow" w:cs="Arial"/>
                <w:color w:val="FFFFFF"/>
                <w:sz w:val="22"/>
                <w:szCs w:val="22"/>
              </w:rPr>
              <w:t xml:space="preserve"> febbraio</w:t>
            </w:r>
            <w:r w:rsidR="008F765C">
              <w:rPr>
                <w:rFonts w:ascii="Arial Narrow" w:hAnsi="Arial Narrow" w:cs="Arial"/>
                <w:color w:val="FFFFFF"/>
                <w:sz w:val="22"/>
                <w:szCs w:val="22"/>
              </w:rPr>
              <w:t xml:space="preserve"> 202</w:t>
            </w:r>
            <w:r w:rsidR="009D6968">
              <w:rPr>
                <w:rFonts w:ascii="Arial Narrow" w:hAnsi="Arial Narrow" w:cs="Arial"/>
                <w:color w:val="FFFFFF"/>
                <w:sz w:val="22"/>
                <w:szCs w:val="22"/>
              </w:rPr>
              <w:t>4</w:t>
            </w:r>
          </w:p>
        </w:tc>
      </w:tr>
      <w:tr w:rsidR="00F55E9A" w:rsidRPr="009E5626" w:rsidTr="00F527D6">
        <w:trPr>
          <w:trHeight w:val="115"/>
        </w:trPr>
        <w:tc>
          <w:tcPr>
            <w:tcW w:w="6916" w:type="dxa"/>
            <w:vMerge/>
            <w:tcBorders>
              <w:left w:val="single" w:sz="4" w:space="0" w:color="FFFFFF"/>
              <w:right w:val="single" w:sz="48" w:space="0" w:color="FFFFFF"/>
            </w:tcBorders>
            <w:shd w:val="clear" w:color="auto" w:fill="D9D9D9"/>
          </w:tcPr>
          <w:p w:rsidR="00F55E9A" w:rsidRPr="002578CE" w:rsidRDefault="00F55E9A" w:rsidP="00F527D6">
            <w:pPr>
              <w:widowControl/>
              <w:tabs>
                <w:tab w:val="left" w:pos="284"/>
                <w:tab w:val="left" w:pos="709"/>
              </w:tabs>
              <w:overflowPunct/>
              <w:autoSpaceDE/>
              <w:autoSpaceDN/>
              <w:adjustRightInd/>
              <w:spacing w:before="0" w:after="120" w:line="230" w:lineRule="exact"/>
              <w:jc w:val="both"/>
              <w:rPr>
                <w:rFonts w:ascii="Arial" w:hAnsi="Arial" w:cs="Arial"/>
                <w:sz w:val="21"/>
                <w:szCs w:val="21"/>
              </w:rPr>
            </w:pPr>
          </w:p>
        </w:tc>
        <w:tc>
          <w:tcPr>
            <w:tcW w:w="3290" w:type="dxa"/>
            <w:tcBorders>
              <w:top w:val="single" w:sz="36" w:space="0" w:color="FFFFFF"/>
              <w:left w:val="single" w:sz="48" w:space="0" w:color="FFFFFF"/>
              <w:bottom w:val="single" w:sz="36" w:space="0" w:color="FFFFFF"/>
              <w:right w:val="single" w:sz="36" w:space="0" w:color="FFFFFF"/>
            </w:tcBorders>
            <w:shd w:val="clear" w:color="auto" w:fill="E31C18"/>
          </w:tcPr>
          <w:p w:rsidR="00F55E9A" w:rsidRPr="007B5BE5" w:rsidRDefault="007B1C7B" w:rsidP="002A59EC">
            <w:pPr>
              <w:pStyle w:val="Paragrafobase"/>
              <w:spacing w:before="120" w:line="320" w:lineRule="exact"/>
              <w:ind w:left="176"/>
              <w:rPr>
                <w:rFonts w:ascii="Calibri" w:hAnsi="Calibri" w:cs="Arial"/>
                <w:b/>
                <w:color w:val="FFFFFF"/>
                <w:sz w:val="28"/>
                <w:szCs w:val="28"/>
                <w:lang w:val="en-GB"/>
              </w:rPr>
            </w:pPr>
            <w:r>
              <w:rPr>
                <w:rFonts w:ascii="Arial" w:hAnsi="Arial" w:cs="Arial"/>
                <w:noProof/>
                <w:sz w:val="21"/>
                <w:szCs w:val="21"/>
              </w:rPr>
              <w:drawing>
                <wp:anchor distT="0" distB="0" distL="114300" distR="114300" simplePos="0" relativeHeight="251664384" behindDoc="0" locked="0" layoutInCell="1" allowOverlap="1" wp14:anchorId="269B15CA" wp14:editId="269FA4A6">
                  <wp:simplePos x="0" y="0"/>
                  <wp:positionH relativeFrom="column">
                    <wp:posOffset>1566214</wp:posOffset>
                  </wp:positionH>
                  <wp:positionV relativeFrom="paragraph">
                    <wp:posOffset>-18415</wp:posOffset>
                  </wp:positionV>
                  <wp:extent cx="647700" cy="628650"/>
                  <wp:effectExtent l="0" t="0" r="0" b="0"/>
                  <wp:wrapNone/>
                  <wp:docPr id="16" name="Immagine 16" descr="Descrizione: iconeComunicat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iconeComunicati-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anchor>
              </w:drawing>
            </w:r>
            <w:r w:rsidR="00F55E9A" w:rsidRPr="007B5BE5">
              <w:rPr>
                <w:rFonts w:ascii="Calibri" w:hAnsi="Calibri" w:cs="Arial"/>
                <w:b/>
                <w:color w:val="FFFFFF"/>
                <w:sz w:val="28"/>
                <w:szCs w:val="28"/>
                <w:lang w:val="en-GB"/>
              </w:rPr>
              <w:t>Link utili</w:t>
            </w:r>
          </w:p>
          <w:p w:rsidR="00F55E9A" w:rsidRPr="004E5688" w:rsidRDefault="003F6E7D" w:rsidP="00107057">
            <w:pPr>
              <w:pStyle w:val="Paragrafobase"/>
              <w:spacing w:before="60" w:line="240" w:lineRule="exact"/>
              <w:ind w:left="176"/>
              <w:rPr>
                <w:rStyle w:val="Collegamentoipertestuale"/>
                <w:rFonts w:ascii="Arial Narrow" w:hAnsi="Arial Narrow" w:cs="Arial"/>
                <w:color w:val="FFFFFF"/>
                <w:sz w:val="22"/>
                <w:szCs w:val="22"/>
                <w:lang w:val="en-US"/>
              </w:rPr>
            </w:pPr>
            <w:hyperlink r:id="rId23" w:history="1">
              <w:r w:rsidR="00F55E9A" w:rsidRPr="004E5688">
                <w:rPr>
                  <w:rStyle w:val="Collegamentoipertestuale"/>
                  <w:rFonts w:ascii="Arial Narrow" w:hAnsi="Arial Narrow" w:cs="Arial"/>
                  <w:color w:val="FFFFFF"/>
                  <w:sz w:val="22"/>
                  <w:szCs w:val="22"/>
                  <w:lang w:val="en-US"/>
                </w:rPr>
                <w:t>http://dati.istat.it/</w:t>
              </w:r>
            </w:hyperlink>
          </w:p>
          <w:p w:rsidR="00F55E9A" w:rsidRDefault="003F6E7D" w:rsidP="00F527D6">
            <w:pPr>
              <w:pStyle w:val="Paragrafobase"/>
              <w:spacing w:before="120" w:line="240" w:lineRule="exact"/>
              <w:ind w:left="176"/>
              <w:rPr>
                <w:rStyle w:val="Collegamentoipertestuale"/>
                <w:rFonts w:ascii="Arial Narrow" w:hAnsi="Arial Narrow" w:cs="Arial"/>
                <w:color w:val="FFFFFF"/>
                <w:sz w:val="22"/>
                <w:szCs w:val="22"/>
                <w:lang w:val="en-US"/>
              </w:rPr>
            </w:pPr>
            <w:hyperlink r:id="rId24" w:history="1">
              <w:r w:rsidR="00F55E9A" w:rsidRPr="004E5688">
                <w:rPr>
                  <w:rStyle w:val="Collegamentoipertestuale"/>
                  <w:rFonts w:ascii="Arial Narrow" w:hAnsi="Arial Narrow" w:cs="Arial"/>
                  <w:color w:val="FFFFFF"/>
                  <w:sz w:val="22"/>
                  <w:szCs w:val="22"/>
                  <w:lang w:val="en-US"/>
                </w:rPr>
                <w:t>http://www.istat.it/it/congiuntura</w:t>
              </w:r>
            </w:hyperlink>
          </w:p>
          <w:p w:rsidR="00F55E9A" w:rsidRPr="006756B1" w:rsidRDefault="00F55E9A" w:rsidP="00FF2F4C">
            <w:pPr>
              <w:pStyle w:val="Paragrafobase"/>
              <w:spacing w:before="120" w:after="120" w:line="240" w:lineRule="exact"/>
              <w:ind w:left="176"/>
              <w:rPr>
                <w:rFonts w:ascii="Arial Narrow" w:hAnsi="Arial Narrow" w:cs="Arial"/>
                <w:color w:val="FFFFFF" w:themeColor="background1"/>
                <w:sz w:val="22"/>
                <w:szCs w:val="22"/>
                <w:u w:val="single"/>
                <w:lang w:val="en-US"/>
              </w:rPr>
            </w:pPr>
            <w:r w:rsidRPr="004018F1">
              <w:rPr>
                <w:rFonts w:ascii="Arial Narrow" w:hAnsi="Arial Narrow" w:cs="Arial"/>
                <w:color w:val="FFFFFF" w:themeColor="background1"/>
                <w:sz w:val="22"/>
                <w:szCs w:val="22"/>
                <w:u w:val="single"/>
                <w:lang w:val="en-US"/>
              </w:rPr>
              <w:t>http://rivaluta.istat.it/Rivaluta/</w:t>
            </w:r>
          </w:p>
        </w:tc>
      </w:tr>
      <w:tr w:rsidR="00F55E9A" w:rsidRPr="002578CE" w:rsidTr="00F527D6">
        <w:trPr>
          <w:trHeight w:val="686"/>
        </w:trPr>
        <w:tc>
          <w:tcPr>
            <w:tcW w:w="6916" w:type="dxa"/>
            <w:vMerge/>
            <w:tcBorders>
              <w:left w:val="single" w:sz="4" w:space="0" w:color="FFFFFF"/>
              <w:bottom w:val="nil"/>
              <w:right w:val="single" w:sz="48" w:space="0" w:color="FFFFFF"/>
            </w:tcBorders>
            <w:shd w:val="clear" w:color="auto" w:fill="D9D9D9"/>
          </w:tcPr>
          <w:p w:rsidR="00F55E9A" w:rsidRPr="00387CE8" w:rsidRDefault="00F55E9A" w:rsidP="00F527D6">
            <w:pPr>
              <w:widowControl/>
              <w:tabs>
                <w:tab w:val="left" w:pos="284"/>
                <w:tab w:val="left" w:pos="709"/>
              </w:tabs>
              <w:overflowPunct/>
              <w:autoSpaceDE/>
              <w:autoSpaceDN/>
              <w:adjustRightInd/>
              <w:spacing w:before="0" w:after="120" w:line="230" w:lineRule="exact"/>
              <w:jc w:val="both"/>
              <w:rPr>
                <w:rFonts w:ascii="Arial" w:hAnsi="Arial" w:cs="Arial"/>
                <w:sz w:val="21"/>
                <w:szCs w:val="21"/>
                <w:lang w:val="en-US"/>
              </w:rPr>
            </w:pPr>
          </w:p>
        </w:tc>
        <w:tc>
          <w:tcPr>
            <w:tcW w:w="3290" w:type="dxa"/>
            <w:tcBorders>
              <w:top w:val="single" w:sz="36" w:space="0" w:color="FFFFFF"/>
              <w:left w:val="single" w:sz="48" w:space="0" w:color="FFFFFF"/>
              <w:bottom w:val="single" w:sz="36" w:space="0" w:color="FFFFFF"/>
              <w:right w:val="single" w:sz="36" w:space="0" w:color="FFFFFF"/>
            </w:tcBorders>
            <w:shd w:val="clear" w:color="auto" w:fill="E31C18"/>
          </w:tcPr>
          <w:p w:rsidR="00F55E9A" w:rsidRPr="00E61ECE" w:rsidRDefault="00F55E9A" w:rsidP="002A59EC">
            <w:pPr>
              <w:pStyle w:val="Paragrafobase"/>
              <w:spacing w:before="120" w:line="320" w:lineRule="exact"/>
              <w:ind w:left="176"/>
              <w:rPr>
                <w:rFonts w:ascii="Calibri" w:hAnsi="Calibri" w:cs="Arial"/>
                <w:b/>
                <w:color w:val="FFFFFF"/>
                <w:sz w:val="28"/>
                <w:szCs w:val="28"/>
              </w:rPr>
            </w:pPr>
            <w:r w:rsidRPr="00E61ECE">
              <w:rPr>
                <w:rFonts w:ascii="Calibri" w:hAnsi="Calibri" w:cs="Arial"/>
                <w:b/>
                <w:color w:val="FFFFFF"/>
                <w:sz w:val="28"/>
                <w:szCs w:val="28"/>
              </w:rPr>
              <w:t>L’approfondimento</w:t>
            </w:r>
          </w:p>
          <w:p w:rsidR="00F55E9A" w:rsidRPr="002578CE" w:rsidRDefault="00F55E9A" w:rsidP="002A59EC">
            <w:pPr>
              <w:pStyle w:val="Paragrafobase"/>
              <w:spacing w:before="60" w:after="60" w:line="240" w:lineRule="exact"/>
              <w:ind w:left="176" w:right="-391"/>
              <w:rPr>
                <w:rFonts w:ascii="Arial" w:hAnsi="Arial" w:cs="Arial"/>
                <w:sz w:val="21"/>
                <w:szCs w:val="21"/>
              </w:rPr>
            </w:pPr>
            <w:r>
              <w:rPr>
                <w:rFonts w:ascii="Arial Narrow" w:hAnsi="Arial Narrow" w:cs="Arial"/>
                <w:color w:val="FFFFFF"/>
                <w:sz w:val="22"/>
                <w:szCs w:val="22"/>
                <w:u w:val="single"/>
              </w:rPr>
              <w:t xml:space="preserve">pagina </w:t>
            </w:r>
            <w:r w:rsidR="002664AE">
              <w:rPr>
                <w:rFonts w:ascii="Arial Narrow" w:hAnsi="Arial Narrow" w:cs="Arial"/>
                <w:color w:val="FFFFFF"/>
                <w:sz w:val="22"/>
                <w:szCs w:val="22"/>
                <w:u w:val="single"/>
              </w:rPr>
              <w:t>16</w:t>
            </w:r>
          </w:p>
        </w:tc>
      </w:tr>
    </w:tbl>
    <w:p w:rsidR="00F55E9A" w:rsidRPr="00107057" w:rsidRDefault="00F55E9A" w:rsidP="00107057">
      <w:pPr>
        <w:widowControl/>
        <w:tabs>
          <w:tab w:val="left" w:pos="10206"/>
        </w:tabs>
        <w:overflowPunct/>
        <w:spacing w:before="0" w:line="230" w:lineRule="exact"/>
        <w:jc w:val="both"/>
        <w:rPr>
          <w:rFonts w:ascii="Arial" w:hAnsi="Arial" w:cs="Arial"/>
          <w:sz w:val="21"/>
          <w:szCs w:val="21"/>
        </w:rPr>
      </w:pPr>
    </w:p>
    <w:p w:rsidR="00F832CF" w:rsidRPr="00957753" w:rsidRDefault="00F832CF" w:rsidP="00F832CF">
      <w:pPr>
        <w:pStyle w:val="Corpotesto"/>
        <w:widowControl/>
        <w:overflowPunct/>
        <w:autoSpaceDE/>
        <w:autoSpaceDN/>
        <w:adjustRightInd/>
        <w:spacing w:after="120" w:line="240" w:lineRule="auto"/>
        <w:ind w:left="284"/>
        <w:jc w:val="both"/>
        <w:rPr>
          <w:rFonts w:ascii="Arial" w:hAnsi="Arial" w:cs="Arial"/>
          <w:b/>
          <w:sz w:val="8"/>
          <w:szCs w:val="8"/>
          <w:lang w:val="en-US"/>
        </w:rPr>
        <w:sectPr w:rsidR="00F832CF" w:rsidRPr="00957753" w:rsidSect="00DD3536">
          <w:headerReference w:type="default" r:id="rId25"/>
          <w:headerReference w:type="first" r:id="rId26"/>
          <w:pgSz w:w="11907" w:h="16840" w:code="9"/>
          <w:pgMar w:top="2238" w:right="851" w:bottom="680" w:left="851" w:header="567" w:footer="204" w:gutter="0"/>
          <w:cols w:space="720"/>
          <w:noEndnote/>
          <w:docGrid w:linePitch="272"/>
        </w:sectPr>
      </w:pPr>
    </w:p>
    <w:p w:rsidR="004F26B0" w:rsidRPr="00957753" w:rsidRDefault="004F26B0" w:rsidP="008D4068">
      <w:pPr>
        <w:pStyle w:val="001TitoGra"/>
        <w:spacing w:after="120" w:line="240" w:lineRule="auto"/>
        <w:rPr>
          <w:rFonts w:cs="Calibri"/>
          <w:bCs/>
          <w:color w:val="auto"/>
          <w:kern w:val="0"/>
          <w:lang w:val="en-US"/>
        </w:rPr>
      </w:pPr>
    </w:p>
    <w:p w:rsidR="00E273E3" w:rsidRPr="00C8504B" w:rsidRDefault="001033EA" w:rsidP="001033EA">
      <w:pPr>
        <w:pStyle w:val="001TitoGra"/>
        <w:rPr>
          <w:rFonts w:ascii="Arial" w:hAnsi="Arial"/>
          <w:b w:val="0"/>
          <w:color w:val="auto"/>
          <w:sz w:val="21"/>
          <w:szCs w:val="21"/>
        </w:rPr>
      </w:pPr>
      <w:r w:rsidRPr="00C8504B">
        <w:rPr>
          <w:rFonts w:cs="Calibri"/>
          <w:bCs/>
          <w:color w:val="FF0000"/>
          <w:kern w:val="0"/>
        </w:rPr>
        <w:t>FIGURA 1.</w:t>
      </w:r>
      <w:r w:rsidRPr="00C8504B">
        <w:rPr>
          <w:rFonts w:cs="Calibri"/>
          <w:bCs/>
          <w:kern w:val="0"/>
        </w:rPr>
        <w:t xml:space="preserve"> </w:t>
      </w:r>
      <w:r w:rsidR="00DA7A68" w:rsidRPr="00C8504B">
        <w:rPr>
          <w:rFonts w:cs="Calibri"/>
          <w:bCs/>
          <w:kern w:val="0"/>
        </w:rPr>
        <w:t>INDICI DEI PREZZI AL CONSUMO NIC</w:t>
      </w:r>
      <w:r w:rsidRPr="00C8504B">
        <w:rPr>
          <w:rFonts w:cs="Calibri"/>
          <w:bCs/>
          <w:color w:val="808080"/>
          <w:kern w:val="0"/>
        </w:rPr>
        <w:t xml:space="preserve"> </w:t>
      </w:r>
    </w:p>
    <w:p w:rsidR="001033EA" w:rsidRPr="00C8504B" w:rsidRDefault="00DA7A68" w:rsidP="00CB0759">
      <w:pPr>
        <w:pStyle w:val="001TitoGra"/>
        <w:spacing w:after="120" w:line="240" w:lineRule="auto"/>
        <w:rPr>
          <w:rFonts w:cs="Calibri"/>
          <w:b w:val="0"/>
          <w:kern w:val="0"/>
          <w:sz w:val="20"/>
          <w:szCs w:val="20"/>
        </w:rPr>
      </w:pPr>
      <w:r w:rsidRPr="00C8504B">
        <w:rPr>
          <w:rFonts w:cs="Calibri"/>
          <w:b w:val="0"/>
          <w:kern w:val="0"/>
          <w:sz w:val="20"/>
          <w:szCs w:val="20"/>
        </w:rPr>
        <w:t>G</w:t>
      </w:r>
      <w:r w:rsidR="001033EA" w:rsidRPr="00C8504B">
        <w:rPr>
          <w:rFonts w:cs="Calibri"/>
          <w:b w:val="0"/>
          <w:kern w:val="0"/>
          <w:sz w:val="20"/>
          <w:szCs w:val="20"/>
        </w:rPr>
        <w:t>ennaio 201</w:t>
      </w:r>
      <w:r w:rsidR="009C1960">
        <w:rPr>
          <w:rFonts w:cs="Calibri"/>
          <w:b w:val="0"/>
          <w:kern w:val="0"/>
          <w:sz w:val="20"/>
          <w:szCs w:val="20"/>
        </w:rPr>
        <w:t>8</w:t>
      </w:r>
      <w:r w:rsidRPr="00C8504B">
        <w:rPr>
          <w:rFonts w:cs="Calibri"/>
          <w:b w:val="0"/>
          <w:kern w:val="0"/>
          <w:sz w:val="20"/>
          <w:szCs w:val="20"/>
        </w:rPr>
        <w:t xml:space="preserve"> </w:t>
      </w:r>
      <w:r w:rsidR="001033EA" w:rsidRPr="00C8504B">
        <w:rPr>
          <w:rFonts w:cs="Calibri"/>
          <w:b w:val="0"/>
          <w:kern w:val="0"/>
          <w:sz w:val="20"/>
          <w:szCs w:val="20"/>
        </w:rPr>
        <w:t>-</w:t>
      </w:r>
      <w:r w:rsidRPr="00C8504B">
        <w:rPr>
          <w:rFonts w:cs="Calibri"/>
          <w:b w:val="0"/>
          <w:kern w:val="0"/>
          <w:sz w:val="20"/>
          <w:szCs w:val="20"/>
        </w:rPr>
        <w:t xml:space="preserve"> </w:t>
      </w:r>
      <w:r w:rsidR="001C37D7">
        <w:rPr>
          <w:rFonts w:cs="Calibri"/>
          <w:b w:val="0"/>
          <w:kern w:val="0"/>
          <w:sz w:val="20"/>
          <w:szCs w:val="20"/>
        </w:rPr>
        <w:t>dicembre</w:t>
      </w:r>
      <w:r w:rsidR="00FC3406">
        <w:rPr>
          <w:rFonts w:cs="Calibri"/>
          <w:b w:val="0"/>
          <w:kern w:val="0"/>
          <w:sz w:val="20"/>
          <w:szCs w:val="20"/>
        </w:rPr>
        <w:t xml:space="preserve"> 202</w:t>
      </w:r>
      <w:r w:rsidR="009C1960">
        <w:rPr>
          <w:rFonts w:cs="Calibri"/>
          <w:b w:val="0"/>
          <w:kern w:val="0"/>
          <w:sz w:val="20"/>
          <w:szCs w:val="20"/>
        </w:rPr>
        <w:t>3</w:t>
      </w:r>
      <w:r w:rsidR="002A1B8C" w:rsidRPr="00C8504B">
        <w:rPr>
          <w:rFonts w:cs="Calibri"/>
          <w:b w:val="0"/>
          <w:kern w:val="0"/>
          <w:sz w:val="20"/>
          <w:szCs w:val="20"/>
        </w:rPr>
        <w:t>, variazioni percentuali congiunturali e tendenziali</w:t>
      </w:r>
      <w:r w:rsidR="0047143B" w:rsidRPr="00C8504B">
        <w:rPr>
          <w:rFonts w:cs="Calibri"/>
          <w:b w:val="0"/>
          <w:kern w:val="0"/>
          <w:sz w:val="20"/>
          <w:szCs w:val="20"/>
        </w:rPr>
        <w:t xml:space="preserve"> (base 2015=100)</w:t>
      </w:r>
    </w:p>
    <w:p w:rsidR="008D4068" w:rsidRPr="00C8504B" w:rsidRDefault="009A1666" w:rsidP="005E34B4">
      <w:pPr>
        <w:pStyle w:val="001TitoGra"/>
        <w:spacing w:after="120" w:line="240" w:lineRule="auto"/>
      </w:pPr>
      <w:r>
        <w:rPr>
          <w:noProof/>
        </w:rPr>
        <w:drawing>
          <wp:inline distT="0" distB="0" distL="0" distR="0" wp14:anchorId="64080140">
            <wp:extent cx="6480810" cy="3237230"/>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80810" cy="3237230"/>
                    </a:xfrm>
                    <a:prstGeom prst="rect">
                      <a:avLst/>
                    </a:prstGeom>
                    <a:noFill/>
                  </pic:spPr>
                </pic:pic>
              </a:graphicData>
            </a:graphic>
          </wp:inline>
        </w:drawing>
      </w:r>
    </w:p>
    <w:p w:rsidR="00377B2E" w:rsidRDefault="00377B2E" w:rsidP="00377B2E">
      <w:pPr>
        <w:pStyle w:val="001TitoGra"/>
        <w:spacing w:after="120" w:line="240" w:lineRule="auto"/>
        <w:rPr>
          <w:rFonts w:cs="Calibri"/>
          <w:bCs/>
          <w:color w:val="auto"/>
          <w:kern w:val="0"/>
        </w:rPr>
      </w:pPr>
    </w:p>
    <w:p w:rsidR="009477E4" w:rsidRPr="00C8504B" w:rsidRDefault="009477E4" w:rsidP="00377B2E">
      <w:pPr>
        <w:pStyle w:val="001TitoGra"/>
        <w:spacing w:after="120" w:line="240" w:lineRule="auto"/>
        <w:rPr>
          <w:rFonts w:cs="Calibri"/>
          <w:bCs/>
          <w:color w:val="auto"/>
          <w:kern w:val="0"/>
        </w:rPr>
      </w:pPr>
    </w:p>
    <w:p w:rsidR="005E34B4" w:rsidRPr="00C8504B" w:rsidRDefault="005E34B4" w:rsidP="005E34B4">
      <w:pPr>
        <w:pStyle w:val="001TitoGra"/>
        <w:spacing w:line="240" w:lineRule="auto"/>
      </w:pPr>
      <w:r w:rsidRPr="00C8504B">
        <w:rPr>
          <w:color w:val="E42618"/>
        </w:rPr>
        <w:t>PROSPETTO 1</w:t>
      </w:r>
      <w:r w:rsidRPr="00C8504B">
        <w:rPr>
          <w:color w:val="D90B13"/>
        </w:rPr>
        <w:t>.</w:t>
      </w:r>
      <w:r w:rsidRPr="00C8504B">
        <w:t xml:space="preserve"> </w:t>
      </w:r>
      <w:r w:rsidRPr="00C8504B">
        <w:rPr>
          <w:rFonts w:cs="Calibri"/>
          <w:bCs/>
          <w:kern w:val="0"/>
        </w:rPr>
        <w:t>INDICI DEI PREZZI AL CONSUMO NIC</w:t>
      </w:r>
      <w:r w:rsidR="00384595" w:rsidRPr="00C8504B">
        <w:rPr>
          <w:rFonts w:cs="Calibri"/>
          <w:bCs/>
          <w:kern w:val="0"/>
        </w:rPr>
        <w:t>,</w:t>
      </w:r>
      <w:r w:rsidRPr="00C8504B">
        <w:rPr>
          <w:rFonts w:cs="Calibri"/>
          <w:bCs/>
          <w:kern w:val="0"/>
        </w:rPr>
        <w:t xml:space="preserve"> IPCA</w:t>
      </w:r>
      <w:r w:rsidR="00384595" w:rsidRPr="00C8504B">
        <w:rPr>
          <w:rFonts w:cs="Calibri"/>
          <w:bCs/>
          <w:kern w:val="0"/>
        </w:rPr>
        <w:t xml:space="preserve"> E FOI</w:t>
      </w:r>
    </w:p>
    <w:p w:rsidR="005E34B4" w:rsidRPr="00C8504B" w:rsidRDefault="00F5157D" w:rsidP="005E34B4">
      <w:pPr>
        <w:pStyle w:val="001TitoGra"/>
        <w:spacing w:after="120" w:line="240" w:lineRule="auto"/>
        <w:rPr>
          <w:b w:val="0"/>
          <w:sz w:val="20"/>
          <w:szCs w:val="20"/>
        </w:rPr>
      </w:pPr>
      <w:r w:rsidRPr="00F5157D">
        <w:rPr>
          <w:b w:val="0"/>
          <w:sz w:val="20"/>
          <w:szCs w:val="20"/>
        </w:rPr>
        <w:t xml:space="preserve">Dicembre </w:t>
      </w:r>
      <w:r w:rsidR="00320EE6">
        <w:rPr>
          <w:b w:val="0"/>
          <w:sz w:val="20"/>
          <w:szCs w:val="20"/>
        </w:rPr>
        <w:t>202</w:t>
      </w:r>
      <w:r w:rsidR="0036447E">
        <w:rPr>
          <w:b w:val="0"/>
          <w:sz w:val="20"/>
          <w:szCs w:val="20"/>
        </w:rPr>
        <w:t>3</w:t>
      </w:r>
      <w:r w:rsidR="005F6217" w:rsidRPr="00C8504B">
        <w:rPr>
          <w:b w:val="0"/>
          <w:sz w:val="20"/>
          <w:szCs w:val="20"/>
        </w:rPr>
        <w:t>, i</w:t>
      </w:r>
      <w:r w:rsidR="005E34B4" w:rsidRPr="00C8504B">
        <w:rPr>
          <w:b w:val="0"/>
          <w:sz w:val="20"/>
          <w:szCs w:val="20"/>
        </w:rPr>
        <w:t>ndici e variazioni percentu</w:t>
      </w:r>
      <w:r w:rsidR="005F6217" w:rsidRPr="00C8504B">
        <w:rPr>
          <w:b w:val="0"/>
          <w:sz w:val="20"/>
          <w:szCs w:val="20"/>
        </w:rPr>
        <w:t>ali congiunturali e tendenziali</w:t>
      </w:r>
      <w:r w:rsidR="005E34B4" w:rsidRPr="00C8504B">
        <w:rPr>
          <w:b w:val="0"/>
          <w:sz w:val="20"/>
          <w:szCs w:val="20"/>
        </w:rPr>
        <w:t xml:space="preserve"> (base 2015=100)</w:t>
      </w:r>
    </w:p>
    <w:tbl>
      <w:tblPr>
        <w:tblW w:w="10267" w:type="dxa"/>
        <w:jc w:val="center"/>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4599"/>
        <w:gridCol w:w="1417"/>
        <w:gridCol w:w="1417"/>
        <w:gridCol w:w="1417"/>
        <w:gridCol w:w="1417"/>
      </w:tblGrid>
      <w:tr w:rsidR="00F5157D" w:rsidRPr="00C8504B" w:rsidTr="00DB1FCA">
        <w:trPr>
          <w:trHeight w:val="255"/>
          <w:jc w:val="center"/>
        </w:trPr>
        <w:tc>
          <w:tcPr>
            <w:tcW w:w="4599" w:type="dxa"/>
            <w:vMerge w:val="restart"/>
            <w:vAlign w:val="center"/>
          </w:tcPr>
          <w:p w:rsidR="00F5157D" w:rsidRPr="00C8504B" w:rsidRDefault="00F5157D" w:rsidP="00C17464">
            <w:pPr>
              <w:tabs>
                <w:tab w:val="left" w:pos="5093"/>
              </w:tabs>
              <w:spacing w:before="40" w:after="20"/>
              <w:ind w:left="-57"/>
              <w:jc w:val="center"/>
              <w:rPr>
                <w:rFonts w:ascii="Arial Narrow" w:hAnsi="Arial Narrow" w:cs="Arial"/>
                <w:b/>
                <w:bCs/>
                <w:sz w:val="18"/>
                <w:szCs w:val="18"/>
              </w:rPr>
            </w:pPr>
          </w:p>
        </w:tc>
        <w:tc>
          <w:tcPr>
            <w:tcW w:w="1417" w:type="dxa"/>
            <w:shd w:val="clear" w:color="auto" w:fill="D9D9D9"/>
            <w:vAlign w:val="center"/>
          </w:tcPr>
          <w:p w:rsidR="00F5157D" w:rsidRPr="00C8504B" w:rsidRDefault="00F5157D" w:rsidP="00C17464">
            <w:pPr>
              <w:tabs>
                <w:tab w:val="left" w:pos="5093"/>
              </w:tabs>
              <w:spacing w:before="40" w:after="20"/>
              <w:jc w:val="center"/>
              <w:rPr>
                <w:rFonts w:ascii="Arial Narrow" w:hAnsi="Arial Narrow" w:cs="Arial"/>
                <w:b/>
                <w:bCs/>
                <w:sz w:val="18"/>
                <w:szCs w:val="18"/>
              </w:rPr>
            </w:pPr>
            <w:r w:rsidRPr="00C8504B">
              <w:rPr>
                <w:rFonts w:ascii="Arial Narrow" w:hAnsi="Arial Narrow" w:cs="Arial"/>
                <w:b/>
                <w:bCs/>
                <w:snapToGrid w:val="0"/>
                <w:sz w:val="18"/>
                <w:szCs w:val="18"/>
              </w:rPr>
              <w:t>Indici</w:t>
            </w:r>
          </w:p>
        </w:tc>
        <w:tc>
          <w:tcPr>
            <w:tcW w:w="1417" w:type="dxa"/>
            <w:shd w:val="clear" w:color="auto" w:fill="auto"/>
            <w:vAlign w:val="center"/>
          </w:tcPr>
          <w:p w:rsidR="00F5157D" w:rsidRPr="00C8504B" w:rsidRDefault="00F5157D" w:rsidP="00C17464">
            <w:pPr>
              <w:tabs>
                <w:tab w:val="left" w:pos="5093"/>
              </w:tabs>
              <w:spacing w:before="40" w:after="20"/>
              <w:jc w:val="center"/>
              <w:rPr>
                <w:rFonts w:ascii="Arial Narrow" w:hAnsi="Arial Narrow" w:cs="Arial"/>
                <w:b/>
                <w:bCs/>
                <w:sz w:val="18"/>
                <w:szCs w:val="18"/>
              </w:rPr>
            </w:pPr>
            <w:r w:rsidRPr="00C8504B">
              <w:rPr>
                <w:rFonts w:ascii="Arial Narrow" w:hAnsi="Arial Narrow" w:cs="Arial"/>
                <w:b/>
                <w:bCs/>
                <w:sz w:val="18"/>
                <w:szCs w:val="18"/>
              </w:rPr>
              <w:t>Variazioni congiunturali</w:t>
            </w:r>
          </w:p>
        </w:tc>
        <w:tc>
          <w:tcPr>
            <w:tcW w:w="1417" w:type="dxa"/>
            <w:shd w:val="clear" w:color="auto" w:fill="D9D9D9"/>
            <w:vAlign w:val="center"/>
          </w:tcPr>
          <w:p w:rsidR="00F5157D" w:rsidRPr="00C8504B" w:rsidRDefault="00F5157D" w:rsidP="00C17464">
            <w:pPr>
              <w:tabs>
                <w:tab w:val="left" w:pos="5093"/>
              </w:tabs>
              <w:spacing w:before="40" w:after="20"/>
              <w:jc w:val="center"/>
              <w:rPr>
                <w:rFonts w:ascii="Arial Narrow" w:hAnsi="Arial Narrow" w:cs="Arial"/>
                <w:b/>
                <w:bCs/>
                <w:sz w:val="18"/>
                <w:szCs w:val="18"/>
              </w:rPr>
            </w:pPr>
            <w:r w:rsidRPr="00C8504B">
              <w:rPr>
                <w:rFonts w:ascii="Arial Narrow" w:hAnsi="Arial Narrow" w:cs="Arial"/>
                <w:b/>
                <w:bCs/>
                <w:sz w:val="18"/>
                <w:szCs w:val="18"/>
              </w:rPr>
              <w:t>Variazioni tendenziali</w:t>
            </w:r>
          </w:p>
        </w:tc>
        <w:tc>
          <w:tcPr>
            <w:tcW w:w="1417" w:type="dxa"/>
            <w:shd w:val="clear" w:color="auto" w:fill="D9D9D9"/>
            <w:vAlign w:val="center"/>
          </w:tcPr>
          <w:p w:rsidR="00F5157D" w:rsidRPr="00C8504B" w:rsidRDefault="00F5157D" w:rsidP="00DB1FCA">
            <w:pPr>
              <w:tabs>
                <w:tab w:val="left" w:pos="5093"/>
              </w:tabs>
              <w:spacing w:before="40" w:after="20"/>
              <w:jc w:val="center"/>
              <w:rPr>
                <w:rFonts w:ascii="Arial Narrow" w:hAnsi="Arial Narrow" w:cs="Arial"/>
                <w:b/>
                <w:bCs/>
                <w:sz w:val="18"/>
                <w:szCs w:val="18"/>
              </w:rPr>
            </w:pPr>
            <w:r w:rsidRPr="00F5157D">
              <w:rPr>
                <w:rFonts w:ascii="Arial Narrow" w:hAnsi="Arial Narrow" w:cs="Arial"/>
                <w:b/>
                <w:bCs/>
                <w:sz w:val="18"/>
                <w:szCs w:val="18"/>
              </w:rPr>
              <w:t>Variazioni medie</w:t>
            </w:r>
          </w:p>
        </w:tc>
      </w:tr>
      <w:tr w:rsidR="00F5157D" w:rsidRPr="00C8504B" w:rsidTr="00F5157D">
        <w:trPr>
          <w:trHeight w:val="255"/>
          <w:jc w:val="center"/>
        </w:trPr>
        <w:tc>
          <w:tcPr>
            <w:tcW w:w="4599" w:type="dxa"/>
            <w:vMerge/>
            <w:vAlign w:val="center"/>
          </w:tcPr>
          <w:p w:rsidR="00F5157D" w:rsidRPr="00C8504B" w:rsidRDefault="00F5157D" w:rsidP="00C17464">
            <w:pPr>
              <w:tabs>
                <w:tab w:val="left" w:pos="5093"/>
              </w:tabs>
              <w:spacing w:before="40" w:after="20"/>
              <w:ind w:left="-57"/>
              <w:rPr>
                <w:rFonts w:ascii="Arial Narrow" w:hAnsi="Arial Narrow" w:cs="Arial"/>
                <w:b/>
                <w:bCs/>
                <w:sz w:val="18"/>
                <w:szCs w:val="18"/>
              </w:rPr>
            </w:pPr>
          </w:p>
        </w:tc>
        <w:tc>
          <w:tcPr>
            <w:tcW w:w="1417" w:type="dxa"/>
            <w:shd w:val="clear" w:color="auto" w:fill="auto"/>
            <w:vAlign w:val="center"/>
          </w:tcPr>
          <w:p w:rsidR="00F5157D" w:rsidRPr="00C8504B" w:rsidRDefault="00F5157D" w:rsidP="00794F54">
            <w:pPr>
              <w:tabs>
                <w:tab w:val="left" w:pos="5093"/>
              </w:tabs>
              <w:spacing w:before="40" w:after="20"/>
              <w:jc w:val="right"/>
              <w:rPr>
                <w:rFonts w:ascii="Arial Narrow" w:hAnsi="Arial Narrow" w:cs="Arial"/>
                <w:bCs/>
                <w:sz w:val="18"/>
                <w:szCs w:val="18"/>
              </w:rPr>
            </w:pPr>
            <w:r>
              <w:rPr>
                <w:rFonts w:ascii="Arial Narrow" w:hAnsi="Arial Narrow" w:cs="Arial"/>
                <w:bCs/>
                <w:sz w:val="18"/>
                <w:szCs w:val="18"/>
              </w:rPr>
              <w:t>Dicembre</w:t>
            </w:r>
          </w:p>
          <w:p w:rsidR="00F5157D" w:rsidRPr="00C8504B" w:rsidRDefault="00E06814" w:rsidP="00320EE6">
            <w:pPr>
              <w:tabs>
                <w:tab w:val="left" w:pos="5093"/>
              </w:tabs>
              <w:spacing w:before="40" w:after="20"/>
              <w:jc w:val="right"/>
              <w:rPr>
                <w:rFonts w:ascii="Arial Narrow" w:hAnsi="Arial Narrow" w:cs="Arial"/>
                <w:bCs/>
                <w:sz w:val="18"/>
                <w:szCs w:val="18"/>
              </w:rPr>
            </w:pPr>
            <w:r>
              <w:rPr>
                <w:rFonts w:ascii="Arial Narrow" w:hAnsi="Arial Narrow" w:cs="Arial"/>
                <w:bCs/>
                <w:snapToGrid w:val="0"/>
                <w:sz w:val="18"/>
                <w:szCs w:val="18"/>
              </w:rPr>
              <w:t>202</w:t>
            </w:r>
            <w:r w:rsidR="0036447E">
              <w:rPr>
                <w:rFonts w:ascii="Arial Narrow" w:hAnsi="Arial Narrow" w:cs="Arial"/>
                <w:bCs/>
                <w:snapToGrid w:val="0"/>
                <w:sz w:val="18"/>
                <w:szCs w:val="18"/>
              </w:rPr>
              <w:t>3</w:t>
            </w:r>
          </w:p>
        </w:tc>
        <w:tc>
          <w:tcPr>
            <w:tcW w:w="1417" w:type="dxa"/>
            <w:shd w:val="clear" w:color="auto" w:fill="auto"/>
            <w:vAlign w:val="center"/>
          </w:tcPr>
          <w:p w:rsidR="00F5157D" w:rsidRPr="00EF00E1" w:rsidRDefault="00F5157D" w:rsidP="00EF00E1">
            <w:pPr>
              <w:widowControl/>
              <w:overflowPunct/>
              <w:autoSpaceDE/>
              <w:autoSpaceDN/>
              <w:adjustRightInd/>
              <w:spacing w:before="40" w:after="0"/>
              <w:jc w:val="right"/>
              <w:rPr>
                <w:rFonts w:ascii="Arial Narrow" w:hAnsi="Arial Narrow" w:cs="Arial"/>
                <w:kern w:val="0"/>
                <w:sz w:val="18"/>
                <w:szCs w:val="18"/>
                <w:u w:val="single"/>
              </w:rPr>
            </w:pPr>
            <w:r>
              <w:rPr>
                <w:rFonts w:ascii="Arial Narrow" w:hAnsi="Arial Narrow" w:cs="Arial"/>
                <w:kern w:val="0"/>
                <w:sz w:val="18"/>
                <w:szCs w:val="18"/>
                <w:u w:val="single"/>
              </w:rPr>
              <w:t>dic</w:t>
            </w:r>
            <w:r w:rsidR="0036447E">
              <w:rPr>
                <w:rFonts w:ascii="Arial Narrow" w:hAnsi="Arial Narrow" w:cs="Arial"/>
                <w:kern w:val="0"/>
                <w:sz w:val="18"/>
                <w:szCs w:val="18"/>
                <w:u w:val="single"/>
              </w:rPr>
              <w:t>-23</w:t>
            </w:r>
          </w:p>
          <w:p w:rsidR="00F5157D" w:rsidRPr="00EF00E1" w:rsidRDefault="00F5157D" w:rsidP="004018F1">
            <w:pPr>
              <w:tabs>
                <w:tab w:val="left" w:pos="5093"/>
              </w:tabs>
              <w:spacing w:before="40" w:after="20"/>
              <w:jc w:val="right"/>
              <w:rPr>
                <w:rFonts w:ascii="Arial Narrow" w:hAnsi="Arial Narrow" w:cs="Arial"/>
                <w:bCs/>
                <w:sz w:val="18"/>
                <w:szCs w:val="18"/>
              </w:rPr>
            </w:pPr>
            <w:r>
              <w:rPr>
                <w:rFonts w:ascii="Arial Narrow" w:hAnsi="Arial Narrow" w:cs="Arial"/>
                <w:kern w:val="0"/>
                <w:sz w:val="18"/>
                <w:szCs w:val="18"/>
              </w:rPr>
              <w:t>nov</w:t>
            </w:r>
            <w:r w:rsidR="00E06814">
              <w:rPr>
                <w:rFonts w:ascii="Arial Narrow" w:hAnsi="Arial Narrow" w:cs="Arial"/>
                <w:kern w:val="0"/>
                <w:sz w:val="18"/>
                <w:szCs w:val="18"/>
              </w:rPr>
              <w:t>-2</w:t>
            </w:r>
            <w:r w:rsidR="0036447E">
              <w:rPr>
                <w:rFonts w:ascii="Arial Narrow" w:hAnsi="Arial Narrow" w:cs="Arial"/>
                <w:kern w:val="0"/>
                <w:sz w:val="18"/>
                <w:szCs w:val="18"/>
              </w:rPr>
              <w:t>3</w:t>
            </w:r>
          </w:p>
        </w:tc>
        <w:tc>
          <w:tcPr>
            <w:tcW w:w="1417" w:type="dxa"/>
            <w:shd w:val="clear" w:color="auto" w:fill="auto"/>
            <w:vAlign w:val="center"/>
          </w:tcPr>
          <w:p w:rsidR="00F5157D" w:rsidRPr="00EF00E1" w:rsidRDefault="00F5157D" w:rsidP="00EF00E1">
            <w:pPr>
              <w:widowControl/>
              <w:overflowPunct/>
              <w:autoSpaceDE/>
              <w:autoSpaceDN/>
              <w:adjustRightInd/>
              <w:spacing w:before="40" w:after="0"/>
              <w:jc w:val="right"/>
              <w:rPr>
                <w:rFonts w:ascii="Arial Narrow" w:hAnsi="Arial Narrow" w:cs="Arial"/>
                <w:kern w:val="0"/>
                <w:sz w:val="18"/>
                <w:szCs w:val="18"/>
                <w:u w:val="single"/>
              </w:rPr>
            </w:pPr>
            <w:r>
              <w:rPr>
                <w:rFonts w:ascii="Arial Narrow" w:hAnsi="Arial Narrow" w:cs="Arial"/>
                <w:kern w:val="0"/>
                <w:sz w:val="18"/>
                <w:szCs w:val="18"/>
                <w:u w:val="single"/>
              </w:rPr>
              <w:t>dic</w:t>
            </w:r>
            <w:r w:rsidR="00FB4168">
              <w:rPr>
                <w:rFonts w:ascii="Arial Narrow" w:hAnsi="Arial Narrow" w:cs="Arial"/>
                <w:kern w:val="0"/>
                <w:sz w:val="18"/>
                <w:szCs w:val="18"/>
                <w:u w:val="single"/>
              </w:rPr>
              <w:t>-2</w:t>
            </w:r>
            <w:r w:rsidR="0036447E">
              <w:rPr>
                <w:rFonts w:ascii="Arial Narrow" w:hAnsi="Arial Narrow" w:cs="Arial"/>
                <w:kern w:val="0"/>
                <w:sz w:val="18"/>
                <w:szCs w:val="18"/>
                <w:u w:val="single"/>
              </w:rPr>
              <w:t>3</w:t>
            </w:r>
          </w:p>
          <w:p w:rsidR="00F5157D" w:rsidRPr="00EF00E1" w:rsidRDefault="00F5157D" w:rsidP="00EF00E1">
            <w:pPr>
              <w:tabs>
                <w:tab w:val="left" w:pos="5093"/>
              </w:tabs>
              <w:spacing w:before="40" w:after="20"/>
              <w:jc w:val="right"/>
              <w:rPr>
                <w:rFonts w:ascii="Arial Narrow" w:hAnsi="Arial Narrow" w:cs="Arial"/>
                <w:bCs/>
                <w:sz w:val="18"/>
                <w:szCs w:val="18"/>
              </w:rPr>
            </w:pPr>
            <w:r>
              <w:rPr>
                <w:rFonts w:ascii="Arial Narrow" w:hAnsi="Arial Narrow" w:cs="Arial"/>
                <w:kern w:val="0"/>
                <w:sz w:val="18"/>
                <w:szCs w:val="18"/>
              </w:rPr>
              <w:t>dic</w:t>
            </w:r>
            <w:r w:rsidR="00320EE6">
              <w:rPr>
                <w:rFonts w:ascii="Arial Narrow" w:hAnsi="Arial Narrow" w:cs="Arial"/>
                <w:kern w:val="0"/>
                <w:sz w:val="18"/>
                <w:szCs w:val="18"/>
              </w:rPr>
              <w:t>-2</w:t>
            </w:r>
            <w:r w:rsidR="0036447E">
              <w:rPr>
                <w:rFonts w:ascii="Arial Narrow" w:hAnsi="Arial Narrow" w:cs="Arial"/>
                <w:kern w:val="0"/>
                <w:sz w:val="18"/>
                <w:szCs w:val="18"/>
              </w:rPr>
              <w:t>2</w:t>
            </w:r>
          </w:p>
        </w:tc>
        <w:tc>
          <w:tcPr>
            <w:tcW w:w="1417" w:type="dxa"/>
          </w:tcPr>
          <w:p w:rsidR="00F5157D" w:rsidRDefault="0036447E" w:rsidP="00F5157D">
            <w:pPr>
              <w:widowControl/>
              <w:overflowPunct/>
              <w:autoSpaceDE/>
              <w:autoSpaceDN/>
              <w:adjustRightInd/>
              <w:spacing w:before="40" w:after="20"/>
              <w:jc w:val="right"/>
              <w:rPr>
                <w:rFonts w:ascii="Arial Narrow" w:hAnsi="Arial Narrow" w:cs="Arial"/>
                <w:kern w:val="0"/>
                <w:sz w:val="18"/>
                <w:szCs w:val="18"/>
                <w:u w:val="single"/>
              </w:rPr>
            </w:pPr>
            <w:r>
              <w:rPr>
                <w:rFonts w:ascii="Arial Narrow" w:hAnsi="Arial Narrow" w:cs="Arial"/>
                <w:kern w:val="0"/>
                <w:sz w:val="18"/>
                <w:szCs w:val="18"/>
                <w:u w:val="single"/>
              </w:rPr>
              <w:t>2023</w:t>
            </w:r>
          </w:p>
          <w:p w:rsidR="00F5157D" w:rsidRDefault="00F5157D" w:rsidP="00F5157D">
            <w:pPr>
              <w:widowControl/>
              <w:overflowPunct/>
              <w:autoSpaceDE/>
              <w:autoSpaceDN/>
              <w:adjustRightInd/>
              <w:spacing w:before="40" w:after="0"/>
              <w:jc w:val="right"/>
              <w:rPr>
                <w:rFonts w:ascii="Arial Narrow" w:hAnsi="Arial Narrow" w:cs="Arial"/>
                <w:kern w:val="0"/>
                <w:sz w:val="18"/>
                <w:szCs w:val="18"/>
                <w:u w:val="single"/>
              </w:rPr>
            </w:pPr>
            <w:r>
              <w:rPr>
                <w:rFonts w:ascii="Arial Narrow" w:hAnsi="Arial Narrow" w:cs="Arial"/>
                <w:kern w:val="0"/>
                <w:sz w:val="18"/>
                <w:szCs w:val="18"/>
              </w:rPr>
              <w:t>20</w:t>
            </w:r>
            <w:r w:rsidR="00320EE6">
              <w:rPr>
                <w:rFonts w:ascii="Arial Narrow" w:hAnsi="Arial Narrow" w:cs="Arial"/>
                <w:kern w:val="0"/>
                <w:sz w:val="18"/>
                <w:szCs w:val="18"/>
              </w:rPr>
              <w:t>2</w:t>
            </w:r>
            <w:r w:rsidR="0036447E">
              <w:rPr>
                <w:rFonts w:ascii="Arial Narrow" w:hAnsi="Arial Narrow" w:cs="Arial"/>
                <w:kern w:val="0"/>
                <w:sz w:val="18"/>
                <w:szCs w:val="18"/>
              </w:rPr>
              <w:t>2</w:t>
            </w:r>
          </w:p>
        </w:tc>
      </w:tr>
      <w:tr w:rsidR="00376D17" w:rsidRPr="00C8504B" w:rsidTr="00596941">
        <w:trPr>
          <w:trHeight w:val="255"/>
          <w:jc w:val="center"/>
        </w:trPr>
        <w:tc>
          <w:tcPr>
            <w:tcW w:w="4599" w:type="dxa"/>
            <w:vAlign w:val="center"/>
          </w:tcPr>
          <w:p w:rsidR="00376D17" w:rsidRPr="00C8504B" w:rsidRDefault="00376D17" w:rsidP="00376D17">
            <w:pPr>
              <w:tabs>
                <w:tab w:val="left" w:pos="5093"/>
              </w:tabs>
              <w:spacing w:before="40" w:after="20"/>
              <w:ind w:left="-57"/>
              <w:rPr>
                <w:rFonts w:ascii="Arial Narrow" w:hAnsi="Arial Narrow" w:cs="Arial"/>
                <w:bCs/>
                <w:sz w:val="18"/>
                <w:szCs w:val="18"/>
              </w:rPr>
            </w:pPr>
            <w:r w:rsidRPr="00C8504B">
              <w:rPr>
                <w:rFonts w:ascii="Arial Narrow" w:hAnsi="Arial Narrow" w:cs="Arial"/>
                <w:bCs/>
                <w:snapToGrid w:val="0"/>
                <w:sz w:val="18"/>
                <w:szCs w:val="18"/>
              </w:rPr>
              <w:t xml:space="preserve">Indice nazionale per l’intera collettività NIC </w:t>
            </w:r>
          </w:p>
        </w:tc>
        <w:tc>
          <w:tcPr>
            <w:tcW w:w="1417" w:type="dxa"/>
            <w:shd w:val="clear" w:color="auto" w:fill="D9D9D9"/>
            <w:vAlign w:val="bottom"/>
          </w:tcPr>
          <w:p w:rsidR="00376D17" w:rsidRPr="00376D17" w:rsidRDefault="00F54307" w:rsidP="00376D17">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119,7</w:t>
            </w:r>
          </w:p>
        </w:tc>
        <w:tc>
          <w:tcPr>
            <w:tcW w:w="1417" w:type="dxa"/>
            <w:vAlign w:val="center"/>
          </w:tcPr>
          <w:p w:rsidR="00376D17" w:rsidRPr="00376D17" w:rsidRDefault="00F54307" w:rsidP="00376D17">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+0,2</w:t>
            </w:r>
          </w:p>
        </w:tc>
        <w:tc>
          <w:tcPr>
            <w:tcW w:w="1417" w:type="dxa"/>
            <w:shd w:val="clear" w:color="auto" w:fill="D9D9D9"/>
            <w:vAlign w:val="center"/>
          </w:tcPr>
          <w:p w:rsidR="00376D17" w:rsidRPr="00376D17" w:rsidRDefault="00F54307" w:rsidP="00376D17">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+0,6</w:t>
            </w:r>
          </w:p>
        </w:tc>
        <w:tc>
          <w:tcPr>
            <w:tcW w:w="1417" w:type="dxa"/>
            <w:shd w:val="clear" w:color="auto" w:fill="auto"/>
            <w:vAlign w:val="center"/>
          </w:tcPr>
          <w:p w:rsidR="00376D17" w:rsidRPr="00FD0A42" w:rsidRDefault="00F54307" w:rsidP="00CA7E7E">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+5,7</w:t>
            </w:r>
          </w:p>
        </w:tc>
      </w:tr>
      <w:tr w:rsidR="00376D17" w:rsidRPr="00C8504B" w:rsidTr="00596941">
        <w:trPr>
          <w:trHeight w:val="255"/>
          <w:jc w:val="center"/>
        </w:trPr>
        <w:tc>
          <w:tcPr>
            <w:tcW w:w="4599" w:type="dxa"/>
            <w:vAlign w:val="center"/>
          </w:tcPr>
          <w:p w:rsidR="00376D17" w:rsidRPr="00C8504B" w:rsidRDefault="00376D17" w:rsidP="00376D17">
            <w:pPr>
              <w:tabs>
                <w:tab w:val="left" w:pos="5093"/>
              </w:tabs>
              <w:spacing w:before="40" w:after="20"/>
              <w:ind w:left="-57"/>
              <w:rPr>
                <w:rFonts w:ascii="Arial Narrow" w:hAnsi="Arial Narrow" w:cs="Arial"/>
                <w:bCs/>
                <w:sz w:val="18"/>
                <w:szCs w:val="18"/>
              </w:rPr>
            </w:pPr>
            <w:r w:rsidRPr="00C8504B">
              <w:rPr>
                <w:rFonts w:ascii="Arial Narrow" w:hAnsi="Arial Narrow" w:cs="Arial"/>
                <w:bCs/>
                <w:snapToGrid w:val="0"/>
                <w:sz w:val="18"/>
                <w:szCs w:val="18"/>
              </w:rPr>
              <w:t xml:space="preserve">Indice armonizzato IPCA </w:t>
            </w:r>
          </w:p>
        </w:tc>
        <w:tc>
          <w:tcPr>
            <w:tcW w:w="1417" w:type="dxa"/>
            <w:shd w:val="clear" w:color="auto" w:fill="D9D9D9" w:themeFill="background1" w:themeFillShade="D9"/>
            <w:vAlign w:val="bottom"/>
          </w:tcPr>
          <w:p w:rsidR="00376D17" w:rsidRPr="00376D17" w:rsidRDefault="00F54307" w:rsidP="00376D17">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121,7</w:t>
            </w:r>
          </w:p>
        </w:tc>
        <w:tc>
          <w:tcPr>
            <w:tcW w:w="1417" w:type="dxa"/>
            <w:vAlign w:val="center"/>
          </w:tcPr>
          <w:p w:rsidR="00376D17" w:rsidRPr="00376D17" w:rsidRDefault="00F54307" w:rsidP="00376D17">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+0,2</w:t>
            </w:r>
          </w:p>
        </w:tc>
        <w:tc>
          <w:tcPr>
            <w:tcW w:w="1417" w:type="dxa"/>
            <w:shd w:val="clear" w:color="auto" w:fill="D9D9D9"/>
            <w:vAlign w:val="center"/>
          </w:tcPr>
          <w:p w:rsidR="00376D17" w:rsidRPr="00376D17" w:rsidRDefault="00F54307" w:rsidP="00376D17">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+0,5</w:t>
            </w:r>
          </w:p>
        </w:tc>
        <w:tc>
          <w:tcPr>
            <w:tcW w:w="1417" w:type="dxa"/>
            <w:shd w:val="clear" w:color="auto" w:fill="auto"/>
            <w:vAlign w:val="center"/>
          </w:tcPr>
          <w:p w:rsidR="00376D17" w:rsidRPr="00FD0A42" w:rsidRDefault="00F54307" w:rsidP="00376D17">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+5,9</w:t>
            </w:r>
          </w:p>
        </w:tc>
      </w:tr>
      <w:tr w:rsidR="00376D17" w:rsidRPr="00C8504B" w:rsidTr="00596941">
        <w:trPr>
          <w:trHeight w:val="255"/>
          <w:jc w:val="center"/>
        </w:trPr>
        <w:tc>
          <w:tcPr>
            <w:tcW w:w="4599" w:type="dxa"/>
            <w:vAlign w:val="center"/>
          </w:tcPr>
          <w:p w:rsidR="00376D17" w:rsidRPr="00C8504B" w:rsidRDefault="00376D17" w:rsidP="00376D17">
            <w:pPr>
              <w:tabs>
                <w:tab w:val="left" w:pos="5093"/>
              </w:tabs>
              <w:spacing w:before="40" w:after="20"/>
              <w:ind w:left="-57"/>
              <w:rPr>
                <w:rFonts w:ascii="Arial Narrow" w:hAnsi="Arial Narrow" w:cs="Arial"/>
                <w:bCs/>
                <w:snapToGrid w:val="0"/>
                <w:sz w:val="18"/>
                <w:szCs w:val="18"/>
              </w:rPr>
            </w:pPr>
            <w:r w:rsidRPr="00C8504B">
              <w:rPr>
                <w:rFonts w:ascii="Arial Narrow" w:hAnsi="Arial Narrow" w:cs="Arial"/>
                <w:bCs/>
                <w:snapToGrid w:val="0"/>
                <w:sz w:val="18"/>
                <w:szCs w:val="18"/>
              </w:rPr>
              <w:t>Indice per le famiglie di operai e impiegati FOI (senza tabacchi)</w:t>
            </w:r>
          </w:p>
        </w:tc>
        <w:tc>
          <w:tcPr>
            <w:tcW w:w="1417" w:type="dxa"/>
            <w:shd w:val="clear" w:color="auto" w:fill="D9D9D9"/>
            <w:vAlign w:val="bottom"/>
          </w:tcPr>
          <w:p w:rsidR="00376D17" w:rsidRPr="00376D17" w:rsidRDefault="00B538FD" w:rsidP="00376D17">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118</w:t>
            </w:r>
            <w:r w:rsidR="00F54307">
              <w:rPr>
                <w:rFonts w:ascii="Arial Narrow" w:hAnsi="Arial Narrow" w:cs="Arial"/>
                <w:bCs/>
                <w:snapToGrid w:val="0"/>
                <w:sz w:val="18"/>
                <w:szCs w:val="18"/>
              </w:rPr>
              <w:t>,9</w:t>
            </w:r>
          </w:p>
        </w:tc>
        <w:tc>
          <w:tcPr>
            <w:tcW w:w="1417" w:type="dxa"/>
            <w:vAlign w:val="center"/>
          </w:tcPr>
          <w:p w:rsidR="00376D17" w:rsidRPr="00376D17" w:rsidRDefault="00F54307" w:rsidP="00376D17">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+0,2</w:t>
            </w:r>
          </w:p>
        </w:tc>
        <w:tc>
          <w:tcPr>
            <w:tcW w:w="1417" w:type="dxa"/>
            <w:shd w:val="clear" w:color="auto" w:fill="D9D9D9"/>
            <w:vAlign w:val="center"/>
          </w:tcPr>
          <w:p w:rsidR="00376D17" w:rsidRPr="00376D17" w:rsidRDefault="00F54307" w:rsidP="00376D17">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+0,6</w:t>
            </w:r>
          </w:p>
        </w:tc>
        <w:tc>
          <w:tcPr>
            <w:tcW w:w="1417" w:type="dxa"/>
            <w:shd w:val="clear" w:color="auto" w:fill="auto"/>
            <w:vAlign w:val="center"/>
          </w:tcPr>
          <w:p w:rsidR="00376D17" w:rsidRPr="00FD0A42" w:rsidRDefault="0060609E" w:rsidP="00376D17">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+5,4</w:t>
            </w:r>
          </w:p>
        </w:tc>
      </w:tr>
    </w:tbl>
    <w:p w:rsidR="00B0446F" w:rsidRPr="00C8504B" w:rsidRDefault="00B0446F" w:rsidP="005E34B4">
      <w:pPr>
        <w:pStyle w:val="001TitoGra"/>
        <w:spacing w:after="120" w:line="240" w:lineRule="auto"/>
        <w:rPr>
          <w:b w:val="0"/>
          <w:sz w:val="20"/>
          <w:szCs w:val="20"/>
        </w:rPr>
      </w:pPr>
    </w:p>
    <w:p w:rsidR="001033EA" w:rsidRPr="00C8504B" w:rsidRDefault="001033EA" w:rsidP="00A235C2">
      <w:pPr>
        <w:pStyle w:val="001TitoGra"/>
        <w:spacing w:line="240" w:lineRule="auto"/>
        <w:rPr>
          <w:rFonts w:cs="Calibri"/>
          <w:b w:val="0"/>
          <w:kern w:val="0"/>
        </w:rPr>
      </w:pPr>
    </w:p>
    <w:p w:rsidR="00DD056D" w:rsidRPr="00C8504B" w:rsidRDefault="00DD056D" w:rsidP="00A235C2">
      <w:pPr>
        <w:pStyle w:val="001TitoGra"/>
        <w:spacing w:line="240" w:lineRule="auto"/>
        <w:rPr>
          <w:rFonts w:cs="Calibri"/>
          <w:b w:val="0"/>
          <w:kern w:val="0"/>
        </w:rPr>
        <w:sectPr w:rsidR="00DD056D" w:rsidRPr="00C8504B" w:rsidSect="000161B7">
          <w:headerReference w:type="default" r:id="rId28"/>
          <w:footerReference w:type="default" r:id="rId29"/>
          <w:footerReference w:type="first" r:id="rId30"/>
          <w:pgSz w:w="11907" w:h="16840" w:code="9"/>
          <w:pgMar w:top="1534" w:right="851" w:bottom="680" w:left="851" w:header="567" w:footer="567" w:gutter="0"/>
          <w:cols w:space="720"/>
          <w:noEndnote/>
          <w:titlePg/>
          <w:docGrid w:linePitch="272"/>
        </w:sectPr>
      </w:pPr>
    </w:p>
    <w:p w:rsidR="00DC6658" w:rsidRDefault="00DC6658" w:rsidP="00DC6658">
      <w:pPr>
        <w:tabs>
          <w:tab w:val="left" w:pos="851"/>
          <w:tab w:val="left" w:pos="9639"/>
        </w:tabs>
        <w:spacing w:before="0" w:after="120"/>
        <w:jc w:val="both"/>
        <w:rPr>
          <w:rFonts w:ascii="Arial" w:hAnsi="Arial" w:cs="Arial"/>
          <w:iCs/>
          <w:sz w:val="21"/>
          <w:szCs w:val="21"/>
        </w:rPr>
      </w:pPr>
    </w:p>
    <w:p w:rsidR="00C423DB" w:rsidRPr="00C8504B" w:rsidRDefault="00C423DB" w:rsidP="002A44B4">
      <w:pPr>
        <w:pStyle w:val="00TitoGra1"/>
        <w:spacing w:line="240" w:lineRule="auto"/>
        <w:rPr>
          <w:color w:val="E42618"/>
          <w:szCs w:val="36"/>
        </w:rPr>
      </w:pPr>
      <w:r w:rsidRPr="00C8504B">
        <w:rPr>
          <w:color w:val="E42618"/>
          <w:szCs w:val="36"/>
        </w:rPr>
        <w:t>Indice nazionale dei prezzi al consumo per l’intera collettività (</w:t>
      </w:r>
      <w:r w:rsidR="00AF0B21" w:rsidRPr="00C8504B">
        <w:rPr>
          <w:color w:val="E42618"/>
          <w:szCs w:val="36"/>
        </w:rPr>
        <w:t>NIC</w:t>
      </w:r>
      <w:r w:rsidR="00107057">
        <w:rPr>
          <w:color w:val="E42618"/>
          <w:szCs w:val="36"/>
        </w:rPr>
        <w:t>)</w:t>
      </w:r>
    </w:p>
    <w:p w:rsidR="0048666F" w:rsidRPr="00FC1C2C" w:rsidRDefault="0048666F" w:rsidP="0048666F">
      <w:pPr>
        <w:tabs>
          <w:tab w:val="left" w:pos="851"/>
        </w:tabs>
        <w:spacing w:before="0" w:after="120"/>
        <w:jc w:val="both"/>
        <w:rPr>
          <w:rFonts w:ascii="Arial" w:hAnsi="Arial" w:cs="Arial"/>
          <w:iCs/>
          <w:sz w:val="2"/>
          <w:szCs w:val="21"/>
        </w:rPr>
      </w:pPr>
    </w:p>
    <w:p w:rsidR="00C423DB" w:rsidRPr="00C8504B" w:rsidRDefault="00C423DB" w:rsidP="00BD0487">
      <w:pPr>
        <w:pStyle w:val="001TitoloBolocco"/>
        <w:spacing w:after="120" w:line="240" w:lineRule="auto"/>
      </w:pPr>
      <w:r w:rsidRPr="00C8504B">
        <w:t>Le divisioni di spesa</w:t>
      </w:r>
    </w:p>
    <w:p w:rsidR="006451F7" w:rsidRDefault="007B1C7B" w:rsidP="007B1C7B">
      <w:pPr>
        <w:tabs>
          <w:tab w:val="left" w:pos="851"/>
          <w:tab w:val="left" w:pos="9639"/>
        </w:tabs>
        <w:spacing w:before="0" w:after="120"/>
        <w:jc w:val="both"/>
        <w:rPr>
          <w:rFonts w:ascii="Arial" w:hAnsi="Arial" w:cs="Arial"/>
          <w:iCs/>
          <w:sz w:val="21"/>
          <w:szCs w:val="21"/>
        </w:rPr>
      </w:pPr>
      <w:r>
        <w:rPr>
          <w:rFonts w:ascii="Arial" w:hAnsi="Arial" w:cs="Arial"/>
          <w:iCs/>
          <w:sz w:val="21"/>
          <w:szCs w:val="21"/>
        </w:rPr>
        <w:t xml:space="preserve">A dicembre il rallentamento </w:t>
      </w:r>
      <w:r w:rsidR="00FC1C2C">
        <w:rPr>
          <w:rFonts w:ascii="Arial" w:hAnsi="Arial" w:cs="Arial"/>
          <w:iCs/>
          <w:sz w:val="21"/>
          <w:szCs w:val="21"/>
        </w:rPr>
        <w:t xml:space="preserve">dell’inflazione è dovuto prevalentemente </w:t>
      </w:r>
      <w:r w:rsidR="007914E8">
        <w:rPr>
          <w:rFonts w:ascii="Arial" w:hAnsi="Arial" w:cs="Arial"/>
          <w:iCs/>
          <w:sz w:val="21"/>
          <w:szCs w:val="21"/>
        </w:rPr>
        <w:t xml:space="preserve">alla decelerazione dei prezzi </w:t>
      </w:r>
      <w:r w:rsidR="006F7B28">
        <w:rPr>
          <w:rFonts w:ascii="Arial" w:hAnsi="Arial" w:cs="Arial"/>
          <w:iCs/>
          <w:sz w:val="21"/>
          <w:szCs w:val="21"/>
        </w:rPr>
        <w:t>di Ricreazione, spettacoli e cultura (che passano da +2,3% a +1,1%), di Comunicazioni (che ampliano la flessione da -1,3% a -2,3%</w:t>
      </w:r>
      <w:r w:rsidR="006F7B28" w:rsidRPr="00BB67D7">
        <w:rPr>
          <w:rFonts w:ascii="Arial" w:hAnsi="Arial" w:cs="Arial"/>
          <w:iCs/>
          <w:sz w:val="21"/>
          <w:szCs w:val="21"/>
        </w:rPr>
        <w:t>)</w:t>
      </w:r>
      <w:r w:rsidR="006F7B28">
        <w:rPr>
          <w:rFonts w:ascii="Arial" w:hAnsi="Arial" w:cs="Arial"/>
          <w:iCs/>
          <w:sz w:val="21"/>
          <w:szCs w:val="21"/>
        </w:rPr>
        <w:t xml:space="preserve">, </w:t>
      </w:r>
      <w:r w:rsidR="007914E8">
        <w:rPr>
          <w:rFonts w:ascii="Arial" w:hAnsi="Arial" w:cs="Arial"/>
          <w:iCs/>
          <w:sz w:val="21"/>
          <w:szCs w:val="21"/>
        </w:rPr>
        <w:t xml:space="preserve">di </w:t>
      </w:r>
      <w:r w:rsidR="006F7B28" w:rsidRPr="00DF1D2E">
        <w:rPr>
          <w:rFonts w:ascii="Arial" w:hAnsi="Arial" w:cs="Arial"/>
          <w:iCs/>
          <w:sz w:val="21"/>
          <w:szCs w:val="21"/>
        </w:rPr>
        <w:t>Trasporti</w:t>
      </w:r>
      <w:r w:rsidR="006F7B28">
        <w:rPr>
          <w:rFonts w:ascii="Arial" w:hAnsi="Arial" w:cs="Arial"/>
          <w:iCs/>
          <w:sz w:val="21"/>
          <w:szCs w:val="21"/>
        </w:rPr>
        <w:t xml:space="preserve"> (da +3,4% a +2,9%) e dei </w:t>
      </w:r>
      <w:r w:rsidR="006F7B28" w:rsidRPr="007B1C7B">
        <w:rPr>
          <w:rFonts w:ascii="Arial" w:hAnsi="Arial" w:cs="Arial"/>
          <w:iCs/>
          <w:sz w:val="21"/>
          <w:szCs w:val="21"/>
        </w:rPr>
        <w:t>Servizi ricettivi e di ristorazione</w:t>
      </w:r>
      <w:r w:rsidR="006F7B28">
        <w:rPr>
          <w:rFonts w:ascii="Arial" w:hAnsi="Arial" w:cs="Arial"/>
          <w:iCs/>
          <w:sz w:val="21"/>
          <w:szCs w:val="21"/>
        </w:rPr>
        <w:t xml:space="preserve"> (da +5,1% a +4,6%)</w:t>
      </w:r>
      <w:r w:rsidR="00287F62">
        <w:rPr>
          <w:rFonts w:ascii="Arial" w:hAnsi="Arial" w:cs="Arial"/>
          <w:iCs/>
          <w:sz w:val="21"/>
          <w:szCs w:val="21"/>
        </w:rPr>
        <w:t xml:space="preserve"> </w:t>
      </w:r>
      <w:r w:rsidR="00EF3FD0">
        <w:rPr>
          <w:rFonts w:ascii="Arial" w:hAnsi="Arial" w:cs="Arial"/>
          <w:iCs/>
          <w:sz w:val="21"/>
          <w:szCs w:val="21"/>
        </w:rPr>
        <w:t>(Prospetto 2 e Figura 2);</w:t>
      </w:r>
      <w:r w:rsidR="006F7B28">
        <w:rPr>
          <w:rFonts w:ascii="Arial" w:hAnsi="Arial" w:cs="Arial"/>
          <w:iCs/>
          <w:sz w:val="21"/>
          <w:szCs w:val="21"/>
        </w:rPr>
        <w:t xml:space="preserve"> </w:t>
      </w:r>
      <w:r w:rsidR="00EF3FD0">
        <w:rPr>
          <w:rFonts w:ascii="Arial" w:hAnsi="Arial" w:cs="Arial"/>
          <w:iCs/>
          <w:sz w:val="21"/>
          <w:szCs w:val="21"/>
        </w:rPr>
        <w:t xml:space="preserve">tale dinamica è stata solo in parte compensata </w:t>
      </w:r>
      <w:r w:rsidR="00FF3BB2">
        <w:rPr>
          <w:rFonts w:ascii="Arial" w:hAnsi="Arial" w:cs="Arial"/>
          <w:iCs/>
          <w:sz w:val="21"/>
          <w:szCs w:val="21"/>
        </w:rPr>
        <w:t>dalla minore flessione</w:t>
      </w:r>
      <w:r w:rsidR="00EF3FD0">
        <w:rPr>
          <w:rFonts w:ascii="Arial" w:hAnsi="Arial" w:cs="Arial"/>
          <w:iCs/>
          <w:sz w:val="21"/>
          <w:szCs w:val="21"/>
        </w:rPr>
        <w:t xml:space="preserve"> dei prezzi</w:t>
      </w:r>
      <w:r w:rsidR="00EF3FD0" w:rsidRPr="002F3F09">
        <w:rPr>
          <w:rFonts w:ascii="Arial" w:hAnsi="Arial" w:cs="Arial"/>
          <w:iCs/>
          <w:sz w:val="21"/>
          <w:szCs w:val="21"/>
        </w:rPr>
        <w:t xml:space="preserve"> </w:t>
      </w:r>
      <w:r w:rsidR="003A14E4">
        <w:rPr>
          <w:rFonts w:ascii="Arial" w:hAnsi="Arial" w:cs="Arial"/>
          <w:iCs/>
          <w:sz w:val="21"/>
          <w:szCs w:val="21"/>
        </w:rPr>
        <w:t xml:space="preserve">di </w:t>
      </w:r>
      <w:r w:rsidR="007914E8" w:rsidRPr="002F3F09">
        <w:rPr>
          <w:rFonts w:ascii="Arial" w:hAnsi="Arial" w:cs="Arial"/>
          <w:iCs/>
          <w:sz w:val="21"/>
          <w:szCs w:val="21"/>
        </w:rPr>
        <w:t>Abitazione, acqua, elettricità e combustibili</w:t>
      </w:r>
      <w:r w:rsidR="007914E8">
        <w:rPr>
          <w:rFonts w:ascii="Arial" w:hAnsi="Arial" w:cs="Arial"/>
          <w:iCs/>
          <w:sz w:val="21"/>
          <w:szCs w:val="21"/>
        </w:rPr>
        <w:t xml:space="preserve"> </w:t>
      </w:r>
      <w:r w:rsidR="00FC1C2C">
        <w:rPr>
          <w:rFonts w:ascii="Arial" w:hAnsi="Arial" w:cs="Arial"/>
          <w:iCs/>
          <w:sz w:val="21"/>
          <w:szCs w:val="21"/>
        </w:rPr>
        <w:t xml:space="preserve">(da </w:t>
      </w:r>
      <w:r w:rsidR="003A14E4">
        <w:rPr>
          <w:rFonts w:ascii="Arial" w:hAnsi="Arial" w:cs="Arial"/>
          <w:iCs/>
          <w:sz w:val="21"/>
          <w:szCs w:val="21"/>
        </w:rPr>
        <w:t>-19,9</w:t>
      </w:r>
      <w:r w:rsidR="00FC1C2C">
        <w:rPr>
          <w:rFonts w:ascii="Arial" w:hAnsi="Arial" w:cs="Arial"/>
          <w:iCs/>
          <w:sz w:val="21"/>
          <w:szCs w:val="21"/>
        </w:rPr>
        <w:t xml:space="preserve">% a </w:t>
      </w:r>
      <w:r w:rsidR="003A14E4">
        <w:rPr>
          <w:rFonts w:ascii="Arial" w:hAnsi="Arial" w:cs="Arial"/>
          <w:iCs/>
          <w:sz w:val="21"/>
          <w:szCs w:val="21"/>
        </w:rPr>
        <w:t>-19,3</w:t>
      </w:r>
      <w:r w:rsidR="00DC6658">
        <w:rPr>
          <w:rFonts w:ascii="Arial" w:hAnsi="Arial" w:cs="Arial"/>
          <w:iCs/>
          <w:sz w:val="21"/>
          <w:szCs w:val="21"/>
        </w:rPr>
        <w:t>%</w:t>
      </w:r>
      <w:r w:rsidR="00FF3BB2">
        <w:rPr>
          <w:rFonts w:ascii="Arial" w:hAnsi="Arial" w:cs="Arial"/>
          <w:iCs/>
          <w:sz w:val="21"/>
          <w:szCs w:val="21"/>
        </w:rPr>
        <w:t>)</w:t>
      </w:r>
      <w:r w:rsidR="007914E8">
        <w:rPr>
          <w:rFonts w:ascii="Arial" w:hAnsi="Arial" w:cs="Arial"/>
          <w:iCs/>
          <w:sz w:val="21"/>
          <w:szCs w:val="21"/>
        </w:rPr>
        <w:t>.</w:t>
      </w:r>
    </w:p>
    <w:p w:rsidR="003346B6" w:rsidRDefault="003346B6" w:rsidP="003346B6">
      <w:pPr>
        <w:tabs>
          <w:tab w:val="left" w:pos="851"/>
          <w:tab w:val="left" w:pos="9639"/>
        </w:tabs>
        <w:spacing w:before="0" w:after="120"/>
        <w:jc w:val="both"/>
        <w:rPr>
          <w:rFonts w:ascii="Arial" w:hAnsi="Arial" w:cs="Arial"/>
          <w:iCs/>
          <w:sz w:val="21"/>
          <w:szCs w:val="21"/>
        </w:rPr>
      </w:pPr>
      <w:r>
        <w:rPr>
          <w:rFonts w:ascii="Arial" w:hAnsi="Arial" w:cs="Arial"/>
          <w:iCs/>
          <w:sz w:val="21"/>
          <w:szCs w:val="21"/>
        </w:rPr>
        <w:t xml:space="preserve">Scomponendo il tasso di inflazione nella somma dei contributi dovuti alle singole divisioni, l’impatto più ampio sulla crescita tendenziale dell’indice generale dei prezzi al consumo deriva dai prezzi dei </w:t>
      </w:r>
      <w:r w:rsidRPr="00594D50">
        <w:rPr>
          <w:rFonts w:ascii="Arial" w:hAnsi="Arial" w:cs="Arial"/>
          <w:iCs/>
          <w:sz w:val="21"/>
          <w:szCs w:val="21"/>
        </w:rPr>
        <w:t>Prodotti alimentari e bevande analcoliche</w:t>
      </w:r>
      <w:r>
        <w:rPr>
          <w:rFonts w:ascii="Arial" w:hAnsi="Arial" w:cs="Arial"/>
          <w:iCs/>
          <w:sz w:val="21"/>
          <w:szCs w:val="21"/>
        </w:rPr>
        <w:t xml:space="preserve"> (</w:t>
      </w:r>
      <w:r w:rsidR="008F73E8">
        <w:rPr>
          <w:rFonts w:ascii="Arial" w:hAnsi="Arial" w:cs="Arial"/>
          <w:iCs/>
          <w:sz w:val="21"/>
          <w:szCs w:val="21"/>
        </w:rPr>
        <w:t>1,003</w:t>
      </w:r>
      <w:r>
        <w:rPr>
          <w:rFonts w:ascii="Arial" w:hAnsi="Arial" w:cs="Arial"/>
          <w:iCs/>
          <w:sz w:val="21"/>
          <w:szCs w:val="21"/>
        </w:rPr>
        <w:t>)</w:t>
      </w:r>
      <w:r w:rsidR="00FC1C2C">
        <w:rPr>
          <w:rFonts w:ascii="Arial" w:hAnsi="Arial" w:cs="Arial"/>
          <w:iCs/>
          <w:sz w:val="21"/>
          <w:szCs w:val="21"/>
        </w:rPr>
        <w:t>;</w:t>
      </w:r>
      <w:r>
        <w:rPr>
          <w:rFonts w:ascii="Arial" w:hAnsi="Arial" w:cs="Arial"/>
          <w:iCs/>
          <w:sz w:val="21"/>
          <w:szCs w:val="21"/>
        </w:rPr>
        <w:t xml:space="preserve"> minore</w:t>
      </w:r>
      <w:r w:rsidR="00FC1C2C">
        <w:rPr>
          <w:rFonts w:ascii="Arial" w:hAnsi="Arial" w:cs="Arial"/>
          <w:iCs/>
          <w:sz w:val="21"/>
          <w:szCs w:val="21"/>
        </w:rPr>
        <w:t xml:space="preserve"> quello </w:t>
      </w:r>
      <w:r>
        <w:rPr>
          <w:rFonts w:ascii="Arial" w:hAnsi="Arial" w:cs="Arial"/>
          <w:iCs/>
          <w:sz w:val="21"/>
          <w:szCs w:val="21"/>
        </w:rPr>
        <w:t xml:space="preserve">dei </w:t>
      </w:r>
      <w:r w:rsidR="00FC1C2C">
        <w:rPr>
          <w:rFonts w:ascii="Arial" w:hAnsi="Arial" w:cs="Arial"/>
          <w:iCs/>
          <w:sz w:val="21"/>
          <w:szCs w:val="21"/>
        </w:rPr>
        <w:t xml:space="preserve">prezzi </w:t>
      </w:r>
      <w:r w:rsidR="008F73E8">
        <w:rPr>
          <w:rFonts w:ascii="Arial" w:hAnsi="Arial" w:cs="Arial"/>
          <w:iCs/>
          <w:sz w:val="21"/>
          <w:szCs w:val="21"/>
        </w:rPr>
        <w:t xml:space="preserve">dei Servizi ricettivi e di ristorazione (0,502) e </w:t>
      </w:r>
      <w:r w:rsidR="00FC1C2C">
        <w:rPr>
          <w:rFonts w:ascii="Arial" w:hAnsi="Arial" w:cs="Arial"/>
          <w:iCs/>
          <w:sz w:val="21"/>
          <w:szCs w:val="21"/>
        </w:rPr>
        <w:t xml:space="preserve">dei </w:t>
      </w:r>
      <w:r>
        <w:rPr>
          <w:rFonts w:ascii="Arial" w:hAnsi="Arial" w:cs="Arial"/>
          <w:iCs/>
          <w:sz w:val="21"/>
          <w:szCs w:val="21"/>
        </w:rPr>
        <w:t>Trasporti (0,</w:t>
      </w:r>
      <w:r w:rsidR="008F73E8">
        <w:rPr>
          <w:rFonts w:ascii="Arial" w:hAnsi="Arial" w:cs="Arial"/>
          <w:iCs/>
          <w:sz w:val="21"/>
          <w:szCs w:val="21"/>
        </w:rPr>
        <w:t>418)</w:t>
      </w:r>
      <w:r>
        <w:rPr>
          <w:rFonts w:ascii="Arial" w:hAnsi="Arial" w:cs="Arial"/>
          <w:iCs/>
          <w:sz w:val="21"/>
          <w:szCs w:val="21"/>
        </w:rPr>
        <w:t xml:space="preserve">. </w:t>
      </w:r>
      <w:r w:rsidR="008F73E8">
        <w:rPr>
          <w:rFonts w:ascii="Arial" w:hAnsi="Arial" w:cs="Arial"/>
          <w:iCs/>
          <w:sz w:val="21"/>
          <w:szCs w:val="21"/>
        </w:rPr>
        <w:t xml:space="preserve">Un significativo contributo negativo viene dalla divisione </w:t>
      </w:r>
      <w:r w:rsidR="008F73E8" w:rsidRPr="002F3F09">
        <w:rPr>
          <w:rFonts w:ascii="Arial" w:hAnsi="Arial" w:cs="Arial"/>
          <w:iCs/>
          <w:sz w:val="21"/>
          <w:szCs w:val="21"/>
        </w:rPr>
        <w:t>Abitazione, acqua, elettricità e combustibili</w:t>
      </w:r>
      <w:r w:rsidR="00DC6658">
        <w:rPr>
          <w:rFonts w:ascii="Arial" w:hAnsi="Arial" w:cs="Arial"/>
          <w:iCs/>
          <w:sz w:val="21"/>
          <w:szCs w:val="21"/>
        </w:rPr>
        <w:t xml:space="preserve">         </w:t>
      </w:r>
      <w:r w:rsidR="008F73E8">
        <w:rPr>
          <w:rFonts w:ascii="Arial" w:hAnsi="Arial" w:cs="Arial"/>
          <w:iCs/>
          <w:sz w:val="21"/>
          <w:szCs w:val="21"/>
        </w:rPr>
        <w:t xml:space="preserve">(-2,343 punti percentuali), unitamente a quello di più modesta </w:t>
      </w:r>
      <w:r>
        <w:rPr>
          <w:rFonts w:ascii="Arial" w:hAnsi="Arial" w:cs="Arial"/>
          <w:iCs/>
          <w:sz w:val="21"/>
          <w:szCs w:val="21"/>
        </w:rPr>
        <w:t>entità dei prezzi delle Comunicazioni (-0,0</w:t>
      </w:r>
      <w:r w:rsidR="008F73E8">
        <w:rPr>
          <w:rFonts w:ascii="Arial" w:hAnsi="Arial" w:cs="Arial"/>
          <w:iCs/>
          <w:sz w:val="21"/>
          <w:szCs w:val="21"/>
        </w:rPr>
        <w:t>52</w:t>
      </w:r>
      <w:r>
        <w:rPr>
          <w:rFonts w:ascii="Arial" w:hAnsi="Arial" w:cs="Arial"/>
          <w:iCs/>
          <w:sz w:val="21"/>
          <w:szCs w:val="21"/>
        </w:rPr>
        <w:t>).</w:t>
      </w:r>
    </w:p>
    <w:p w:rsidR="00DC6658" w:rsidRDefault="00DC6658" w:rsidP="003346B6">
      <w:pPr>
        <w:tabs>
          <w:tab w:val="left" w:pos="851"/>
          <w:tab w:val="left" w:pos="9639"/>
        </w:tabs>
        <w:spacing w:before="0" w:after="120"/>
        <w:jc w:val="both"/>
        <w:rPr>
          <w:rFonts w:ascii="Arial" w:hAnsi="Arial" w:cs="Arial"/>
          <w:iCs/>
          <w:sz w:val="21"/>
          <w:szCs w:val="21"/>
        </w:rPr>
      </w:pPr>
    </w:p>
    <w:p w:rsidR="00C423DB" w:rsidRPr="00C8504B" w:rsidRDefault="005F50EA" w:rsidP="00C17464">
      <w:pPr>
        <w:pStyle w:val="Corpotesto"/>
        <w:tabs>
          <w:tab w:val="left" w:pos="6237"/>
        </w:tabs>
        <w:spacing w:after="120" w:line="240" w:lineRule="exact"/>
        <w:jc w:val="both"/>
        <w:rPr>
          <w:rFonts w:ascii="Arial Narrow" w:hAnsi="Arial Narrow" w:cs="Arial"/>
          <w:color w:val="5F5F5F"/>
        </w:rPr>
      </w:pPr>
      <w:r w:rsidRPr="00C8504B">
        <w:rPr>
          <w:rFonts w:ascii="Arial Narrow" w:hAnsi="Arial Narrow" w:cs="Arial"/>
          <w:b/>
          <w:color w:val="E42618"/>
          <w:sz w:val="22"/>
          <w:szCs w:val="22"/>
        </w:rPr>
        <w:t xml:space="preserve">PROSPETTO </w:t>
      </w:r>
      <w:r w:rsidR="00E74721" w:rsidRPr="00C8504B">
        <w:rPr>
          <w:rFonts w:ascii="Arial Narrow" w:hAnsi="Arial Narrow" w:cs="Arial"/>
          <w:b/>
          <w:color w:val="E42618"/>
          <w:sz w:val="22"/>
          <w:szCs w:val="22"/>
        </w:rPr>
        <w:t>2</w:t>
      </w:r>
      <w:r w:rsidRPr="00C8504B">
        <w:rPr>
          <w:rFonts w:ascii="Arial Narrow" w:hAnsi="Arial Narrow" w:cs="Arial"/>
          <w:b/>
          <w:color w:val="E42618"/>
          <w:sz w:val="22"/>
          <w:szCs w:val="22"/>
        </w:rPr>
        <w:t>.</w:t>
      </w:r>
      <w:r w:rsidRPr="00C8504B">
        <w:rPr>
          <w:rFonts w:ascii="Arial Narrow" w:hAnsi="Arial Narrow" w:cs="Arial"/>
          <w:b/>
          <w:color w:val="2298D1"/>
          <w:sz w:val="22"/>
          <w:szCs w:val="22"/>
        </w:rPr>
        <w:t xml:space="preserve"> </w:t>
      </w:r>
      <w:r w:rsidR="00C423DB" w:rsidRPr="00C8504B">
        <w:rPr>
          <w:rFonts w:ascii="Arial Narrow" w:hAnsi="Arial Narrow" w:cs="Calibri"/>
          <w:b/>
          <w:bCs/>
          <w:color w:val="5F5F5F"/>
          <w:kern w:val="0"/>
          <w:sz w:val="22"/>
          <w:szCs w:val="22"/>
        </w:rPr>
        <w:t>I</w:t>
      </w:r>
      <w:r w:rsidR="00FA79D6" w:rsidRPr="00C8504B">
        <w:rPr>
          <w:rFonts w:ascii="Arial Narrow" w:hAnsi="Arial Narrow" w:cs="Calibri"/>
          <w:b/>
          <w:bCs/>
          <w:color w:val="5F5F5F"/>
          <w:kern w:val="0"/>
          <w:sz w:val="22"/>
          <w:szCs w:val="22"/>
        </w:rPr>
        <w:t>NDICI DEI PREZZI AL CONSUMO NIC</w:t>
      </w:r>
      <w:r w:rsidR="00C423DB" w:rsidRPr="00C8504B">
        <w:rPr>
          <w:rFonts w:ascii="Arial Narrow" w:hAnsi="Arial Narrow" w:cs="Calibri"/>
          <w:b/>
          <w:bCs/>
          <w:color w:val="5F5F5F"/>
          <w:kern w:val="0"/>
          <w:sz w:val="22"/>
          <w:szCs w:val="22"/>
        </w:rPr>
        <w:t xml:space="preserve"> PER DIVISIONE DI SPESA</w:t>
      </w:r>
      <w:r w:rsidR="00FE128D" w:rsidRPr="00C8504B">
        <w:rPr>
          <w:rFonts w:ascii="Arial Narrow" w:hAnsi="Arial Narrow" w:cs="Arial"/>
          <w:b/>
          <w:caps/>
          <w:color w:val="5F5F5F"/>
        </w:rPr>
        <w:t xml:space="preserve"> </w:t>
      </w:r>
      <w:r w:rsidR="00C423DB" w:rsidRPr="00C8504B">
        <w:rPr>
          <w:rFonts w:ascii="Arial Narrow" w:hAnsi="Arial Narrow" w:cs="Arial"/>
          <w:b/>
          <w:caps/>
          <w:color w:val="5F5F5F"/>
        </w:rPr>
        <w:br/>
      </w:r>
      <w:r w:rsidR="001C37D7">
        <w:rPr>
          <w:rFonts w:ascii="Arial Narrow" w:hAnsi="Arial Narrow" w:cs="Arial"/>
          <w:color w:val="5F5F5F"/>
        </w:rPr>
        <w:t>Dicembre</w:t>
      </w:r>
      <w:r w:rsidR="004018F1" w:rsidRPr="004018F1">
        <w:rPr>
          <w:rFonts w:ascii="Arial Narrow" w:hAnsi="Arial Narrow" w:cs="Arial"/>
          <w:color w:val="5F5F5F"/>
        </w:rPr>
        <w:t xml:space="preserve"> </w:t>
      </w:r>
      <w:r w:rsidR="00320EE6">
        <w:rPr>
          <w:rFonts w:ascii="Arial Narrow" w:hAnsi="Arial Narrow" w:cs="Arial"/>
          <w:color w:val="5F5F5F"/>
        </w:rPr>
        <w:t>202</w:t>
      </w:r>
      <w:r w:rsidR="000715F4">
        <w:rPr>
          <w:rFonts w:ascii="Arial Narrow" w:hAnsi="Arial Narrow" w:cs="Arial"/>
          <w:color w:val="5F5F5F"/>
        </w:rPr>
        <w:t>3</w:t>
      </w:r>
      <w:r w:rsidR="003630E3" w:rsidRPr="00C8504B">
        <w:rPr>
          <w:rFonts w:ascii="Arial Narrow" w:hAnsi="Arial Narrow" w:cs="Arial"/>
          <w:color w:val="5F5F5F"/>
        </w:rPr>
        <w:t xml:space="preserve">, pesi, </w:t>
      </w:r>
      <w:r w:rsidR="002A44B4">
        <w:rPr>
          <w:rFonts w:ascii="Arial Narrow" w:hAnsi="Arial Narrow" w:cs="Arial"/>
          <w:color w:val="5F5F5F"/>
        </w:rPr>
        <w:t>variazioni perc</w:t>
      </w:r>
      <w:r w:rsidR="006C5F1A">
        <w:rPr>
          <w:rFonts w:ascii="Arial Narrow" w:hAnsi="Arial Narrow" w:cs="Arial"/>
          <w:color w:val="5F5F5F"/>
        </w:rPr>
        <w:t>entuali</w:t>
      </w:r>
      <w:r w:rsidR="0060323E" w:rsidRPr="00C8504B">
        <w:rPr>
          <w:rFonts w:ascii="Arial Narrow" w:hAnsi="Arial Narrow" w:cs="Arial"/>
          <w:color w:val="5F5F5F"/>
        </w:rPr>
        <w:t xml:space="preserve"> congiunturali e tendenziali </w:t>
      </w:r>
      <w:r w:rsidR="00A25192" w:rsidRPr="00C8504B">
        <w:rPr>
          <w:rFonts w:ascii="Arial Narrow" w:hAnsi="Arial Narrow" w:cs="Arial"/>
          <w:color w:val="5F5F5F"/>
        </w:rPr>
        <w:t>e</w:t>
      </w:r>
      <w:r w:rsidR="003630E3" w:rsidRPr="00C8504B">
        <w:rPr>
          <w:rFonts w:ascii="Arial Narrow" w:hAnsi="Arial Narrow" w:cs="Arial"/>
          <w:color w:val="5F5F5F"/>
        </w:rPr>
        <w:t xml:space="preserve"> contributi</w:t>
      </w:r>
      <w:r w:rsidR="00A25192" w:rsidRPr="00C8504B">
        <w:rPr>
          <w:rFonts w:ascii="Arial Narrow" w:hAnsi="Arial Narrow" w:cs="Arial"/>
          <w:color w:val="5F5F5F"/>
        </w:rPr>
        <w:t xml:space="preserve"> </w:t>
      </w:r>
      <w:r w:rsidR="00C17464" w:rsidRPr="00C8504B">
        <w:rPr>
          <w:rFonts w:ascii="Arial Narrow" w:hAnsi="Arial Narrow" w:cs="Arial"/>
          <w:color w:val="5F5F5F"/>
        </w:rPr>
        <w:t>alla variazione tend</w:t>
      </w:r>
      <w:r w:rsidR="00FC1C2C">
        <w:rPr>
          <w:rFonts w:ascii="Arial Narrow" w:hAnsi="Arial Narrow" w:cs="Arial"/>
          <w:color w:val="5F5F5F"/>
        </w:rPr>
        <w:t>.</w:t>
      </w:r>
      <w:r w:rsidR="00C17464" w:rsidRPr="00C8504B">
        <w:rPr>
          <w:rFonts w:ascii="Arial Narrow" w:hAnsi="Arial Narrow" w:cs="Arial"/>
          <w:color w:val="5F5F5F"/>
        </w:rPr>
        <w:t xml:space="preserve"> dell’indice generale</w:t>
      </w:r>
      <w:r w:rsidR="005A71FC">
        <w:rPr>
          <w:rFonts w:ascii="Arial Narrow" w:hAnsi="Arial Narrow" w:cs="Arial"/>
          <w:color w:val="5F5F5F"/>
        </w:rPr>
        <w:t xml:space="preserve"> </w:t>
      </w:r>
      <w:r w:rsidR="005A71FC" w:rsidRPr="00C8504B">
        <w:rPr>
          <w:rFonts w:ascii="Arial Narrow" w:hAnsi="Arial Narrow" w:cs="Arial"/>
          <w:color w:val="5F5F5F"/>
        </w:rPr>
        <w:t>(base 2015=100)</w:t>
      </w:r>
    </w:p>
    <w:tbl>
      <w:tblPr>
        <w:tblW w:w="10207" w:type="dxa"/>
        <w:tblInd w:w="70" w:type="dxa"/>
        <w:tblBorders>
          <w:top w:val="single" w:sz="4" w:space="0" w:color="000000"/>
          <w:bottom w:val="single" w:sz="4" w:space="0" w:color="000000"/>
          <w:insideH w:val="single" w:sz="4" w:space="0" w:color="000000"/>
        </w:tblBorders>
        <w:tblCellMar>
          <w:left w:w="70" w:type="dxa"/>
          <w:right w:w="0" w:type="dxa"/>
        </w:tblCellMar>
        <w:tblLook w:val="0000" w:firstRow="0" w:lastRow="0" w:firstColumn="0" w:lastColumn="0" w:noHBand="0" w:noVBand="0"/>
      </w:tblPr>
      <w:tblGrid>
        <w:gridCol w:w="2977"/>
        <w:gridCol w:w="850"/>
        <w:gridCol w:w="850"/>
        <w:gridCol w:w="851"/>
        <w:gridCol w:w="850"/>
        <w:gridCol w:w="851"/>
        <w:gridCol w:w="1618"/>
        <w:gridCol w:w="680"/>
        <w:gridCol w:w="680"/>
      </w:tblGrid>
      <w:tr w:rsidR="00C7667B" w:rsidRPr="00C8504B" w:rsidTr="00C7667B">
        <w:trPr>
          <w:trHeight w:val="311"/>
        </w:trPr>
        <w:tc>
          <w:tcPr>
            <w:tcW w:w="2977" w:type="dxa"/>
            <w:vMerge w:val="restart"/>
            <w:vAlign w:val="center"/>
          </w:tcPr>
          <w:p w:rsidR="00C7667B" w:rsidRPr="00C8504B" w:rsidRDefault="00C7667B" w:rsidP="007F4E67">
            <w:pPr>
              <w:spacing w:before="40" w:after="20"/>
              <w:rPr>
                <w:rFonts w:ascii="Arial Narrow" w:hAnsi="Arial Narrow" w:cs="Arial"/>
                <w:bCs/>
                <w:sz w:val="18"/>
                <w:szCs w:val="18"/>
              </w:rPr>
            </w:pPr>
            <w:bookmarkStart w:id="1" w:name="OLE_LINK2"/>
            <w:r w:rsidRPr="00C8504B">
              <w:rPr>
                <w:rFonts w:ascii="Arial Narrow" w:hAnsi="Arial Narrow" w:cs="Arial"/>
                <w:b/>
                <w:bCs/>
                <w:sz w:val="18"/>
                <w:szCs w:val="18"/>
              </w:rPr>
              <w:t>DIVISIONI DI SPESA</w:t>
            </w:r>
          </w:p>
        </w:tc>
        <w:tc>
          <w:tcPr>
            <w:tcW w:w="850" w:type="dxa"/>
            <w:vMerge w:val="restart"/>
            <w:shd w:val="clear" w:color="auto" w:fill="D9D9D9"/>
            <w:vAlign w:val="center"/>
          </w:tcPr>
          <w:p w:rsidR="00C7667B" w:rsidRPr="00C8504B" w:rsidRDefault="00C7667B" w:rsidP="00C71912">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Pesi</w:t>
            </w:r>
          </w:p>
        </w:tc>
        <w:tc>
          <w:tcPr>
            <w:tcW w:w="1701" w:type="dxa"/>
            <w:gridSpan w:val="2"/>
            <w:vAlign w:val="center"/>
          </w:tcPr>
          <w:p w:rsidR="00C7667B" w:rsidRPr="00C8504B" w:rsidRDefault="00C7667B" w:rsidP="00C7667B">
            <w:pPr>
              <w:tabs>
                <w:tab w:val="left" w:pos="5093"/>
              </w:tabs>
              <w:spacing w:before="40" w:after="20"/>
              <w:ind w:left="-70"/>
              <w:jc w:val="center"/>
              <w:rPr>
                <w:rFonts w:ascii="Arial Narrow" w:hAnsi="Arial Narrow" w:cs="Arial"/>
                <w:b/>
                <w:bCs/>
                <w:sz w:val="18"/>
                <w:szCs w:val="18"/>
              </w:rPr>
            </w:pPr>
            <w:r w:rsidRPr="00C8504B">
              <w:rPr>
                <w:rFonts w:ascii="Arial Narrow" w:hAnsi="Arial Narrow" w:cs="Arial"/>
                <w:b/>
                <w:bCs/>
                <w:sz w:val="18"/>
                <w:szCs w:val="18"/>
              </w:rPr>
              <w:t>Variazioni congiunturali</w:t>
            </w:r>
          </w:p>
        </w:tc>
        <w:tc>
          <w:tcPr>
            <w:tcW w:w="1701" w:type="dxa"/>
            <w:gridSpan w:val="2"/>
            <w:shd w:val="clear" w:color="auto" w:fill="D9D9D9"/>
            <w:vAlign w:val="center"/>
          </w:tcPr>
          <w:p w:rsidR="00C7667B" w:rsidRPr="00C8504B" w:rsidRDefault="00C7667B" w:rsidP="00E31685">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tendenziali</w:t>
            </w:r>
          </w:p>
        </w:tc>
        <w:tc>
          <w:tcPr>
            <w:tcW w:w="1618" w:type="dxa"/>
            <w:vMerge w:val="restart"/>
            <w:shd w:val="clear" w:color="auto" w:fill="auto"/>
            <w:vAlign w:val="center"/>
          </w:tcPr>
          <w:p w:rsidR="00C7667B" w:rsidRPr="00C8504B" w:rsidRDefault="00C7667B" w:rsidP="00CB0759">
            <w:pPr>
              <w:tabs>
                <w:tab w:val="left" w:pos="5093"/>
              </w:tabs>
              <w:spacing w:before="40" w:after="20"/>
              <w:ind w:right="57"/>
              <w:jc w:val="right"/>
              <w:rPr>
                <w:rFonts w:ascii="Arial Narrow" w:hAnsi="Arial Narrow" w:cs="Arial"/>
                <w:b/>
                <w:bCs/>
                <w:sz w:val="18"/>
                <w:szCs w:val="18"/>
              </w:rPr>
            </w:pPr>
            <w:r w:rsidRPr="00C8504B">
              <w:rPr>
                <w:rFonts w:ascii="Arial Narrow" w:hAnsi="Arial Narrow" w:cs="Arial"/>
                <w:b/>
                <w:bCs/>
                <w:sz w:val="18"/>
                <w:szCs w:val="18"/>
              </w:rPr>
              <w:t>Contributo alla variazione tendenziale dell’indice generale</w:t>
            </w:r>
            <w:r w:rsidRPr="00C8504B" w:rsidDel="00CB4E07">
              <w:rPr>
                <w:rFonts w:ascii="Arial Narrow" w:hAnsi="Arial Narrow" w:cs="Arial"/>
                <w:b/>
                <w:bCs/>
                <w:snapToGrid w:val="0"/>
                <w:sz w:val="18"/>
                <w:szCs w:val="18"/>
              </w:rPr>
              <w:t xml:space="preserve"> </w:t>
            </w:r>
          </w:p>
        </w:tc>
        <w:tc>
          <w:tcPr>
            <w:tcW w:w="1360" w:type="dxa"/>
            <w:gridSpan w:val="2"/>
            <w:shd w:val="clear" w:color="auto" w:fill="D9D9D9"/>
            <w:vAlign w:val="center"/>
          </w:tcPr>
          <w:p w:rsidR="00C7667B" w:rsidRPr="008814F3" w:rsidRDefault="00C7667B" w:rsidP="00C7667B">
            <w:pPr>
              <w:spacing w:before="40" w:after="20"/>
              <w:ind w:right="57"/>
              <w:jc w:val="center"/>
              <w:rPr>
                <w:rFonts w:ascii="Arial Narrow" w:hAnsi="Arial Narrow" w:cs="Arial"/>
                <w:b/>
                <w:bCs/>
                <w:kern w:val="0"/>
                <w:sz w:val="18"/>
                <w:szCs w:val="18"/>
              </w:rPr>
            </w:pPr>
            <w:r>
              <w:rPr>
                <w:rFonts w:ascii="Arial Narrow" w:hAnsi="Arial Narrow" w:cs="Arial"/>
                <w:b/>
                <w:bCs/>
                <w:kern w:val="0"/>
                <w:sz w:val="18"/>
                <w:szCs w:val="18"/>
              </w:rPr>
              <w:t>V</w:t>
            </w:r>
            <w:r w:rsidRPr="00E35895">
              <w:rPr>
                <w:rFonts w:ascii="Arial Narrow" w:hAnsi="Arial Narrow" w:cs="Arial"/>
                <w:b/>
                <w:bCs/>
                <w:kern w:val="0"/>
                <w:sz w:val="18"/>
                <w:szCs w:val="18"/>
              </w:rPr>
              <w:t>ariazioni medi</w:t>
            </w:r>
            <w:r>
              <w:rPr>
                <w:rFonts w:ascii="Arial Narrow" w:hAnsi="Arial Narrow" w:cs="Arial"/>
                <w:b/>
                <w:bCs/>
                <w:kern w:val="0"/>
                <w:sz w:val="18"/>
                <w:szCs w:val="18"/>
              </w:rPr>
              <w:t>e</w:t>
            </w:r>
          </w:p>
        </w:tc>
      </w:tr>
      <w:tr w:rsidR="00FB4168" w:rsidRPr="00C8504B" w:rsidTr="00C7667B">
        <w:trPr>
          <w:trHeight w:val="432"/>
        </w:trPr>
        <w:tc>
          <w:tcPr>
            <w:tcW w:w="2977" w:type="dxa"/>
            <w:vMerge/>
            <w:vAlign w:val="center"/>
          </w:tcPr>
          <w:p w:rsidR="00FB4168" w:rsidRPr="00C8504B" w:rsidRDefault="00FB4168" w:rsidP="00FB4168">
            <w:pPr>
              <w:spacing w:before="40" w:after="20"/>
              <w:rPr>
                <w:rFonts w:ascii="Arial Narrow" w:hAnsi="Arial Narrow" w:cs="Arial"/>
                <w:b/>
                <w:bCs/>
                <w:sz w:val="18"/>
                <w:szCs w:val="18"/>
              </w:rPr>
            </w:pPr>
          </w:p>
        </w:tc>
        <w:tc>
          <w:tcPr>
            <w:tcW w:w="850" w:type="dxa"/>
            <w:vMerge/>
            <w:shd w:val="clear" w:color="auto" w:fill="D9D9D9"/>
            <w:vAlign w:val="center"/>
          </w:tcPr>
          <w:p w:rsidR="00FB4168" w:rsidRPr="00C8504B" w:rsidRDefault="00FB4168" w:rsidP="00FB4168">
            <w:pPr>
              <w:spacing w:before="40" w:after="20"/>
              <w:ind w:right="57"/>
              <w:jc w:val="right"/>
              <w:rPr>
                <w:rFonts w:ascii="Arial Narrow" w:hAnsi="Arial Narrow" w:cs="Arial"/>
                <w:b/>
                <w:bCs/>
                <w:sz w:val="18"/>
                <w:szCs w:val="18"/>
              </w:rPr>
            </w:pPr>
          </w:p>
        </w:tc>
        <w:tc>
          <w:tcPr>
            <w:tcW w:w="850" w:type="dxa"/>
            <w:vAlign w:val="center"/>
          </w:tcPr>
          <w:p w:rsidR="00FB4168" w:rsidRDefault="00FB4168" w:rsidP="00FB416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dic-2</w:t>
            </w:r>
            <w:r w:rsidR="001B1EF2">
              <w:rPr>
                <w:rFonts w:ascii="Arial Narrow" w:hAnsi="Arial Narrow" w:cs="Arial"/>
                <w:kern w:val="0"/>
                <w:sz w:val="18"/>
                <w:szCs w:val="18"/>
                <w:u w:val="single"/>
              </w:rPr>
              <w:t>3</w:t>
            </w:r>
          </w:p>
          <w:p w:rsidR="00FB4168" w:rsidRPr="00E03E58" w:rsidRDefault="00FB4168" w:rsidP="001B1EF2">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nov-2</w:t>
            </w:r>
            <w:r w:rsidR="001B1EF2">
              <w:rPr>
                <w:rFonts w:ascii="Arial Narrow" w:hAnsi="Arial Narrow" w:cs="Arial"/>
                <w:kern w:val="0"/>
                <w:sz w:val="18"/>
                <w:szCs w:val="18"/>
              </w:rPr>
              <w:t>3</w:t>
            </w:r>
          </w:p>
        </w:tc>
        <w:tc>
          <w:tcPr>
            <w:tcW w:w="851" w:type="dxa"/>
            <w:vAlign w:val="center"/>
          </w:tcPr>
          <w:p w:rsidR="00FB4168" w:rsidRDefault="00FB4168" w:rsidP="00FB416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dic-2</w:t>
            </w:r>
            <w:r w:rsidR="001B1EF2">
              <w:rPr>
                <w:rFonts w:ascii="Arial Narrow" w:hAnsi="Arial Narrow" w:cs="Arial"/>
                <w:kern w:val="0"/>
                <w:sz w:val="18"/>
                <w:szCs w:val="18"/>
                <w:u w:val="single"/>
              </w:rPr>
              <w:t>2</w:t>
            </w:r>
          </w:p>
          <w:p w:rsidR="00FB4168" w:rsidRPr="008814F3" w:rsidRDefault="001B1EF2" w:rsidP="00FB416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nov-22</w:t>
            </w:r>
          </w:p>
        </w:tc>
        <w:tc>
          <w:tcPr>
            <w:tcW w:w="850" w:type="dxa"/>
            <w:shd w:val="clear" w:color="auto" w:fill="auto"/>
            <w:vAlign w:val="center"/>
          </w:tcPr>
          <w:p w:rsidR="00FB4168" w:rsidRDefault="00FB4168" w:rsidP="00FB416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dic-2</w:t>
            </w:r>
            <w:r w:rsidR="001B1EF2">
              <w:rPr>
                <w:rFonts w:ascii="Arial Narrow" w:hAnsi="Arial Narrow" w:cs="Arial"/>
                <w:kern w:val="0"/>
                <w:sz w:val="18"/>
                <w:szCs w:val="18"/>
                <w:u w:val="single"/>
              </w:rPr>
              <w:t>3</w:t>
            </w:r>
          </w:p>
          <w:p w:rsidR="00FB4168" w:rsidRPr="008814F3" w:rsidRDefault="00FB4168" w:rsidP="001B1EF2">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dic-2</w:t>
            </w:r>
            <w:r w:rsidR="001B1EF2">
              <w:rPr>
                <w:rFonts w:ascii="Arial Narrow" w:hAnsi="Arial Narrow" w:cs="Arial"/>
                <w:kern w:val="0"/>
                <w:sz w:val="18"/>
                <w:szCs w:val="18"/>
              </w:rPr>
              <w:t>2</w:t>
            </w:r>
          </w:p>
        </w:tc>
        <w:tc>
          <w:tcPr>
            <w:tcW w:w="851" w:type="dxa"/>
            <w:shd w:val="clear" w:color="auto" w:fill="auto"/>
            <w:vAlign w:val="center"/>
          </w:tcPr>
          <w:p w:rsidR="00FB4168" w:rsidRDefault="00FB4168" w:rsidP="00FB416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w:t>
            </w:r>
            <w:r w:rsidR="001B1EF2">
              <w:rPr>
                <w:rFonts w:ascii="Arial Narrow" w:hAnsi="Arial Narrow" w:cs="Arial"/>
                <w:kern w:val="0"/>
                <w:sz w:val="18"/>
                <w:szCs w:val="18"/>
                <w:u w:val="single"/>
              </w:rPr>
              <w:t>ov-23</w:t>
            </w:r>
          </w:p>
          <w:p w:rsidR="00FB4168" w:rsidRPr="008814F3" w:rsidRDefault="00FB4168" w:rsidP="001B1EF2">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nov-2</w:t>
            </w:r>
            <w:r w:rsidR="001B1EF2">
              <w:rPr>
                <w:rFonts w:ascii="Arial Narrow" w:hAnsi="Arial Narrow" w:cs="Arial"/>
                <w:kern w:val="0"/>
                <w:sz w:val="18"/>
                <w:szCs w:val="18"/>
              </w:rPr>
              <w:t>2</w:t>
            </w:r>
          </w:p>
        </w:tc>
        <w:tc>
          <w:tcPr>
            <w:tcW w:w="1618" w:type="dxa"/>
            <w:vMerge/>
            <w:shd w:val="clear" w:color="auto" w:fill="auto"/>
            <w:vAlign w:val="center"/>
          </w:tcPr>
          <w:p w:rsidR="00FB4168" w:rsidRPr="00C8504B" w:rsidRDefault="00FB4168" w:rsidP="00FB4168">
            <w:pPr>
              <w:spacing w:before="40" w:after="20"/>
              <w:ind w:right="57"/>
              <w:jc w:val="right"/>
              <w:rPr>
                <w:rFonts w:ascii="Arial Narrow" w:hAnsi="Arial Narrow" w:cs="Arial"/>
                <w:b/>
                <w:bCs/>
                <w:snapToGrid w:val="0"/>
                <w:sz w:val="18"/>
                <w:szCs w:val="18"/>
              </w:rPr>
            </w:pPr>
          </w:p>
        </w:tc>
        <w:tc>
          <w:tcPr>
            <w:tcW w:w="680" w:type="dxa"/>
            <w:shd w:val="clear" w:color="auto" w:fill="auto"/>
            <w:vAlign w:val="center"/>
          </w:tcPr>
          <w:p w:rsidR="00FB4168" w:rsidRDefault="00FB4168" w:rsidP="00FB416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202</w:t>
            </w:r>
            <w:r w:rsidR="001B1EF2">
              <w:rPr>
                <w:rFonts w:ascii="Arial Narrow" w:hAnsi="Arial Narrow" w:cs="Arial"/>
                <w:kern w:val="0"/>
                <w:sz w:val="18"/>
                <w:szCs w:val="18"/>
                <w:u w:val="single"/>
              </w:rPr>
              <w:t>3</w:t>
            </w:r>
          </w:p>
          <w:p w:rsidR="00FB4168" w:rsidRPr="008814F3" w:rsidRDefault="001B1EF2" w:rsidP="00FB4168">
            <w:pPr>
              <w:widowControl/>
              <w:overflowPunct/>
              <w:autoSpaceDE/>
              <w:autoSpaceDN/>
              <w:adjustRightInd/>
              <w:spacing w:before="0" w:after="0"/>
              <w:ind w:right="57"/>
              <w:jc w:val="right"/>
              <w:rPr>
                <w:rFonts w:ascii="Arial Narrow" w:hAnsi="Arial Narrow" w:cs="Arial"/>
                <w:b/>
                <w:bCs/>
                <w:kern w:val="0"/>
                <w:sz w:val="18"/>
                <w:szCs w:val="18"/>
              </w:rPr>
            </w:pPr>
            <w:r>
              <w:rPr>
                <w:rFonts w:ascii="Arial Narrow" w:hAnsi="Arial Narrow" w:cs="Arial"/>
                <w:kern w:val="0"/>
                <w:sz w:val="18"/>
                <w:szCs w:val="18"/>
              </w:rPr>
              <w:t>2022</w:t>
            </w:r>
          </w:p>
        </w:tc>
        <w:tc>
          <w:tcPr>
            <w:tcW w:w="680" w:type="dxa"/>
            <w:shd w:val="clear" w:color="auto" w:fill="auto"/>
            <w:vAlign w:val="center"/>
          </w:tcPr>
          <w:p w:rsidR="00FB4168" w:rsidRDefault="00FB4168" w:rsidP="00FB416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202</w:t>
            </w:r>
            <w:r w:rsidR="001B1EF2">
              <w:rPr>
                <w:rFonts w:ascii="Arial Narrow" w:hAnsi="Arial Narrow" w:cs="Arial"/>
                <w:kern w:val="0"/>
                <w:sz w:val="18"/>
                <w:szCs w:val="18"/>
                <w:u w:val="single"/>
              </w:rPr>
              <w:t>2</w:t>
            </w:r>
          </w:p>
          <w:p w:rsidR="00FB4168" w:rsidRPr="008814F3" w:rsidRDefault="00FB4168" w:rsidP="001B1EF2">
            <w:pPr>
              <w:widowControl/>
              <w:overflowPunct/>
              <w:autoSpaceDE/>
              <w:autoSpaceDN/>
              <w:adjustRightInd/>
              <w:spacing w:before="0" w:after="0"/>
              <w:ind w:right="57"/>
              <w:jc w:val="right"/>
              <w:rPr>
                <w:rFonts w:ascii="Arial Narrow" w:hAnsi="Arial Narrow" w:cs="Arial"/>
                <w:b/>
                <w:bCs/>
                <w:kern w:val="0"/>
                <w:sz w:val="18"/>
                <w:szCs w:val="18"/>
              </w:rPr>
            </w:pPr>
            <w:r>
              <w:rPr>
                <w:rFonts w:ascii="Arial Narrow" w:hAnsi="Arial Narrow" w:cs="Arial"/>
                <w:kern w:val="0"/>
                <w:sz w:val="18"/>
                <w:szCs w:val="18"/>
              </w:rPr>
              <w:t>202</w:t>
            </w:r>
            <w:r w:rsidR="001B1EF2">
              <w:rPr>
                <w:rFonts w:ascii="Arial Narrow" w:hAnsi="Arial Narrow" w:cs="Arial"/>
                <w:kern w:val="0"/>
                <w:sz w:val="18"/>
                <w:szCs w:val="18"/>
              </w:rPr>
              <w:t>1</w:t>
            </w:r>
          </w:p>
        </w:tc>
      </w:tr>
      <w:tr w:rsidR="002C000E" w:rsidRPr="00C8504B" w:rsidTr="00596941">
        <w:trPr>
          <w:trHeight w:val="255"/>
        </w:trPr>
        <w:tc>
          <w:tcPr>
            <w:tcW w:w="2977" w:type="dxa"/>
            <w:vAlign w:val="center"/>
          </w:tcPr>
          <w:p w:rsidR="002C000E" w:rsidRPr="00C8504B" w:rsidRDefault="002C000E" w:rsidP="002C000E">
            <w:pPr>
              <w:spacing w:before="40" w:after="20"/>
              <w:rPr>
                <w:rFonts w:ascii="Arial Narrow" w:hAnsi="Arial Narrow" w:cs="Arial"/>
                <w:sz w:val="18"/>
                <w:szCs w:val="18"/>
              </w:rPr>
            </w:pPr>
            <w:r w:rsidRPr="00C8504B">
              <w:rPr>
                <w:rFonts w:ascii="Arial Narrow" w:hAnsi="Arial Narrow" w:cs="Arial"/>
                <w:sz w:val="18"/>
                <w:szCs w:val="18"/>
              </w:rPr>
              <w:t>Prodotti alimentari e bevande analcoliche</w:t>
            </w:r>
          </w:p>
        </w:tc>
        <w:tc>
          <w:tcPr>
            <w:tcW w:w="850" w:type="dxa"/>
            <w:shd w:val="clear" w:color="auto" w:fill="D9D9D9"/>
            <w:vAlign w:val="bottom"/>
          </w:tcPr>
          <w:p w:rsidR="002C000E" w:rsidRPr="003F0DEB" w:rsidRDefault="002C000E" w:rsidP="002C000E">
            <w:pPr>
              <w:spacing w:before="40" w:after="20"/>
              <w:ind w:right="57"/>
              <w:jc w:val="right"/>
              <w:rPr>
                <w:rFonts w:ascii="Arial Narrow" w:hAnsi="Arial Narrow" w:cs="Arial"/>
                <w:sz w:val="18"/>
                <w:szCs w:val="18"/>
              </w:rPr>
            </w:pPr>
            <w:r w:rsidRPr="003F0DEB">
              <w:rPr>
                <w:rFonts w:ascii="Arial Narrow" w:hAnsi="Arial Narrow" w:cs="Arial"/>
                <w:sz w:val="18"/>
                <w:szCs w:val="18"/>
              </w:rPr>
              <w:t>171.025</w:t>
            </w:r>
          </w:p>
        </w:tc>
        <w:tc>
          <w:tcPr>
            <w:tcW w:w="850" w:type="dxa"/>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+0,3</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+0,3</w:t>
            </w:r>
          </w:p>
        </w:tc>
        <w:tc>
          <w:tcPr>
            <w:tcW w:w="850" w:type="dxa"/>
            <w:shd w:val="clear" w:color="auto" w:fill="auto"/>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+5,9</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+5,9</w:t>
            </w:r>
          </w:p>
        </w:tc>
        <w:tc>
          <w:tcPr>
            <w:tcW w:w="1618" w:type="dxa"/>
            <w:shd w:val="clear" w:color="auto" w:fill="auto"/>
            <w:tcMar>
              <w:left w:w="284" w:type="dxa"/>
              <w:right w:w="57" w:type="dxa"/>
            </w:tcMar>
            <w:vAlign w:val="bottom"/>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1,003</w:t>
            </w:r>
          </w:p>
        </w:tc>
        <w:tc>
          <w:tcPr>
            <w:tcW w:w="680"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+10,0</w:t>
            </w:r>
          </w:p>
        </w:tc>
        <w:tc>
          <w:tcPr>
            <w:tcW w:w="680" w:type="dxa"/>
            <w:shd w:val="clear" w:color="auto" w:fill="auto"/>
            <w:vAlign w:val="center"/>
          </w:tcPr>
          <w:p w:rsidR="002C000E" w:rsidRPr="00CA7E7E" w:rsidRDefault="002C000E" w:rsidP="002C000E">
            <w:pPr>
              <w:spacing w:before="40" w:after="20"/>
              <w:ind w:right="57"/>
              <w:jc w:val="right"/>
              <w:rPr>
                <w:rFonts w:ascii="Arial Narrow" w:hAnsi="Arial Narrow" w:cs="Arial"/>
                <w:sz w:val="18"/>
                <w:szCs w:val="18"/>
              </w:rPr>
            </w:pPr>
            <w:r>
              <w:rPr>
                <w:rFonts w:ascii="Arial Narrow" w:hAnsi="Arial Narrow" w:cs="Arial"/>
                <w:sz w:val="18"/>
                <w:szCs w:val="18"/>
              </w:rPr>
              <w:t>+</w:t>
            </w:r>
            <w:r w:rsidRPr="00CA7E7E">
              <w:rPr>
                <w:rFonts w:ascii="Arial Narrow" w:hAnsi="Arial Narrow" w:cs="Arial"/>
                <w:sz w:val="18"/>
                <w:szCs w:val="18"/>
              </w:rPr>
              <w:t>9,1</w:t>
            </w:r>
          </w:p>
        </w:tc>
      </w:tr>
      <w:tr w:rsidR="002C000E" w:rsidRPr="00C8504B" w:rsidTr="00596941">
        <w:trPr>
          <w:trHeight w:val="255"/>
        </w:trPr>
        <w:tc>
          <w:tcPr>
            <w:tcW w:w="2977" w:type="dxa"/>
            <w:vAlign w:val="center"/>
          </w:tcPr>
          <w:p w:rsidR="002C000E" w:rsidRPr="00C8504B" w:rsidRDefault="002C000E" w:rsidP="002C000E">
            <w:pPr>
              <w:spacing w:before="40" w:after="20"/>
              <w:rPr>
                <w:rFonts w:ascii="Arial Narrow" w:hAnsi="Arial Narrow" w:cs="Arial"/>
                <w:sz w:val="18"/>
                <w:szCs w:val="18"/>
              </w:rPr>
            </w:pPr>
            <w:r w:rsidRPr="00C8504B">
              <w:rPr>
                <w:rFonts w:ascii="Arial Narrow" w:hAnsi="Arial Narrow" w:cs="Arial"/>
                <w:sz w:val="18"/>
                <w:szCs w:val="18"/>
              </w:rPr>
              <w:t>Bevande alcoliche e tabacchi</w:t>
            </w:r>
          </w:p>
        </w:tc>
        <w:tc>
          <w:tcPr>
            <w:tcW w:w="850" w:type="dxa"/>
            <w:shd w:val="clear" w:color="auto" w:fill="D9D9D9"/>
            <w:vAlign w:val="bottom"/>
          </w:tcPr>
          <w:p w:rsidR="002C000E" w:rsidRPr="003F0DEB" w:rsidRDefault="002C000E" w:rsidP="002C000E">
            <w:pPr>
              <w:spacing w:before="40" w:after="20"/>
              <w:ind w:right="57"/>
              <w:jc w:val="right"/>
              <w:rPr>
                <w:rFonts w:ascii="Arial Narrow" w:hAnsi="Arial Narrow" w:cs="Arial"/>
                <w:sz w:val="18"/>
                <w:szCs w:val="18"/>
              </w:rPr>
            </w:pPr>
            <w:r w:rsidRPr="003F0DEB">
              <w:rPr>
                <w:rFonts w:ascii="Arial Narrow" w:hAnsi="Arial Narrow" w:cs="Arial"/>
                <w:sz w:val="18"/>
                <w:szCs w:val="18"/>
              </w:rPr>
              <w:t>29.875</w:t>
            </w:r>
          </w:p>
        </w:tc>
        <w:tc>
          <w:tcPr>
            <w:tcW w:w="850" w:type="dxa"/>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-0,6</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-0,4</w:t>
            </w:r>
          </w:p>
        </w:tc>
        <w:tc>
          <w:tcPr>
            <w:tcW w:w="850" w:type="dxa"/>
            <w:shd w:val="clear" w:color="auto" w:fill="auto"/>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+2,7</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+2,8</w:t>
            </w:r>
          </w:p>
        </w:tc>
        <w:tc>
          <w:tcPr>
            <w:tcW w:w="1618" w:type="dxa"/>
            <w:shd w:val="clear" w:color="auto" w:fill="auto"/>
            <w:tcMar>
              <w:left w:w="284" w:type="dxa"/>
              <w:right w:w="57" w:type="dxa"/>
            </w:tcMar>
            <w:vAlign w:val="bottom"/>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0,080</w:t>
            </w:r>
          </w:p>
        </w:tc>
        <w:tc>
          <w:tcPr>
            <w:tcW w:w="680"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+3,5</w:t>
            </w:r>
          </w:p>
        </w:tc>
        <w:tc>
          <w:tcPr>
            <w:tcW w:w="680" w:type="dxa"/>
            <w:shd w:val="clear" w:color="auto" w:fill="auto"/>
            <w:vAlign w:val="center"/>
          </w:tcPr>
          <w:p w:rsidR="002C000E" w:rsidRPr="00CA7E7E" w:rsidRDefault="002C000E" w:rsidP="002C000E">
            <w:pPr>
              <w:spacing w:before="40" w:after="20"/>
              <w:ind w:right="57"/>
              <w:jc w:val="right"/>
              <w:rPr>
                <w:rFonts w:ascii="Arial Narrow" w:hAnsi="Arial Narrow" w:cs="Arial"/>
                <w:sz w:val="18"/>
                <w:szCs w:val="18"/>
              </w:rPr>
            </w:pPr>
            <w:r>
              <w:rPr>
                <w:rFonts w:ascii="Arial Narrow" w:hAnsi="Arial Narrow" w:cs="Arial"/>
                <w:sz w:val="18"/>
                <w:szCs w:val="18"/>
              </w:rPr>
              <w:t>+</w:t>
            </w:r>
            <w:r w:rsidRPr="00CA7E7E">
              <w:rPr>
                <w:rFonts w:ascii="Arial Narrow" w:hAnsi="Arial Narrow" w:cs="Arial"/>
                <w:sz w:val="18"/>
                <w:szCs w:val="18"/>
              </w:rPr>
              <w:t>1,3</w:t>
            </w:r>
          </w:p>
        </w:tc>
      </w:tr>
      <w:tr w:rsidR="002C000E" w:rsidRPr="00C8504B" w:rsidTr="00596941">
        <w:trPr>
          <w:trHeight w:val="255"/>
        </w:trPr>
        <w:tc>
          <w:tcPr>
            <w:tcW w:w="2977" w:type="dxa"/>
            <w:vAlign w:val="center"/>
          </w:tcPr>
          <w:p w:rsidR="002C000E" w:rsidRPr="00C8504B" w:rsidRDefault="002C000E" w:rsidP="002C000E">
            <w:pPr>
              <w:spacing w:before="40" w:after="20"/>
              <w:rPr>
                <w:rFonts w:ascii="Arial Narrow" w:hAnsi="Arial Narrow" w:cs="Arial"/>
                <w:sz w:val="18"/>
                <w:szCs w:val="18"/>
              </w:rPr>
            </w:pPr>
            <w:r w:rsidRPr="00C8504B">
              <w:rPr>
                <w:rFonts w:ascii="Arial Narrow" w:hAnsi="Arial Narrow" w:cs="Arial"/>
                <w:sz w:val="18"/>
                <w:szCs w:val="18"/>
              </w:rPr>
              <w:t>Abbigliamento e calzature</w:t>
            </w:r>
          </w:p>
        </w:tc>
        <w:tc>
          <w:tcPr>
            <w:tcW w:w="850" w:type="dxa"/>
            <w:shd w:val="clear" w:color="auto" w:fill="D9D9D9"/>
            <w:vAlign w:val="bottom"/>
          </w:tcPr>
          <w:p w:rsidR="002C000E" w:rsidRPr="003F0DEB" w:rsidRDefault="002C000E" w:rsidP="002C000E">
            <w:pPr>
              <w:spacing w:before="40" w:after="20"/>
              <w:ind w:right="57"/>
              <w:jc w:val="right"/>
              <w:rPr>
                <w:rFonts w:ascii="Arial Narrow" w:hAnsi="Arial Narrow" w:cs="Arial"/>
                <w:sz w:val="18"/>
                <w:szCs w:val="18"/>
              </w:rPr>
            </w:pPr>
            <w:r w:rsidRPr="003F0DEB">
              <w:rPr>
                <w:rFonts w:ascii="Arial Narrow" w:hAnsi="Arial Narrow" w:cs="Arial"/>
                <w:sz w:val="18"/>
                <w:szCs w:val="18"/>
              </w:rPr>
              <w:t>64.371</w:t>
            </w:r>
          </w:p>
        </w:tc>
        <w:tc>
          <w:tcPr>
            <w:tcW w:w="850" w:type="dxa"/>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+0,1</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+0,1</w:t>
            </w:r>
          </w:p>
        </w:tc>
        <w:tc>
          <w:tcPr>
            <w:tcW w:w="850" w:type="dxa"/>
            <w:shd w:val="clear" w:color="auto" w:fill="auto"/>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+2,2</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+2,2</w:t>
            </w:r>
          </w:p>
        </w:tc>
        <w:tc>
          <w:tcPr>
            <w:tcW w:w="1618" w:type="dxa"/>
            <w:shd w:val="clear" w:color="auto" w:fill="auto"/>
            <w:tcMar>
              <w:left w:w="284" w:type="dxa"/>
              <w:right w:w="57" w:type="dxa"/>
            </w:tcMar>
            <w:vAlign w:val="bottom"/>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0,141</w:t>
            </w:r>
          </w:p>
        </w:tc>
        <w:tc>
          <w:tcPr>
            <w:tcW w:w="680"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+3,0</w:t>
            </w:r>
          </w:p>
        </w:tc>
        <w:tc>
          <w:tcPr>
            <w:tcW w:w="680" w:type="dxa"/>
            <w:shd w:val="clear" w:color="auto" w:fill="auto"/>
            <w:vAlign w:val="center"/>
          </w:tcPr>
          <w:p w:rsidR="002C000E" w:rsidRPr="00CA7E7E" w:rsidRDefault="002C000E" w:rsidP="002C000E">
            <w:pPr>
              <w:spacing w:before="40" w:after="20"/>
              <w:ind w:right="57"/>
              <w:jc w:val="right"/>
              <w:rPr>
                <w:rFonts w:ascii="Arial Narrow" w:hAnsi="Arial Narrow" w:cs="Arial"/>
                <w:sz w:val="18"/>
                <w:szCs w:val="18"/>
              </w:rPr>
            </w:pPr>
            <w:r>
              <w:rPr>
                <w:rFonts w:ascii="Arial Narrow" w:hAnsi="Arial Narrow" w:cs="Arial"/>
                <w:sz w:val="18"/>
                <w:szCs w:val="18"/>
              </w:rPr>
              <w:t>+</w:t>
            </w:r>
            <w:r w:rsidRPr="00CA7E7E">
              <w:rPr>
                <w:rFonts w:ascii="Arial Narrow" w:hAnsi="Arial Narrow" w:cs="Arial"/>
                <w:sz w:val="18"/>
                <w:szCs w:val="18"/>
              </w:rPr>
              <w:t>1,9</w:t>
            </w:r>
          </w:p>
        </w:tc>
      </w:tr>
      <w:tr w:rsidR="002C000E" w:rsidRPr="00C8504B" w:rsidTr="00596941">
        <w:trPr>
          <w:trHeight w:val="255"/>
        </w:trPr>
        <w:tc>
          <w:tcPr>
            <w:tcW w:w="2977" w:type="dxa"/>
            <w:vAlign w:val="center"/>
          </w:tcPr>
          <w:p w:rsidR="002C000E" w:rsidRPr="00C8504B" w:rsidRDefault="002C000E" w:rsidP="002C000E">
            <w:pPr>
              <w:spacing w:before="40" w:after="20"/>
              <w:rPr>
                <w:rFonts w:ascii="Arial Narrow" w:hAnsi="Arial Narrow" w:cs="Arial"/>
                <w:sz w:val="18"/>
                <w:szCs w:val="18"/>
              </w:rPr>
            </w:pPr>
            <w:r w:rsidRPr="00C8504B">
              <w:rPr>
                <w:rFonts w:ascii="Arial Narrow" w:hAnsi="Arial Narrow" w:cs="Arial"/>
                <w:sz w:val="18"/>
                <w:szCs w:val="18"/>
              </w:rPr>
              <w:t>Abitazione, acqua, elettricità e combustibili</w:t>
            </w:r>
          </w:p>
        </w:tc>
        <w:tc>
          <w:tcPr>
            <w:tcW w:w="850" w:type="dxa"/>
            <w:shd w:val="clear" w:color="auto" w:fill="D9D9D9"/>
            <w:vAlign w:val="bottom"/>
          </w:tcPr>
          <w:p w:rsidR="002C000E" w:rsidRPr="003F0DEB" w:rsidRDefault="002C000E" w:rsidP="002C000E">
            <w:pPr>
              <w:spacing w:before="40" w:after="20"/>
              <w:ind w:right="57"/>
              <w:jc w:val="right"/>
              <w:rPr>
                <w:rFonts w:ascii="Arial Narrow" w:hAnsi="Arial Narrow" w:cs="Arial"/>
                <w:sz w:val="18"/>
                <w:szCs w:val="18"/>
              </w:rPr>
            </w:pPr>
            <w:r w:rsidRPr="003F0DEB">
              <w:rPr>
                <w:rFonts w:ascii="Arial Narrow" w:hAnsi="Arial Narrow" w:cs="Arial"/>
                <w:sz w:val="18"/>
                <w:szCs w:val="18"/>
              </w:rPr>
              <w:t>121.287</w:t>
            </w:r>
          </w:p>
        </w:tc>
        <w:tc>
          <w:tcPr>
            <w:tcW w:w="850" w:type="dxa"/>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-0,2</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-1,0</w:t>
            </w:r>
          </w:p>
        </w:tc>
        <w:tc>
          <w:tcPr>
            <w:tcW w:w="850" w:type="dxa"/>
            <w:shd w:val="clear" w:color="auto" w:fill="auto"/>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-19,3</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-19,9</w:t>
            </w:r>
          </w:p>
        </w:tc>
        <w:tc>
          <w:tcPr>
            <w:tcW w:w="1618" w:type="dxa"/>
            <w:shd w:val="clear" w:color="auto" w:fill="auto"/>
            <w:tcMar>
              <w:left w:w="284" w:type="dxa"/>
              <w:right w:w="57" w:type="dxa"/>
            </w:tcMar>
            <w:vAlign w:val="bottom"/>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-2,343</w:t>
            </w:r>
          </w:p>
        </w:tc>
        <w:tc>
          <w:tcPr>
            <w:tcW w:w="680"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+3,9</w:t>
            </w:r>
          </w:p>
        </w:tc>
        <w:tc>
          <w:tcPr>
            <w:tcW w:w="680" w:type="dxa"/>
            <w:shd w:val="clear" w:color="auto" w:fill="auto"/>
            <w:vAlign w:val="center"/>
          </w:tcPr>
          <w:p w:rsidR="002C000E" w:rsidRPr="00CA7E7E" w:rsidRDefault="002C000E" w:rsidP="002C000E">
            <w:pPr>
              <w:spacing w:before="40" w:after="20"/>
              <w:ind w:right="57"/>
              <w:jc w:val="right"/>
              <w:rPr>
                <w:rFonts w:ascii="Arial Narrow" w:hAnsi="Arial Narrow" w:cs="Arial"/>
                <w:sz w:val="18"/>
                <w:szCs w:val="18"/>
              </w:rPr>
            </w:pPr>
            <w:r>
              <w:rPr>
                <w:rFonts w:ascii="Arial Narrow" w:hAnsi="Arial Narrow" w:cs="Arial"/>
                <w:sz w:val="18"/>
                <w:szCs w:val="18"/>
              </w:rPr>
              <w:t>+</w:t>
            </w:r>
            <w:r w:rsidRPr="00CA7E7E">
              <w:rPr>
                <w:rFonts w:ascii="Arial Narrow" w:hAnsi="Arial Narrow" w:cs="Arial"/>
                <w:sz w:val="18"/>
                <w:szCs w:val="18"/>
              </w:rPr>
              <w:t>35</w:t>
            </w:r>
            <w:r>
              <w:rPr>
                <w:rFonts w:ascii="Arial Narrow" w:hAnsi="Arial Narrow" w:cs="Arial"/>
                <w:sz w:val="18"/>
                <w:szCs w:val="18"/>
              </w:rPr>
              <w:t>,0</w:t>
            </w:r>
          </w:p>
        </w:tc>
      </w:tr>
      <w:tr w:rsidR="002C000E" w:rsidRPr="00C8504B" w:rsidTr="00596941">
        <w:trPr>
          <w:trHeight w:val="255"/>
        </w:trPr>
        <w:tc>
          <w:tcPr>
            <w:tcW w:w="2977" w:type="dxa"/>
            <w:vAlign w:val="center"/>
          </w:tcPr>
          <w:p w:rsidR="002C000E" w:rsidRPr="00C8504B" w:rsidRDefault="002C000E" w:rsidP="002C000E">
            <w:pPr>
              <w:spacing w:before="40" w:after="20"/>
              <w:rPr>
                <w:rFonts w:ascii="Arial Narrow" w:hAnsi="Arial Narrow" w:cs="Arial"/>
                <w:sz w:val="18"/>
                <w:szCs w:val="18"/>
              </w:rPr>
            </w:pPr>
            <w:r w:rsidRPr="00C8504B">
              <w:rPr>
                <w:rFonts w:ascii="Arial Narrow" w:hAnsi="Arial Narrow" w:cs="Arial"/>
                <w:sz w:val="18"/>
                <w:szCs w:val="18"/>
              </w:rPr>
              <w:t>Mobili, articoli e servizi per la casa</w:t>
            </w:r>
          </w:p>
        </w:tc>
        <w:tc>
          <w:tcPr>
            <w:tcW w:w="850" w:type="dxa"/>
            <w:shd w:val="clear" w:color="auto" w:fill="D9D9D9"/>
            <w:vAlign w:val="bottom"/>
          </w:tcPr>
          <w:p w:rsidR="002C000E" w:rsidRPr="003F0DEB" w:rsidRDefault="002C000E" w:rsidP="002C000E">
            <w:pPr>
              <w:spacing w:before="40" w:after="20"/>
              <w:ind w:right="57"/>
              <w:jc w:val="right"/>
              <w:rPr>
                <w:rFonts w:ascii="Arial Narrow" w:hAnsi="Arial Narrow" w:cs="Arial"/>
                <w:sz w:val="18"/>
                <w:szCs w:val="18"/>
              </w:rPr>
            </w:pPr>
            <w:r w:rsidRPr="003F0DEB">
              <w:rPr>
                <w:rFonts w:ascii="Arial Narrow" w:hAnsi="Arial Narrow" w:cs="Arial"/>
                <w:sz w:val="18"/>
                <w:szCs w:val="18"/>
              </w:rPr>
              <w:t>76.987</w:t>
            </w:r>
          </w:p>
        </w:tc>
        <w:tc>
          <w:tcPr>
            <w:tcW w:w="850" w:type="dxa"/>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+0,4</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+0,7</w:t>
            </w:r>
          </w:p>
        </w:tc>
        <w:tc>
          <w:tcPr>
            <w:tcW w:w="850" w:type="dxa"/>
            <w:shd w:val="clear" w:color="auto" w:fill="auto"/>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+3,2</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+3,5</w:t>
            </w:r>
          </w:p>
        </w:tc>
        <w:tc>
          <w:tcPr>
            <w:tcW w:w="1618" w:type="dxa"/>
            <w:shd w:val="clear" w:color="auto" w:fill="auto"/>
            <w:tcMar>
              <w:left w:w="284" w:type="dxa"/>
              <w:right w:w="57" w:type="dxa"/>
            </w:tcMar>
            <w:vAlign w:val="bottom"/>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0,241</w:t>
            </w:r>
          </w:p>
        </w:tc>
        <w:tc>
          <w:tcPr>
            <w:tcW w:w="680"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+6,1</w:t>
            </w:r>
          </w:p>
        </w:tc>
        <w:tc>
          <w:tcPr>
            <w:tcW w:w="680" w:type="dxa"/>
            <w:shd w:val="clear" w:color="auto" w:fill="auto"/>
            <w:vAlign w:val="center"/>
          </w:tcPr>
          <w:p w:rsidR="002C000E" w:rsidRPr="00CA7E7E" w:rsidRDefault="002C000E" w:rsidP="002C000E">
            <w:pPr>
              <w:spacing w:before="40" w:after="20"/>
              <w:ind w:right="57"/>
              <w:jc w:val="right"/>
              <w:rPr>
                <w:rFonts w:ascii="Arial Narrow" w:hAnsi="Arial Narrow" w:cs="Arial"/>
                <w:sz w:val="18"/>
                <w:szCs w:val="18"/>
              </w:rPr>
            </w:pPr>
            <w:r>
              <w:rPr>
                <w:rFonts w:ascii="Arial Narrow" w:hAnsi="Arial Narrow" w:cs="Arial"/>
                <w:sz w:val="18"/>
                <w:szCs w:val="18"/>
              </w:rPr>
              <w:t>+</w:t>
            </w:r>
            <w:r w:rsidRPr="00CA7E7E">
              <w:rPr>
                <w:rFonts w:ascii="Arial Narrow" w:hAnsi="Arial Narrow" w:cs="Arial"/>
                <w:sz w:val="18"/>
                <w:szCs w:val="18"/>
              </w:rPr>
              <w:t>5,2</w:t>
            </w:r>
          </w:p>
        </w:tc>
      </w:tr>
      <w:tr w:rsidR="002C000E" w:rsidRPr="00C8504B" w:rsidTr="00596941">
        <w:trPr>
          <w:trHeight w:val="255"/>
        </w:trPr>
        <w:tc>
          <w:tcPr>
            <w:tcW w:w="2977" w:type="dxa"/>
            <w:vAlign w:val="center"/>
          </w:tcPr>
          <w:p w:rsidR="002C000E" w:rsidRPr="00C8504B" w:rsidRDefault="002C000E" w:rsidP="002C000E">
            <w:pPr>
              <w:spacing w:before="40" w:after="20"/>
              <w:rPr>
                <w:rFonts w:ascii="Arial Narrow" w:hAnsi="Arial Narrow" w:cs="Arial"/>
                <w:sz w:val="18"/>
                <w:szCs w:val="18"/>
              </w:rPr>
            </w:pPr>
            <w:r w:rsidRPr="00C8504B">
              <w:rPr>
                <w:rFonts w:ascii="Arial Narrow" w:hAnsi="Arial Narrow" w:cs="Arial"/>
                <w:sz w:val="18"/>
                <w:szCs w:val="18"/>
              </w:rPr>
              <w:t>Servizi sanitari e spese per la salute</w:t>
            </w:r>
          </w:p>
        </w:tc>
        <w:tc>
          <w:tcPr>
            <w:tcW w:w="850" w:type="dxa"/>
            <w:shd w:val="clear" w:color="auto" w:fill="D9D9D9"/>
            <w:vAlign w:val="bottom"/>
          </w:tcPr>
          <w:p w:rsidR="002C000E" w:rsidRPr="003F0DEB" w:rsidRDefault="002C000E" w:rsidP="002C000E">
            <w:pPr>
              <w:spacing w:before="40" w:after="20"/>
              <w:ind w:right="57"/>
              <w:jc w:val="right"/>
              <w:rPr>
                <w:rFonts w:ascii="Arial Narrow" w:hAnsi="Arial Narrow" w:cs="Arial"/>
                <w:sz w:val="18"/>
                <w:szCs w:val="18"/>
              </w:rPr>
            </w:pPr>
            <w:r w:rsidRPr="003F0DEB">
              <w:rPr>
                <w:rFonts w:ascii="Arial Narrow" w:hAnsi="Arial Narrow" w:cs="Arial"/>
                <w:sz w:val="18"/>
                <w:szCs w:val="18"/>
              </w:rPr>
              <w:t>83.284</w:t>
            </w:r>
          </w:p>
        </w:tc>
        <w:tc>
          <w:tcPr>
            <w:tcW w:w="850" w:type="dxa"/>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+0,1</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+0,1</w:t>
            </w:r>
          </w:p>
        </w:tc>
        <w:tc>
          <w:tcPr>
            <w:tcW w:w="850" w:type="dxa"/>
            <w:shd w:val="clear" w:color="auto" w:fill="auto"/>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+1,8</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+1,8</w:t>
            </w:r>
          </w:p>
        </w:tc>
        <w:tc>
          <w:tcPr>
            <w:tcW w:w="1618" w:type="dxa"/>
            <w:shd w:val="clear" w:color="auto" w:fill="auto"/>
            <w:tcMar>
              <w:left w:w="284" w:type="dxa"/>
              <w:right w:w="57" w:type="dxa"/>
            </w:tcMar>
            <w:vAlign w:val="bottom"/>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0,152</w:t>
            </w:r>
          </w:p>
        </w:tc>
        <w:tc>
          <w:tcPr>
            <w:tcW w:w="680"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+1,6</w:t>
            </w:r>
          </w:p>
        </w:tc>
        <w:tc>
          <w:tcPr>
            <w:tcW w:w="680" w:type="dxa"/>
            <w:shd w:val="clear" w:color="auto" w:fill="auto"/>
            <w:vAlign w:val="center"/>
          </w:tcPr>
          <w:p w:rsidR="002C000E" w:rsidRPr="00CA7E7E" w:rsidRDefault="002C000E" w:rsidP="002C000E">
            <w:pPr>
              <w:spacing w:before="40" w:after="20"/>
              <w:ind w:right="57"/>
              <w:jc w:val="right"/>
              <w:rPr>
                <w:rFonts w:ascii="Arial Narrow" w:hAnsi="Arial Narrow" w:cs="Arial"/>
                <w:sz w:val="18"/>
                <w:szCs w:val="18"/>
              </w:rPr>
            </w:pPr>
            <w:r>
              <w:rPr>
                <w:rFonts w:ascii="Arial Narrow" w:hAnsi="Arial Narrow" w:cs="Arial"/>
                <w:sz w:val="18"/>
                <w:szCs w:val="18"/>
              </w:rPr>
              <w:t>+</w:t>
            </w:r>
            <w:r w:rsidRPr="00CA7E7E">
              <w:rPr>
                <w:rFonts w:ascii="Arial Narrow" w:hAnsi="Arial Narrow" w:cs="Arial"/>
                <w:sz w:val="18"/>
                <w:szCs w:val="18"/>
              </w:rPr>
              <w:t>0,8</w:t>
            </w:r>
          </w:p>
        </w:tc>
      </w:tr>
      <w:tr w:rsidR="002C000E" w:rsidRPr="00C8504B" w:rsidTr="00596941">
        <w:trPr>
          <w:trHeight w:val="255"/>
        </w:trPr>
        <w:tc>
          <w:tcPr>
            <w:tcW w:w="2977" w:type="dxa"/>
            <w:vAlign w:val="center"/>
          </w:tcPr>
          <w:p w:rsidR="002C000E" w:rsidRPr="00C8504B" w:rsidRDefault="002C000E" w:rsidP="002C000E">
            <w:pPr>
              <w:spacing w:before="40" w:after="20"/>
              <w:rPr>
                <w:rFonts w:ascii="Arial Narrow" w:hAnsi="Arial Narrow" w:cs="Arial"/>
                <w:sz w:val="18"/>
                <w:szCs w:val="18"/>
              </w:rPr>
            </w:pPr>
            <w:r w:rsidRPr="00C8504B">
              <w:rPr>
                <w:rFonts w:ascii="Arial Narrow" w:hAnsi="Arial Narrow" w:cs="Arial"/>
                <w:sz w:val="18"/>
                <w:szCs w:val="18"/>
              </w:rPr>
              <w:t>Trasporti</w:t>
            </w:r>
          </w:p>
        </w:tc>
        <w:tc>
          <w:tcPr>
            <w:tcW w:w="850" w:type="dxa"/>
            <w:shd w:val="clear" w:color="auto" w:fill="D9D9D9"/>
            <w:vAlign w:val="bottom"/>
          </w:tcPr>
          <w:p w:rsidR="002C000E" w:rsidRPr="003F0DEB" w:rsidRDefault="002C000E" w:rsidP="002C000E">
            <w:pPr>
              <w:spacing w:before="40" w:after="20"/>
              <w:ind w:right="57"/>
              <w:jc w:val="right"/>
              <w:rPr>
                <w:rFonts w:ascii="Arial Narrow" w:hAnsi="Arial Narrow" w:cs="Arial"/>
                <w:sz w:val="18"/>
                <w:szCs w:val="18"/>
              </w:rPr>
            </w:pPr>
            <w:r w:rsidRPr="003F0DEB">
              <w:rPr>
                <w:rFonts w:ascii="Arial Narrow" w:hAnsi="Arial Narrow" w:cs="Arial"/>
                <w:sz w:val="18"/>
                <w:szCs w:val="18"/>
              </w:rPr>
              <w:t>140.656</w:t>
            </w:r>
          </w:p>
        </w:tc>
        <w:tc>
          <w:tcPr>
            <w:tcW w:w="850" w:type="dxa"/>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-0,3</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+0,1</w:t>
            </w:r>
          </w:p>
        </w:tc>
        <w:tc>
          <w:tcPr>
            <w:tcW w:w="850" w:type="dxa"/>
            <w:shd w:val="clear" w:color="auto" w:fill="auto"/>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+2,9</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+3,4</w:t>
            </w:r>
          </w:p>
        </w:tc>
        <w:tc>
          <w:tcPr>
            <w:tcW w:w="1618" w:type="dxa"/>
            <w:shd w:val="clear" w:color="auto" w:fill="auto"/>
            <w:tcMar>
              <w:left w:w="284" w:type="dxa"/>
              <w:right w:w="57" w:type="dxa"/>
            </w:tcMar>
            <w:vAlign w:val="bottom"/>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0,418</w:t>
            </w:r>
          </w:p>
        </w:tc>
        <w:tc>
          <w:tcPr>
            <w:tcW w:w="680"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+3,5</w:t>
            </w:r>
          </w:p>
        </w:tc>
        <w:tc>
          <w:tcPr>
            <w:tcW w:w="680" w:type="dxa"/>
            <w:shd w:val="clear" w:color="auto" w:fill="auto"/>
            <w:vAlign w:val="center"/>
          </w:tcPr>
          <w:p w:rsidR="002C000E" w:rsidRPr="00CA7E7E" w:rsidRDefault="002C000E" w:rsidP="002C000E">
            <w:pPr>
              <w:spacing w:before="40" w:after="20"/>
              <w:ind w:right="57"/>
              <w:jc w:val="right"/>
              <w:rPr>
                <w:rFonts w:ascii="Arial Narrow" w:hAnsi="Arial Narrow" w:cs="Arial"/>
                <w:sz w:val="18"/>
                <w:szCs w:val="18"/>
              </w:rPr>
            </w:pPr>
            <w:r>
              <w:rPr>
                <w:rFonts w:ascii="Arial Narrow" w:hAnsi="Arial Narrow" w:cs="Arial"/>
                <w:sz w:val="18"/>
                <w:szCs w:val="18"/>
              </w:rPr>
              <w:t>+</w:t>
            </w:r>
            <w:r w:rsidRPr="00CA7E7E">
              <w:rPr>
                <w:rFonts w:ascii="Arial Narrow" w:hAnsi="Arial Narrow" w:cs="Arial"/>
                <w:sz w:val="18"/>
                <w:szCs w:val="18"/>
              </w:rPr>
              <w:t>9,7</w:t>
            </w:r>
          </w:p>
        </w:tc>
      </w:tr>
      <w:tr w:rsidR="002C000E" w:rsidRPr="00C8504B" w:rsidTr="00596941">
        <w:trPr>
          <w:trHeight w:val="255"/>
        </w:trPr>
        <w:tc>
          <w:tcPr>
            <w:tcW w:w="2977" w:type="dxa"/>
            <w:vAlign w:val="center"/>
          </w:tcPr>
          <w:p w:rsidR="002C000E" w:rsidRPr="00C8504B" w:rsidRDefault="002C000E" w:rsidP="002C000E">
            <w:pPr>
              <w:spacing w:before="40" w:after="20"/>
              <w:rPr>
                <w:rFonts w:ascii="Arial Narrow" w:hAnsi="Arial Narrow" w:cs="Arial"/>
                <w:sz w:val="18"/>
                <w:szCs w:val="18"/>
              </w:rPr>
            </w:pPr>
            <w:r w:rsidRPr="00C8504B">
              <w:rPr>
                <w:rFonts w:ascii="Arial Narrow" w:hAnsi="Arial Narrow" w:cs="Arial"/>
                <w:sz w:val="18"/>
                <w:szCs w:val="18"/>
              </w:rPr>
              <w:t>Comunicazioni</w:t>
            </w:r>
          </w:p>
        </w:tc>
        <w:tc>
          <w:tcPr>
            <w:tcW w:w="850" w:type="dxa"/>
            <w:shd w:val="clear" w:color="auto" w:fill="D9D9D9"/>
            <w:vAlign w:val="bottom"/>
          </w:tcPr>
          <w:p w:rsidR="002C000E" w:rsidRPr="003F0DEB" w:rsidRDefault="002C000E" w:rsidP="002C000E">
            <w:pPr>
              <w:spacing w:before="40" w:after="20"/>
              <w:ind w:right="57"/>
              <w:jc w:val="right"/>
              <w:rPr>
                <w:rFonts w:ascii="Arial Narrow" w:hAnsi="Arial Narrow" w:cs="Arial"/>
                <w:sz w:val="18"/>
                <w:szCs w:val="18"/>
              </w:rPr>
            </w:pPr>
            <w:r w:rsidRPr="003F0DEB">
              <w:rPr>
                <w:rFonts w:ascii="Arial Narrow" w:hAnsi="Arial Narrow" w:cs="Arial"/>
                <w:sz w:val="18"/>
                <w:szCs w:val="18"/>
              </w:rPr>
              <w:t>23.406</w:t>
            </w:r>
          </w:p>
        </w:tc>
        <w:tc>
          <w:tcPr>
            <w:tcW w:w="850" w:type="dxa"/>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-0,1</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+0,9</w:t>
            </w:r>
          </w:p>
        </w:tc>
        <w:tc>
          <w:tcPr>
            <w:tcW w:w="850" w:type="dxa"/>
            <w:shd w:val="clear" w:color="auto" w:fill="auto"/>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-2,3</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-1,3</w:t>
            </w:r>
          </w:p>
        </w:tc>
        <w:tc>
          <w:tcPr>
            <w:tcW w:w="1618" w:type="dxa"/>
            <w:shd w:val="clear" w:color="auto" w:fill="auto"/>
            <w:tcMar>
              <w:left w:w="284" w:type="dxa"/>
              <w:right w:w="57" w:type="dxa"/>
            </w:tcMar>
            <w:vAlign w:val="bottom"/>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-0,052</w:t>
            </w:r>
          </w:p>
        </w:tc>
        <w:tc>
          <w:tcPr>
            <w:tcW w:w="680"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+0,1</w:t>
            </w:r>
          </w:p>
        </w:tc>
        <w:tc>
          <w:tcPr>
            <w:tcW w:w="680" w:type="dxa"/>
            <w:shd w:val="clear" w:color="auto" w:fill="auto"/>
            <w:vAlign w:val="center"/>
          </w:tcPr>
          <w:p w:rsidR="002C000E" w:rsidRPr="00CA7E7E" w:rsidRDefault="002C000E" w:rsidP="002C000E">
            <w:pPr>
              <w:spacing w:before="40" w:after="20"/>
              <w:ind w:right="57"/>
              <w:jc w:val="right"/>
              <w:rPr>
                <w:rFonts w:ascii="Arial Narrow" w:hAnsi="Arial Narrow" w:cs="Arial"/>
                <w:sz w:val="18"/>
                <w:szCs w:val="18"/>
              </w:rPr>
            </w:pPr>
            <w:r w:rsidRPr="00CA7E7E">
              <w:rPr>
                <w:rFonts w:ascii="Arial Narrow" w:hAnsi="Arial Narrow" w:cs="Arial"/>
                <w:sz w:val="18"/>
                <w:szCs w:val="18"/>
              </w:rPr>
              <w:t>-3,1</w:t>
            </w:r>
          </w:p>
        </w:tc>
      </w:tr>
      <w:tr w:rsidR="002C000E" w:rsidRPr="00C8504B" w:rsidTr="00596941">
        <w:trPr>
          <w:trHeight w:val="255"/>
        </w:trPr>
        <w:tc>
          <w:tcPr>
            <w:tcW w:w="2977" w:type="dxa"/>
            <w:vAlign w:val="center"/>
          </w:tcPr>
          <w:p w:rsidR="002C000E" w:rsidRPr="00C8504B" w:rsidRDefault="002C000E" w:rsidP="002C000E">
            <w:pPr>
              <w:spacing w:before="40" w:after="20"/>
              <w:rPr>
                <w:rFonts w:ascii="Arial Narrow" w:hAnsi="Arial Narrow" w:cs="Arial"/>
                <w:sz w:val="18"/>
                <w:szCs w:val="18"/>
              </w:rPr>
            </w:pPr>
            <w:r w:rsidRPr="00C8504B">
              <w:rPr>
                <w:rFonts w:ascii="Arial Narrow" w:hAnsi="Arial Narrow" w:cs="Arial"/>
                <w:sz w:val="18"/>
                <w:szCs w:val="18"/>
              </w:rPr>
              <w:t>Ricreazione, spettacoli e cultura</w:t>
            </w:r>
          </w:p>
        </w:tc>
        <w:tc>
          <w:tcPr>
            <w:tcW w:w="850" w:type="dxa"/>
            <w:shd w:val="clear" w:color="auto" w:fill="D9D9D9"/>
            <w:vAlign w:val="bottom"/>
          </w:tcPr>
          <w:p w:rsidR="002C000E" w:rsidRPr="003F0DEB" w:rsidRDefault="002C000E" w:rsidP="002C000E">
            <w:pPr>
              <w:spacing w:before="40" w:after="20"/>
              <w:ind w:right="57"/>
              <w:jc w:val="right"/>
              <w:rPr>
                <w:rFonts w:ascii="Arial Narrow" w:hAnsi="Arial Narrow" w:cs="Arial"/>
                <w:sz w:val="18"/>
                <w:szCs w:val="18"/>
              </w:rPr>
            </w:pPr>
            <w:r w:rsidRPr="003F0DEB">
              <w:rPr>
                <w:rFonts w:ascii="Arial Narrow" w:hAnsi="Arial Narrow" w:cs="Arial"/>
                <w:sz w:val="18"/>
                <w:szCs w:val="18"/>
              </w:rPr>
              <w:t>78.807</w:t>
            </w:r>
          </w:p>
        </w:tc>
        <w:tc>
          <w:tcPr>
            <w:tcW w:w="850" w:type="dxa"/>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+1,7</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+2,9</w:t>
            </w:r>
          </w:p>
        </w:tc>
        <w:tc>
          <w:tcPr>
            <w:tcW w:w="850" w:type="dxa"/>
            <w:shd w:val="clear" w:color="auto" w:fill="auto"/>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+1,1</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+2,3</w:t>
            </w:r>
          </w:p>
        </w:tc>
        <w:tc>
          <w:tcPr>
            <w:tcW w:w="1618" w:type="dxa"/>
            <w:shd w:val="clear" w:color="auto" w:fill="auto"/>
            <w:tcMar>
              <w:left w:w="284" w:type="dxa"/>
              <w:right w:w="57" w:type="dxa"/>
            </w:tcMar>
            <w:vAlign w:val="bottom"/>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0,093</w:t>
            </w:r>
          </w:p>
        </w:tc>
        <w:tc>
          <w:tcPr>
            <w:tcW w:w="680"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+3,6</w:t>
            </w:r>
          </w:p>
        </w:tc>
        <w:tc>
          <w:tcPr>
            <w:tcW w:w="680" w:type="dxa"/>
            <w:shd w:val="clear" w:color="auto" w:fill="auto"/>
            <w:vAlign w:val="center"/>
          </w:tcPr>
          <w:p w:rsidR="002C000E" w:rsidRPr="00CA7E7E" w:rsidRDefault="002C000E" w:rsidP="002C000E">
            <w:pPr>
              <w:spacing w:before="40" w:after="20"/>
              <w:ind w:right="57"/>
              <w:jc w:val="right"/>
              <w:rPr>
                <w:rFonts w:ascii="Arial Narrow" w:hAnsi="Arial Narrow" w:cs="Arial"/>
                <w:sz w:val="18"/>
                <w:szCs w:val="18"/>
              </w:rPr>
            </w:pPr>
            <w:r>
              <w:rPr>
                <w:rFonts w:ascii="Arial Narrow" w:hAnsi="Arial Narrow" w:cs="Arial"/>
                <w:sz w:val="18"/>
                <w:szCs w:val="18"/>
              </w:rPr>
              <w:t>+</w:t>
            </w:r>
            <w:r w:rsidRPr="00CA7E7E">
              <w:rPr>
                <w:rFonts w:ascii="Arial Narrow" w:hAnsi="Arial Narrow" w:cs="Arial"/>
                <w:sz w:val="18"/>
                <w:szCs w:val="18"/>
              </w:rPr>
              <w:t>1,5</w:t>
            </w:r>
          </w:p>
        </w:tc>
      </w:tr>
      <w:tr w:rsidR="002C000E" w:rsidRPr="00C8504B" w:rsidTr="00596941">
        <w:trPr>
          <w:trHeight w:val="255"/>
        </w:trPr>
        <w:tc>
          <w:tcPr>
            <w:tcW w:w="2977" w:type="dxa"/>
            <w:vAlign w:val="center"/>
          </w:tcPr>
          <w:p w:rsidR="002C000E" w:rsidRPr="00C8504B" w:rsidRDefault="002C000E" w:rsidP="002C000E">
            <w:pPr>
              <w:spacing w:before="40" w:after="20"/>
              <w:rPr>
                <w:rFonts w:ascii="Arial Narrow" w:hAnsi="Arial Narrow" w:cs="Arial"/>
                <w:sz w:val="18"/>
                <w:szCs w:val="18"/>
              </w:rPr>
            </w:pPr>
            <w:r w:rsidRPr="00C8504B">
              <w:rPr>
                <w:rFonts w:ascii="Arial Narrow" w:hAnsi="Arial Narrow" w:cs="Arial"/>
                <w:sz w:val="18"/>
                <w:szCs w:val="18"/>
              </w:rPr>
              <w:t>Istruzione</w:t>
            </w:r>
          </w:p>
        </w:tc>
        <w:tc>
          <w:tcPr>
            <w:tcW w:w="850" w:type="dxa"/>
            <w:shd w:val="clear" w:color="auto" w:fill="D9D9D9"/>
            <w:vAlign w:val="bottom"/>
          </w:tcPr>
          <w:p w:rsidR="002C000E" w:rsidRPr="003F0DEB" w:rsidRDefault="002C000E" w:rsidP="002C000E">
            <w:pPr>
              <w:spacing w:before="40" w:after="20"/>
              <w:ind w:right="57"/>
              <w:jc w:val="right"/>
              <w:rPr>
                <w:rFonts w:ascii="Arial Narrow" w:hAnsi="Arial Narrow" w:cs="Arial"/>
                <w:sz w:val="18"/>
                <w:szCs w:val="18"/>
              </w:rPr>
            </w:pPr>
            <w:r w:rsidRPr="003F0DEB">
              <w:rPr>
                <w:rFonts w:ascii="Arial Narrow" w:hAnsi="Arial Narrow" w:cs="Arial"/>
                <w:sz w:val="18"/>
                <w:szCs w:val="18"/>
              </w:rPr>
              <w:t>9.135</w:t>
            </w:r>
          </w:p>
        </w:tc>
        <w:tc>
          <w:tcPr>
            <w:tcW w:w="850" w:type="dxa"/>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0,0</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0,0</w:t>
            </w:r>
          </w:p>
        </w:tc>
        <w:tc>
          <w:tcPr>
            <w:tcW w:w="850" w:type="dxa"/>
            <w:shd w:val="clear" w:color="auto" w:fill="auto"/>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+1,9</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+1,9</w:t>
            </w:r>
          </w:p>
        </w:tc>
        <w:tc>
          <w:tcPr>
            <w:tcW w:w="1618" w:type="dxa"/>
            <w:shd w:val="clear" w:color="auto" w:fill="auto"/>
            <w:tcMar>
              <w:left w:w="284" w:type="dxa"/>
              <w:right w:w="57" w:type="dxa"/>
            </w:tcMar>
            <w:vAlign w:val="bottom"/>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0,018</w:t>
            </w:r>
          </w:p>
        </w:tc>
        <w:tc>
          <w:tcPr>
            <w:tcW w:w="680"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+1,1</w:t>
            </w:r>
          </w:p>
        </w:tc>
        <w:tc>
          <w:tcPr>
            <w:tcW w:w="680" w:type="dxa"/>
            <w:shd w:val="clear" w:color="auto" w:fill="auto"/>
            <w:vAlign w:val="center"/>
          </w:tcPr>
          <w:p w:rsidR="002C000E" w:rsidRPr="00CA7E7E" w:rsidRDefault="002C000E" w:rsidP="002C000E">
            <w:pPr>
              <w:spacing w:before="40" w:after="20"/>
              <w:ind w:right="57"/>
              <w:jc w:val="right"/>
              <w:rPr>
                <w:rFonts w:ascii="Arial Narrow" w:hAnsi="Arial Narrow" w:cs="Arial"/>
                <w:sz w:val="18"/>
                <w:szCs w:val="18"/>
              </w:rPr>
            </w:pPr>
            <w:r>
              <w:rPr>
                <w:rFonts w:ascii="Arial Narrow" w:hAnsi="Arial Narrow" w:cs="Arial"/>
                <w:sz w:val="18"/>
                <w:szCs w:val="18"/>
              </w:rPr>
              <w:t>0,</w:t>
            </w:r>
            <w:r w:rsidRPr="00CA7E7E">
              <w:rPr>
                <w:rFonts w:ascii="Arial Narrow" w:hAnsi="Arial Narrow" w:cs="Arial"/>
                <w:sz w:val="18"/>
                <w:szCs w:val="18"/>
              </w:rPr>
              <w:t>0</w:t>
            </w:r>
          </w:p>
        </w:tc>
      </w:tr>
      <w:tr w:rsidR="002C000E" w:rsidRPr="00C8504B" w:rsidTr="00596941">
        <w:trPr>
          <w:trHeight w:val="255"/>
        </w:trPr>
        <w:tc>
          <w:tcPr>
            <w:tcW w:w="2977" w:type="dxa"/>
            <w:vAlign w:val="center"/>
          </w:tcPr>
          <w:p w:rsidR="002C000E" w:rsidRPr="00C8504B" w:rsidRDefault="002C000E" w:rsidP="002C000E">
            <w:pPr>
              <w:spacing w:before="40" w:after="20"/>
              <w:rPr>
                <w:rFonts w:ascii="Arial Narrow" w:hAnsi="Arial Narrow" w:cs="Arial"/>
                <w:sz w:val="18"/>
                <w:szCs w:val="18"/>
              </w:rPr>
            </w:pPr>
            <w:r w:rsidRPr="00C8504B">
              <w:rPr>
                <w:rFonts w:ascii="Arial Narrow" w:hAnsi="Arial Narrow" w:cs="Arial"/>
                <w:sz w:val="18"/>
                <w:szCs w:val="18"/>
              </w:rPr>
              <w:t>Servizi ricettivi e di ristorazione</w:t>
            </w:r>
          </w:p>
        </w:tc>
        <w:tc>
          <w:tcPr>
            <w:tcW w:w="850" w:type="dxa"/>
            <w:shd w:val="clear" w:color="auto" w:fill="D9D9D9"/>
            <w:vAlign w:val="bottom"/>
          </w:tcPr>
          <w:p w:rsidR="002C000E" w:rsidRPr="003F0DEB" w:rsidRDefault="002C000E" w:rsidP="002C000E">
            <w:pPr>
              <w:spacing w:before="40" w:after="20"/>
              <w:ind w:right="57"/>
              <w:jc w:val="right"/>
              <w:rPr>
                <w:rFonts w:ascii="Arial Narrow" w:hAnsi="Arial Narrow" w:cs="Arial"/>
                <w:sz w:val="18"/>
                <w:szCs w:val="18"/>
              </w:rPr>
            </w:pPr>
            <w:r w:rsidRPr="003F0DEB">
              <w:rPr>
                <w:rFonts w:ascii="Arial Narrow" w:hAnsi="Arial Narrow" w:cs="Arial"/>
                <w:sz w:val="18"/>
                <w:szCs w:val="18"/>
              </w:rPr>
              <w:t>108.510</w:t>
            </w:r>
          </w:p>
        </w:tc>
        <w:tc>
          <w:tcPr>
            <w:tcW w:w="850" w:type="dxa"/>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0,0</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+0,4</w:t>
            </w:r>
          </w:p>
        </w:tc>
        <w:tc>
          <w:tcPr>
            <w:tcW w:w="850" w:type="dxa"/>
            <w:shd w:val="clear" w:color="auto" w:fill="auto"/>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+4,6</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+5,1</w:t>
            </w:r>
          </w:p>
        </w:tc>
        <w:tc>
          <w:tcPr>
            <w:tcW w:w="1618" w:type="dxa"/>
            <w:shd w:val="clear" w:color="auto" w:fill="auto"/>
            <w:tcMar>
              <w:left w:w="284" w:type="dxa"/>
              <w:right w:w="57" w:type="dxa"/>
            </w:tcMar>
            <w:vAlign w:val="bottom"/>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0,502</w:t>
            </w:r>
          </w:p>
        </w:tc>
        <w:tc>
          <w:tcPr>
            <w:tcW w:w="680"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+7,0</w:t>
            </w:r>
          </w:p>
        </w:tc>
        <w:tc>
          <w:tcPr>
            <w:tcW w:w="680" w:type="dxa"/>
            <w:shd w:val="clear" w:color="auto" w:fill="auto"/>
            <w:vAlign w:val="center"/>
          </w:tcPr>
          <w:p w:rsidR="002C000E" w:rsidRPr="00CA7E7E" w:rsidRDefault="002C000E" w:rsidP="002C000E">
            <w:pPr>
              <w:spacing w:before="40" w:after="20"/>
              <w:ind w:right="57"/>
              <w:jc w:val="right"/>
              <w:rPr>
                <w:rFonts w:ascii="Arial Narrow" w:hAnsi="Arial Narrow" w:cs="Arial"/>
                <w:sz w:val="18"/>
                <w:szCs w:val="18"/>
              </w:rPr>
            </w:pPr>
            <w:r>
              <w:rPr>
                <w:rFonts w:ascii="Arial Narrow" w:hAnsi="Arial Narrow" w:cs="Arial"/>
                <w:sz w:val="18"/>
                <w:szCs w:val="18"/>
              </w:rPr>
              <w:t>+</w:t>
            </w:r>
            <w:r w:rsidRPr="00CA7E7E">
              <w:rPr>
                <w:rFonts w:ascii="Arial Narrow" w:hAnsi="Arial Narrow" w:cs="Arial"/>
                <w:sz w:val="18"/>
                <w:szCs w:val="18"/>
              </w:rPr>
              <w:t>6,3</w:t>
            </w:r>
          </w:p>
        </w:tc>
      </w:tr>
      <w:tr w:rsidR="002C000E" w:rsidRPr="00C8504B" w:rsidTr="00596941">
        <w:trPr>
          <w:trHeight w:val="255"/>
        </w:trPr>
        <w:tc>
          <w:tcPr>
            <w:tcW w:w="2977" w:type="dxa"/>
            <w:vAlign w:val="center"/>
          </w:tcPr>
          <w:p w:rsidR="002C000E" w:rsidRPr="00C8504B" w:rsidRDefault="002C000E" w:rsidP="002C000E">
            <w:pPr>
              <w:spacing w:before="40" w:after="20"/>
              <w:rPr>
                <w:rFonts w:ascii="Arial Narrow" w:hAnsi="Arial Narrow" w:cs="Arial"/>
                <w:sz w:val="18"/>
                <w:szCs w:val="18"/>
              </w:rPr>
            </w:pPr>
            <w:r w:rsidRPr="00C8504B">
              <w:rPr>
                <w:rFonts w:ascii="Arial Narrow" w:hAnsi="Arial Narrow" w:cs="Arial"/>
                <w:sz w:val="18"/>
                <w:szCs w:val="18"/>
              </w:rPr>
              <w:t>Altri beni e servizi</w:t>
            </w:r>
          </w:p>
        </w:tc>
        <w:tc>
          <w:tcPr>
            <w:tcW w:w="850" w:type="dxa"/>
            <w:shd w:val="clear" w:color="auto" w:fill="D9D9D9"/>
            <w:vAlign w:val="bottom"/>
          </w:tcPr>
          <w:p w:rsidR="002C000E" w:rsidRPr="003F0DEB" w:rsidRDefault="002C000E" w:rsidP="002C000E">
            <w:pPr>
              <w:spacing w:before="40" w:after="20"/>
              <w:ind w:right="57"/>
              <w:jc w:val="right"/>
              <w:rPr>
                <w:rFonts w:ascii="Arial Narrow" w:hAnsi="Arial Narrow" w:cs="Arial"/>
                <w:sz w:val="18"/>
                <w:szCs w:val="18"/>
              </w:rPr>
            </w:pPr>
            <w:r w:rsidRPr="003F0DEB">
              <w:rPr>
                <w:rFonts w:ascii="Arial Narrow" w:hAnsi="Arial Narrow" w:cs="Arial"/>
                <w:sz w:val="18"/>
                <w:szCs w:val="18"/>
              </w:rPr>
              <w:t>92.657</w:t>
            </w:r>
          </w:p>
        </w:tc>
        <w:tc>
          <w:tcPr>
            <w:tcW w:w="850" w:type="dxa"/>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+0,2</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+0,4</w:t>
            </w:r>
          </w:p>
        </w:tc>
        <w:tc>
          <w:tcPr>
            <w:tcW w:w="850" w:type="dxa"/>
            <w:shd w:val="clear" w:color="auto" w:fill="auto"/>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+3,3</w:t>
            </w:r>
          </w:p>
        </w:tc>
        <w:tc>
          <w:tcPr>
            <w:tcW w:w="851"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+3,5</w:t>
            </w:r>
          </w:p>
        </w:tc>
        <w:tc>
          <w:tcPr>
            <w:tcW w:w="1618" w:type="dxa"/>
            <w:shd w:val="clear" w:color="auto" w:fill="auto"/>
            <w:tcMar>
              <w:left w:w="284" w:type="dxa"/>
              <w:right w:w="57" w:type="dxa"/>
            </w:tcMar>
            <w:vAlign w:val="bottom"/>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0,303</w:t>
            </w:r>
          </w:p>
        </w:tc>
        <w:tc>
          <w:tcPr>
            <w:tcW w:w="680" w:type="dxa"/>
            <w:shd w:val="clear" w:color="auto" w:fill="D9D9D9"/>
            <w:vAlign w:val="center"/>
          </w:tcPr>
          <w:p w:rsidR="002C000E" w:rsidRPr="002C000E" w:rsidRDefault="002C000E" w:rsidP="002C000E">
            <w:pPr>
              <w:spacing w:before="40" w:after="20"/>
              <w:ind w:right="57"/>
              <w:jc w:val="right"/>
              <w:rPr>
                <w:rFonts w:ascii="Arial Narrow" w:hAnsi="Arial Narrow" w:cs="Arial"/>
                <w:sz w:val="18"/>
                <w:szCs w:val="18"/>
              </w:rPr>
            </w:pPr>
            <w:r w:rsidRPr="002C000E">
              <w:rPr>
                <w:rFonts w:ascii="Arial Narrow" w:hAnsi="Arial Narrow" w:cs="Arial"/>
                <w:sz w:val="18"/>
                <w:szCs w:val="18"/>
              </w:rPr>
              <w:t>+4,0</w:t>
            </w:r>
          </w:p>
        </w:tc>
        <w:tc>
          <w:tcPr>
            <w:tcW w:w="680" w:type="dxa"/>
            <w:shd w:val="clear" w:color="auto" w:fill="auto"/>
            <w:vAlign w:val="center"/>
          </w:tcPr>
          <w:p w:rsidR="002C000E" w:rsidRPr="00CA7E7E" w:rsidRDefault="002C000E" w:rsidP="002C000E">
            <w:pPr>
              <w:spacing w:before="40" w:after="20"/>
              <w:ind w:right="57"/>
              <w:jc w:val="right"/>
              <w:rPr>
                <w:rFonts w:ascii="Arial Narrow" w:hAnsi="Arial Narrow" w:cs="Arial"/>
                <w:sz w:val="18"/>
                <w:szCs w:val="18"/>
              </w:rPr>
            </w:pPr>
            <w:r>
              <w:rPr>
                <w:rFonts w:ascii="Arial Narrow" w:hAnsi="Arial Narrow" w:cs="Arial"/>
                <w:sz w:val="18"/>
                <w:szCs w:val="18"/>
              </w:rPr>
              <w:t>+</w:t>
            </w:r>
            <w:r w:rsidRPr="00CA7E7E">
              <w:rPr>
                <w:rFonts w:ascii="Arial Narrow" w:hAnsi="Arial Narrow" w:cs="Arial"/>
                <w:sz w:val="18"/>
                <w:szCs w:val="18"/>
              </w:rPr>
              <w:t>2</w:t>
            </w:r>
            <w:r>
              <w:rPr>
                <w:rFonts w:ascii="Arial Narrow" w:hAnsi="Arial Narrow" w:cs="Arial"/>
                <w:sz w:val="18"/>
                <w:szCs w:val="18"/>
              </w:rPr>
              <w:t>,0</w:t>
            </w:r>
          </w:p>
        </w:tc>
      </w:tr>
      <w:tr w:rsidR="002C000E" w:rsidRPr="00C7667B" w:rsidTr="00596941">
        <w:trPr>
          <w:trHeight w:val="255"/>
        </w:trPr>
        <w:tc>
          <w:tcPr>
            <w:tcW w:w="2977" w:type="dxa"/>
            <w:shd w:val="clear" w:color="auto" w:fill="E42618"/>
            <w:vAlign w:val="center"/>
          </w:tcPr>
          <w:p w:rsidR="002C000E" w:rsidRPr="00C8504B" w:rsidRDefault="002C000E" w:rsidP="002C000E">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850" w:type="dxa"/>
            <w:shd w:val="clear" w:color="auto" w:fill="E42618"/>
            <w:vAlign w:val="bottom"/>
          </w:tcPr>
          <w:p w:rsidR="002C000E" w:rsidRPr="003F0DEB" w:rsidRDefault="002C000E" w:rsidP="002C000E">
            <w:pPr>
              <w:spacing w:before="40" w:after="20"/>
              <w:ind w:right="57"/>
              <w:jc w:val="right"/>
              <w:rPr>
                <w:rFonts w:ascii="Arial Narrow" w:hAnsi="Arial Narrow" w:cs="Arial"/>
                <w:b/>
                <w:sz w:val="18"/>
                <w:szCs w:val="18"/>
              </w:rPr>
            </w:pPr>
            <w:r w:rsidRPr="003F0DEB">
              <w:rPr>
                <w:rFonts w:ascii="Arial Narrow" w:hAnsi="Arial Narrow" w:cs="Arial"/>
                <w:b/>
                <w:color w:val="FFFFFF" w:themeColor="background1"/>
                <w:sz w:val="18"/>
                <w:szCs w:val="18"/>
              </w:rPr>
              <w:t>1.000.000</w:t>
            </w:r>
          </w:p>
        </w:tc>
        <w:tc>
          <w:tcPr>
            <w:tcW w:w="850" w:type="dxa"/>
            <w:shd w:val="clear" w:color="auto" w:fill="E42618"/>
            <w:vAlign w:val="center"/>
          </w:tcPr>
          <w:p w:rsidR="002C000E" w:rsidRPr="002C000E" w:rsidRDefault="002C000E" w:rsidP="002C000E">
            <w:pPr>
              <w:spacing w:before="40" w:after="20"/>
              <w:ind w:right="57"/>
              <w:jc w:val="right"/>
              <w:rPr>
                <w:rFonts w:ascii="Arial Narrow" w:hAnsi="Arial Narrow" w:cs="Arial"/>
                <w:b/>
                <w:color w:val="FFFFFF" w:themeColor="background1"/>
                <w:sz w:val="18"/>
                <w:szCs w:val="18"/>
              </w:rPr>
            </w:pPr>
            <w:r w:rsidRPr="002C000E">
              <w:rPr>
                <w:rFonts w:ascii="Arial Narrow" w:hAnsi="Arial Narrow" w:cs="Arial"/>
                <w:b/>
                <w:color w:val="FFFFFF" w:themeColor="background1"/>
                <w:sz w:val="18"/>
                <w:szCs w:val="18"/>
              </w:rPr>
              <w:t>+0,2</w:t>
            </w:r>
          </w:p>
        </w:tc>
        <w:tc>
          <w:tcPr>
            <w:tcW w:w="851" w:type="dxa"/>
            <w:shd w:val="clear" w:color="auto" w:fill="E42618"/>
            <w:vAlign w:val="center"/>
          </w:tcPr>
          <w:p w:rsidR="002C000E" w:rsidRPr="002C000E" w:rsidRDefault="002C000E" w:rsidP="002C000E">
            <w:pPr>
              <w:spacing w:before="40" w:after="20"/>
              <w:ind w:right="57"/>
              <w:jc w:val="right"/>
              <w:rPr>
                <w:rFonts w:ascii="Arial Narrow" w:hAnsi="Arial Narrow" w:cs="Arial"/>
                <w:b/>
                <w:color w:val="FFFFFF" w:themeColor="background1"/>
                <w:sz w:val="18"/>
                <w:szCs w:val="18"/>
              </w:rPr>
            </w:pPr>
            <w:r w:rsidRPr="002C000E">
              <w:rPr>
                <w:rFonts w:ascii="Arial Narrow" w:hAnsi="Arial Narrow" w:cs="Arial"/>
                <w:b/>
                <w:color w:val="FFFFFF" w:themeColor="background1"/>
                <w:sz w:val="18"/>
                <w:szCs w:val="18"/>
              </w:rPr>
              <w:t>+0,3</w:t>
            </w:r>
          </w:p>
        </w:tc>
        <w:tc>
          <w:tcPr>
            <w:tcW w:w="850" w:type="dxa"/>
            <w:shd w:val="clear" w:color="auto" w:fill="E42618"/>
            <w:vAlign w:val="center"/>
          </w:tcPr>
          <w:p w:rsidR="002C000E" w:rsidRPr="002C000E" w:rsidRDefault="002C000E" w:rsidP="002C000E">
            <w:pPr>
              <w:spacing w:before="40" w:after="20"/>
              <w:ind w:right="57"/>
              <w:jc w:val="right"/>
              <w:rPr>
                <w:rFonts w:ascii="Arial Narrow" w:hAnsi="Arial Narrow" w:cs="Arial"/>
                <w:b/>
                <w:color w:val="FFFFFF" w:themeColor="background1"/>
                <w:sz w:val="18"/>
                <w:szCs w:val="18"/>
              </w:rPr>
            </w:pPr>
            <w:r w:rsidRPr="002C000E">
              <w:rPr>
                <w:rFonts w:ascii="Arial Narrow" w:hAnsi="Arial Narrow" w:cs="Arial"/>
                <w:b/>
                <w:color w:val="FFFFFF" w:themeColor="background1"/>
                <w:sz w:val="18"/>
                <w:szCs w:val="18"/>
              </w:rPr>
              <w:t>+0,6</w:t>
            </w:r>
          </w:p>
        </w:tc>
        <w:tc>
          <w:tcPr>
            <w:tcW w:w="851" w:type="dxa"/>
            <w:shd w:val="clear" w:color="auto" w:fill="E42618"/>
            <w:vAlign w:val="center"/>
          </w:tcPr>
          <w:p w:rsidR="002C000E" w:rsidRPr="002C000E" w:rsidRDefault="002C000E" w:rsidP="002C000E">
            <w:pPr>
              <w:spacing w:before="40" w:after="20"/>
              <w:ind w:right="57"/>
              <w:jc w:val="right"/>
              <w:rPr>
                <w:rFonts w:ascii="Arial Narrow" w:hAnsi="Arial Narrow" w:cs="Arial"/>
                <w:b/>
                <w:color w:val="FFFFFF" w:themeColor="background1"/>
                <w:sz w:val="18"/>
                <w:szCs w:val="18"/>
              </w:rPr>
            </w:pPr>
            <w:r w:rsidRPr="002C000E">
              <w:rPr>
                <w:rFonts w:ascii="Arial Narrow" w:hAnsi="Arial Narrow" w:cs="Arial"/>
                <w:b/>
                <w:color w:val="FFFFFF" w:themeColor="background1"/>
                <w:sz w:val="18"/>
                <w:szCs w:val="18"/>
              </w:rPr>
              <w:t>+0,7</w:t>
            </w:r>
          </w:p>
        </w:tc>
        <w:tc>
          <w:tcPr>
            <w:tcW w:w="1618" w:type="dxa"/>
            <w:shd w:val="clear" w:color="auto" w:fill="E42618"/>
            <w:tcMar>
              <w:left w:w="284" w:type="dxa"/>
              <w:right w:w="57" w:type="dxa"/>
            </w:tcMar>
            <w:vAlign w:val="bottom"/>
          </w:tcPr>
          <w:p w:rsidR="002C000E" w:rsidRPr="002C000E" w:rsidRDefault="002C000E" w:rsidP="002C000E">
            <w:pPr>
              <w:spacing w:before="40" w:after="20"/>
              <w:ind w:right="57"/>
              <w:jc w:val="right"/>
              <w:rPr>
                <w:rFonts w:ascii="Arial Narrow" w:hAnsi="Arial Narrow" w:cs="Arial"/>
                <w:b/>
                <w:color w:val="FFFFFF" w:themeColor="background1"/>
                <w:sz w:val="18"/>
                <w:szCs w:val="18"/>
              </w:rPr>
            </w:pPr>
          </w:p>
        </w:tc>
        <w:tc>
          <w:tcPr>
            <w:tcW w:w="680" w:type="dxa"/>
            <w:shd w:val="clear" w:color="auto" w:fill="E42618"/>
            <w:vAlign w:val="center"/>
          </w:tcPr>
          <w:p w:rsidR="002C000E" w:rsidRPr="002C000E" w:rsidRDefault="002C000E" w:rsidP="002C000E">
            <w:pPr>
              <w:spacing w:before="40" w:after="20"/>
              <w:ind w:right="57"/>
              <w:jc w:val="right"/>
              <w:rPr>
                <w:rFonts w:ascii="Arial Narrow" w:hAnsi="Arial Narrow" w:cs="Arial"/>
                <w:b/>
                <w:color w:val="FFFFFF" w:themeColor="background1"/>
                <w:sz w:val="18"/>
                <w:szCs w:val="18"/>
              </w:rPr>
            </w:pPr>
            <w:r w:rsidRPr="002C000E">
              <w:rPr>
                <w:rFonts w:ascii="Arial Narrow" w:hAnsi="Arial Narrow" w:cs="Arial"/>
                <w:b/>
                <w:color w:val="FFFFFF" w:themeColor="background1"/>
                <w:sz w:val="18"/>
                <w:szCs w:val="18"/>
              </w:rPr>
              <w:t>+5,7</w:t>
            </w:r>
          </w:p>
        </w:tc>
        <w:tc>
          <w:tcPr>
            <w:tcW w:w="680" w:type="dxa"/>
            <w:shd w:val="clear" w:color="auto" w:fill="E42618"/>
            <w:vAlign w:val="center"/>
          </w:tcPr>
          <w:p w:rsidR="002C000E" w:rsidRPr="002C000E" w:rsidRDefault="002C000E" w:rsidP="002C000E">
            <w:pPr>
              <w:spacing w:before="40" w:after="20"/>
              <w:ind w:right="57"/>
              <w:jc w:val="right"/>
              <w:rPr>
                <w:rFonts w:ascii="Arial Narrow" w:hAnsi="Arial Narrow" w:cs="Arial"/>
                <w:b/>
                <w:color w:val="FFFFFF" w:themeColor="background1"/>
                <w:sz w:val="18"/>
                <w:szCs w:val="18"/>
              </w:rPr>
            </w:pPr>
            <w:r w:rsidRPr="002C000E">
              <w:rPr>
                <w:rFonts w:ascii="Arial Narrow" w:hAnsi="Arial Narrow" w:cs="Arial"/>
                <w:b/>
                <w:color w:val="FFFFFF" w:themeColor="background1"/>
                <w:sz w:val="18"/>
                <w:szCs w:val="18"/>
              </w:rPr>
              <w:t>+8,1</w:t>
            </w:r>
          </w:p>
        </w:tc>
      </w:tr>
      <w:bookmarkEnd w:id="1"/>
    </w:tbl>
    <w:p w:rsidR="006C2185" w:rsidRPr="00CB30B9" w:rsidRDefault="006C2185" w:rsidP="006C2185">
      <w:pPr>
        <w:pStyle w:val="001TitoGra"/>
        <w:spacing w:after="120" w:line="240" w:lineRule="auto"/>
        <w:rPr>
          <w:color w:val="E42618"/>
          <w:sz w:val="16"/>
          <w:szCs w:val="16"/>
        </w:rPr>
      </w:pPr>
    </w:p>
    <w:p w:rsidR="006C2185" w:rsidRDefault="006C2185" w:rsidP="006C2185">
      <w:pPr>
        <w:pStyle w:val="001TitoGra"/>
        <w:spacing w:line="240" w:lineRule="auto"/>
      </w:pPr>
      <w:r>
        <w:rPr>
          <w:rFonts w:cs="Calibri"/>
          <w:bCs/>
          <w:color w:val="FF0000"/>
          <w:kern w:val="0"/>
        </w:rPr>
        <w:t>F</w:t>
      </w:r>
      <w:r w:rsidRPr="001033EA">
        <w:rPr>
          <w:rFonts w:cs="Calibri"/>
          <w:bCs/>
          <w:color w:val="FF0000"/>
          <w:kern w:val="0"/>
        </w:rPr>
        <w:t xml:space="preserve">IGURA </w:t>
      </w:r>
      <w:r>
        <w:rPr>
          <w:rFonts w:cs="Calibri"/>
          <w:bCs/>
          <w:color w:val="FF0000"/>
          <w:kern w:val="0"/>
        </w:rPr>
        <w:t xml:space="preserve">2. </w:t>
      </w:r>
      <w:r>
        <w:t>INDICI DEI PREZZI AL CONSUMO NIC PER DIVISIONE DI SPESA</w:t>
      </w:r>
    </w:p>
    <w:p w:rsidR="006C2185" w:rsidRDefault="006C2185" w:rsidP="006C2185">
      <w:pPr>
        <w:pStyle w:val="001TitoGra"/>
        <w:spacing w:after="120" w:line="240" w:lineRule="auto"/>
        <w:rPr>
          <w:b w:val="0"/>
          <w:sz w:val="20"/>
          <w:szCs w:val="20"/>
        </w:rPr>
      </w:pPr>
      <w:r w:rsidRPr="00E35AE6">
        <w:rPr>
          <w:b w:val="0"/>
          <w:sz w:val="20"/>
          <w:szCs w:val="20"/>
        </w:rPr>
        <w:t xml:space="preserve">Dicembre </w:t>
      </w:r>
      <w:r>
        <w:rPr>
          <w:b w:val="0"/>
          <w:sz w:val="20"/>
          <w:szCs w:val="20"/>
        </w:rPr>
        <w:t>202</w:t>
      </w:r>
      <w:r w:rsidR="00B22849">
        <w:rPr>
          <w:b w:val="0"/>
          <w:sz w:val="20"/>
          <w:szCs w:val="20"/>
        </w:rPr>
        <w:t>3</w:t>
      </w:r>
      <w:r w:rsidRPr="006C51CD">
        <w:rPr>
          <w:b w:val="0"/>
          <w:sz w:val="20"/>
          <w:szCs w:val="20"/>
        </w:rPr>
        <w:t>, variazioni percentuali tendenziali (base 2015=100)</w:t>
      </w:r>
    </w:p>
    <w:p w:rsidR="006C2185" w:rsidRDefault="00CB30B9" w:rsidP="006C2185">
      <w:pPr>
        <w:pStyle w:val="001TitoGra"/>
        <w:spacing w:after="120" w:line="240" w:lineRule="auto"/>
        <w:rPr>
          <w:b w:val="0"/>
          <w:sz w:val="20"/>
          <w:szCs w:val="20"/>
        </w:rPr>
      </w:pPr>
      <w:r>
        <w:rPr>
          <w:b w:val="0"/>
          <w:noProof/>
          <w:sz w:val="20"/>
          <w:szCs w:val="20"/>
        </w:rPr>
        <w:drawing>
          <wp:inline distT="0" distB="0" distL="0" distR="0" wp14:anchorId="71A85D67">
            <wp:extent cx="6663690" cy="2164080"/>
            <wp:effectExtent l="0" t="0" r="3810" b="762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3690" cy="2164080"/>
                    </a:xfrm>
                    <a:prstGeom prst="rect">
                      <a:avLst/>
                    </a:prstGeom>
                    <a:noFill/>
                  </pic:spPr>
                </pic:pic>
              </a:graphicData>
            </a:graphic>
          </wp:inline>
        </w:drawing>
      </w:r>
    </w:p>
    <w:p w:rsidR="00DC6658" w:rsidRDefault="00DC6658" w:rsidP="00DC6658">
      <w:pPr>
        <w:tabs>
          <w:tab w:val="left" w:pos="851"/>
          <w:tab w:val="left" w:pos="9639"/>
        </w:tabs>
        <w:spacing w:before="0" w:after="120"/>
        <w:jc w:val="both"/>
        <w:rPr>
          <w:rFonts w:ascii="Arial" w:hAnsi="Arial" w:cs="Arial"/>
          <w:iCs/>
          <w:sz w:val="21"/>
          <w:szCs w:val="21"/>
        </w:rPr>
      </w:pPr>
    </w:p>
    <w:p w:rsidR="004B33E4" w:rsidRPr="00C8504B" w:rsidRDefault="005B1978" w:rsidP="00BD0487">
      <w:pPr>
        <w:pStyle w:val="001TitoloBolocco"/>
        <w:spacing w:after="120" w:line="240" w:lineRule="auto"/>
        <w:rPr>
          <w:szCs w:val="26"/>
        </w:rPr>
      </w:pPr>
      <w:r w:rsidRPr="00C8504B">
        <w:rPr>
          <w:szCs w:val="26"/>
        </w:rPr>
        <w:t>Le TIPOLOGIE DI PRODOTTO</w:t>
      </w:r>
    </w:p>
    <w:p w:rsidR="00F9609C" w:rsidRDefault="00F9609C" w:rsidP="003346B6">
      <w:pPr>
        <w:tabs>
          <w:tab w:val="left" w:pos="1498"/>
        </w:tabs>
        <w:spacing w:before="0" w:after="120"/>
        <w:jc w:val="both"/>
        <w:rPr>
          <w:rFonts w:ascii="Arial" w:hAnsi="Arial" w:cs="Arial"/>
          <w:color w:val="000000"/>
          <w:kern w:val="0"/>
          <w:sz w:val="21"/>
          <w:szCs w:val="21"/>
        </w:rPr>
      </w:pPr>
      <w:r w:rsidRPr="00AA6CC8">
        <w:rPr>
          <w:rFonts w:ascii="Arial" w:hAnsi="Arial" w:cs="Arial"/>
          <w:color w:val="000000"/>
          <w:kern w:val="0"/>
          <w:sz w:val="21"/>
          <w:szCs w:val="21"/>
        </w:rPr>
        <w:t>A</w:t>
      </w:r>
      <w:r>
        <w:rPr>
          <w:rFonts w:ascii="Arial" w:hAnsi="Arial" w:cs="Arial"/>
          <w:color w:val="000000"/>
          <w:kern w:val="0"/>
          <w:sz w:val="21"/>
          <w:szCs w:val="21"/>
        </w:rPr>
        <w:t xml:space="preserve"> dicembre</w:t>
      </w:r>
      <w:r w:rsidRPr="00AA6CC8">
        <w:rPr>
          <w:rFonts w:ascii="Arial" w:hAnsi="Arial" w:cs="Arial"/>
          <w:color w:val="000000"/>
          <w:kern w:val="0"/>
          <w:sz w:val="21"/>
          <w:szCs w:val="21"/>
        </w:rPr>
        <w:t xml:space="preserve"> </w:t>
      </w:r>
      <w:r>
        <w:rPr>
          <w:rFonts w:ascii="Arial" w:hAnsi="Arial" w:cs="Arial"/>
          <w:color w:val="000000"/>
          <w:kern w:val="0"/>
          <w:sz w:val="21"/>
          <w:szCs w:val="21"/>
        </w:rPr>
        <w:t xml:space="preserve">il lieve rallentamento su base tendenziale </w:t>
      </w:r>
      <w:r w:rsidRPr="00AA6CC8">
        <w:rPr>
          <w:rFonts w:ascii="Arial" w:hAnsi="Arial" w:cs="Arial"/>
          <w:color w:val="000000"/>
          <w:kern w:val="0"/>
          <w:sz w:val="21"/>
          <w:szCs w:val="21"/>
        </w:rPr>
        <w:t>dell’indice generale dei prezzi al consumo NIC (</w:t>
      </w:r>
      <w:r>
        <w:rPr>
          <w:rFonts w:ascii="Arial" w:hAnsi="Arial" w:cs="Arial"/>
          <w:color w:val="000000"/>
          <w:kern w:val="0"/>
          <w:sz w:val="21"/>
          <w:szCs w:val="21"/>
        </w:rPr>
        <w:t>da +0,7% di novembre a +0,6</w:t>
      </w:r>
      <w:r w:rsidRPr="00AA6CC8">
        <w:rPr>
          <w:rFonts w:ascii="Arial" w:hAnsi="Arial" w:cs="Arial"/>
          <w:color w:val="000000"/>
          <w:kern w:val="0"/>
          <w:sz w:val="21"/>
          <w:szCs w:val="21"/>
        </w:rPr>
        <w:t xml:space="preserve">%) </w:t>
      </w:r>
      <w:r>
        <w:rPr>
          <w:rFonts w:ascii="Arial" w:hAnsi="Arial" w:cs="Arial"/>
          <w:color w:val="000000"/>
          <w:kern w:val="0"/>
          <w:sz w:val="21"/>
          <w:szCs w:val="21"/>
        </w:rPr>
        <w:t>si deve sia ai prezzi dei beni (da -1,4</w:t>
      </w:r>
      <w:r w:rsidRPr="00B07AFC">
        <w:rPr>
          <w:rFonts w:ascii="Arial" w:hAnsi="Arial" w:cs="Arial"/>
          <w:color w:val="000000"/>
          <w:kern w:val="0"/>
          <w:sz w:val="21"/>
          <w:szCs w:val="21"/>
        </w:rPr>
        <w:t xml:space="preserve">% a </w:t>
      </w:r>
      <w:r>
        <w:rPr>
          <w:rFonts w:ascii="Arial" w:hAnsi="Arial" w:cs="Arial"/>
          <w:color w:val="000000"/>
          <w:kern w:val="0"/>
          <w:sz w:val="21"/>
          <w:szCs w:val="21"/>
        </w:rPr>
        <w:t>-1,5</w:t>
      </w:r>
      <w:r w:rsidRPr="00B07AFC">
        <w:rPr>
          <w:rFonts w:ascii="Arial" w:hAnsi="Arial" w:cs="Arial"/>
          <w:color w:val="000000"/>
          <w:kern w:val="0"/>
          <w:sz w:val="21"/>
          <w:szCs w:val="21"/>
        </w:rPr>
        <w:t>%)</w:t>
      </w:r>
      <w:r>
        <w:rPr>
          <w:rFonts w:ascii="Arial" w:hAnsi="Arial" w:cs="Arial"/>
          <w:color w:val="000000"/>
          <w:kern w:val="0"/>
          <w:sz w:val="21"/>
          <w:szCs w:val="21"/>
        </w:rPr>
        <w:t xml:space="preserve"> sia a quelli</w:t>
      </w:r>
      <w:r w:rsidRPr="00CA588B">
        <w:rPr>
          <w:rFonts w:ascii="Arial" w:hAnsi="Arial" w:cs="Arial"/>
          <w:color w:val="000000"/>
          <w:kern w:val="0"/>
          <w:sz w:val="21"/>
          <w:szCs w:val="21"/>
        </w:rPr>
        <w:t xml:space="preserve"> </w:t>
      </w:r>
      <w:r>
        <w:rPr>
          <w:rFonts w:ascii="Arial" w:hAnsi="Arial" w:cs="Arial"/>
          <w:color w:val="000000"/>
          <w:kern w:val="0"/>
          <w:sz w:val="21"/>
          <w:szCs w:val="21"/>
        </w:rPr>
        <w:t>dei</w:t>
      </w:r>
      <w:r w:rsidRPr="00AA6CC8">
        <w:rPr>
          <w:rFonts w:ascii="Arial" w:hAnsi="Arial" w:cs="Arial"/>
          <w:color w:val="000000"/>
          <w:kern w:val="0"/>
          <w:sz w:val="21"/>
          <w:szCs w:val="21"/>
        </w:rPr>
        <w:t xml:space="preserve"> </w:t>
      </w:r>
      <w:r>
        <w:rPr>
          <w:rFonts w:ascii="Arial" w:hAnsi="Arial" w:cs="Arial"/>
          <w:color w:val="000000"/>
          <w:kern w:val="0"/>
          <w:sz w:val="21"/>
          <w:szCs w:val="21"/>
        </w:rPr>
        <w:t>servizi (la cui crescita passa da +3,7% a +3,4%)</w:t>
      </w:r>
      <w:r w:rsidRPr="00B07AFC">
        <w:rPr>
          <w:rFonts w:ascii="Arial" w:hAnsi="Arial" w:cs="Arial"/>
          <w:color w:val="000000"/>
          <w:kern w:val="0"/>
          <w:sz w:val="21"/>
          <w:szCs w:val="21"/>
        </w:rPr>
        <w:t xml:space="preserve">; il differenziale inflazionistico tra questi ultimi e i prezzi dei beni </w:t>
      </w:r>
      <w:r>
        <w:rPr>
          <w:rFonts w:ascii="Arial" w:hAnsi="Arial" w:cs="Arial"/>
          <w:color w:val="000000"/>
          <w:kern w:val="0"/>
          <w:sz w:val="21"/>
          <w:szCs w:val="21"/>
        </w:rPr>
        <w:t>si riduce, portandosi a +4,9</w:t>
      </w:r>
      <w:r w:rsidRPr="00B07AFC">
        <w:rPr>
          <w:rFonts w:ascii="Arial" w:hAnsi="Arial" w:cs="Arial"/>
          <w:color w:val="000000"/>
          <w:kern w:val="0"/>
          <w:sz w:val="21"/>
          <w:szCs w:val="21"/>
        </w:rPr>
        <w:t xml:space="preserve"> punti percentuali, </w:t>
      </w:r>
      <w:r>
        <w:rPr>
          <w:rFonts w:ascii="Arial" w:hAnsi="Arial" w:cs="Arial"/>
          <w:color w:val="000000"/>
          <w:kern w:val="0"/>
          <w:sz w:val="21"/>
          <w:szCs w:val="21"/>
        </w:rPr>
        <w:t>dai +5,1 di</w:t>
      </w:r>
      <w:r w:rsidRPr="00B07AFC">
        <w:rPr>
          <w:rFonts w:ascii="Arial" w:hAnsi="Arial" w:cs="Arial"/>
          <w:color w:val="000000"/>
          <w:kern w:val="0"/>
          <w:sz w:val="21"/>
          <w:szCs w:val="21"/>
        </w:rPr>
        <w:t xml:space="preserve"> novembre.</w:t>
      </w:r>
    </w:p>
    <w:p w:rsidR="003F6487" w:rsidRDefault="003F6487" w:rsidP="003346B6">
      <w:pPr>
        <w:tabs>
          <w:tab w:val="left" w:pos="1498"/>
        </w:tabs>
        <w:spacing w:before="0" w:after="120"/>
        <w:jc w:val="both"/>
        <w:rPr>
          <w:rFonts w:ascii="Arial" w:hAnsi="Arial" w:cs="Arial"/>
          <w:color w:val="000000"/>
          <w:kern w:val="0"/>
          <w:sz w:val="21"/>
          <w:szCs w:val="21"/>
        </w:rPr>
      </w:pPr>
      <w:r>
        <w:rPr>
          <w:rFonts w:ascii="Arial" w:hAnsi="Arial" w:cs="Arial"/>
          <w:color w:val="000000"/>
          <w:kern w:val="0"/>
          <w:sz w:val="21"/>
          <w:szCs w:val="21"/>
        </w:rPr>
        <w:t>L’andamento dei prezzi dei beni riflette in primo luogo quello dei</w:t>
      </w:r>
      <w:r w:rsidRPr="004B427C">
        <w:rPr>
          <w:rFonts w:ascii="Arial" w:hAnsi="Arial" w:cs="Arial"/>
          <w:color w:val="000000"/>
          <w:kern w:val="0"/>
          <w:sz w:val="21"/>
          <w:szCs w:val="21"/>
        </w:rPr>
        <w:t xml:space="preserve"> Beni </w:t>
      </w:r>
      <w:r>
        <w:rPr>
          <w:rFonts w:ascii="Arial" w:hAnsi="Arial" w:cs="Arial"/>
          <w:color w:val="000000"/>
          <w:kern w:val="0"/>
          <w:sz w:val="21"/>
          <w:szCs w:val="21"/>
        </w:rPr>
        <w:t>energetici</w:t>
      </w:r>
      <w:r w:rsidRPr="004B427C">
        <w:rPr>
          <w:rFonts w:ascii="Arial" w:hAnsi="Arial" w:cs="Arial"/>
          <w:color w:val="000000"/>
          <w:kern w:val="0"/>
          <w:sz w:val="21"/>
          <w:szCs w:val="21"/>
        </w:rPr>
        <w:t xml:space="preserve"> (</w:t>
      </w:r>
      <w:r>
        <w:rPr>
          <w:rFonts w:ascii="Arial" w:hAnsi="Arial" w:cs="Arial"/>
          <w:color w:val="000000"/>
          <w:kern w:val="0"/>
          <w:sz w:val="21"/>
          <w:szCs w:val="21"/>
        </w:rPr>
        <w:t>da -24,4% a -24,7%; -2,3% sul mese) e in particolare della componente regolamentata (da -34,9% a -41,</w:t>
      </w:r>
      <w:r w:rsidR="00266BF7">
        <w:rPr>
          <w:rFonts w:ascii="Arial" w:hAnsi="Arial" w:cs="Arial"/>
          <w:color w:val="000000"/>
          <w:kern w:val="0"/>
          <w:sz w:val="21"/>
          <w:szCs w:val="21"/>
        </w:rPr>
        <w:t>6%; -3,2</w:t>
      </w:r>
      <w:r>
        <w:rPr>
          <w:rFonts w:ascii="Arial" w:hAnsi="Arial" w:cs="Arial"/>
          <w:color w:val="000000"/>
          <w:kern w:val="0"/>
          <w:sz w:val="21"/>
          <w:szCs w:val="21"/>
        </w:rPr>
        <w:t xml:space="preserve">% rispetto a novembre). Più in dettaglio, si accentua la flessione tendenziale dei prezzi del </w:t>
      </w:r>
      <w:r w:rsidRPr="006117AD">
        <w:rPr>
          <w:rFonts w:ascii="Arial" w:hAnsi="Arial" w:cs="Arial"/>
          <w:color w:val="000000"/>
          <w:kern w:val="0"/>
          <w:sz w:val="21"/>
          <w:szCs w:val="21"/>
        </w:rPr>
        <w:t>Gas di città e gas naturale</w:t>
      </w:r>
      <w:r>
        <w:rPr>
          <w:rFonts w:ascii="Arial" w:hAnsi="Arial" w:cs="Arial"/>
          <w:color w:val="000000"/>
          <w:kern w:val="0"/>
          <w:sz w:val="21"/>
          <w:szCs w:val="21"/>
        </w:rPr>
        <w:t xml:space="preserve"> </w:t>
      </w:r>
      <w:r w:rsidRPr="006117AD">
        <w:rPr>
          <w:rFonts w:ascii="Arial" w:hAnsi="Arial" w:cs="Arial"/>
          <w:color w:val="000000"/>
          <w:kern w:val="0"/>
          <w:sz w:val="21"/>
          <w:szCs w:val="21"/>
        </w:rPr>
        <w:t>mercato tutelato</w:t>
      </w:r>
      <w:r>
        <w:rPr>
          <w:rFonts w:ascii="Arial" w:hAnsi="Arial" w:cs="Arial"/>
          <w:color w:val="000000"/>
          <w:kern w:val="0"/>
          <w:sz w:val="21"/>
          <w:szCs w:val="21"/>
        </w:rPr>
        <w:t xml:space="preserve"> (da -10,</w:t>
      </w:r>
      <w:r w:rsidR="0017266A">
        <w:rPr>
          <w:rFonts w:ascii="Arial" w:hAnsi="Arial" w:cs="Arial"/>
          <w:color w:val="000000"/>
          <w:kern w:val="0"/>
          <w:sz w:val="21"/>
          <w:szCs w:val="21"/>
        </w:rPr>
        <w:t>9% a -32,4</w:t>
      </w:r>
      <w:r>
        <w:rPr>
          <w:rFonts w:ascii="Arial" w:hAnsi="Arial" w:cs="Arial"/>
          <w:color w:val="000000"/>
          <w:kern w:val="0"/>
          <w:sz w:val="21"/>
          <w:szCs w:val="21"/>
        </w:rPr>
        <w:t>%), per effetto del</w:t>
      </w:r>
      <w:r w:rsidR="00091327">
        <w:rPr>
          <w:rFonts w:ascii="Arial" w:hAnsi="Arial" w:cs="Arial"/>
          <w:color w:val="000000"/>
          <w:kern w:val="0"/>
          <w:sz w:val="21"/>
          <w:szCs w:val="21"/>
        </w:rPr>
        <w:t xml:space="preserve"> confronto con lo scorso anno quando la variazione congiunturale fu di +23,4%, contro il</w:t>
      </w:r>
      <w:r>
        <w:rPr>
          <w:rFonts w:ascii="Arial" w:hAnsi="Arial" w:cs="Arial"/>
          <w:color w:val="000000"/>
          <w:kern w:val="0"/>
          <w:sz w:val="21"/>
          <w:szCs w:val="21"/>
        </w:rPr>
        <w:t xml:space="preserve"> calo registrato </w:t>
      </w:r>
      <w:r w:rsidR="00091327">
        <w:rPr>
          <w:rFonts w:ascii="Arial" w:hAnsi="Arial" w:cs="Arial"/>
          <w:color w:val="000000"/>
          <w:kern w:val="0"/>
          <w:sz w:val="21"/>
          <w:szCs w:val="21"/>
        </w:rPr>
        <w:t>a dicembre 2023</w:t>
      </w:r>
      <w:r>
        <w:rPr>
          <w:rFonts w:ascii="Arial" w:hAnsi="Arial" w:cs="Arial"/>
          <w:color w:val="000000"/>
          <w:kern w:val="0"/>
          <w:sz w:val="21"/>
          <w:szCs w:val="21"/>
        </w:rPr>
        <w:t xml:space="preserve"> (</w:t>
      </w:r>
      <w:r w:rsidR="00091327">
        <w:rPr>
          <w:rFonts w:ascii="Arial" w:hAnsi="Arial" w:cs="Arial"/>
          <w:color w:val="000000"/>
          <w:kern w:val="0"/>
          <w:sz w:val="21"/>
          <w:szCs w:val="21"/>
        </w:rPr>
        <w:t xml:space="preserve">pari a </w:t>
      </w:r>
      <w:r>
        <w:rPr>
          <w:rFonts w:ascii="Arial" w:hAnsi="Arial" w:cs="Arial"/>
          <w:color w:val="000000"/>
          <w:kern w:val="0"/>
          <w:sz w:val="21"/>
          <w:szCs w:val="21"/>
        </w:rPr>
        <w:t>-6,</w:t>
      </w:r>
      <w:r w:rsidR="0017266A">
        <w:rPr>
          <w:rFonts w:ascii="Arial" w:hAnsi="Arial" w:cs="Arial"/>
          <w:color w:val="000000"/>
          <w:kern w:val="0"/>
          <w:sz w:val="21"/>
          <w:szCs w:val="21"/>
        </w:rPr>
        <w:t>4</w:t>
      </w:r>
      <w:r>
        <w:rPr>
          <w:rFonts w:ascii="Arial" w:hAnsi="Arial" w:cs="Arial"/>
          <w:color w:val="000000"/>
          <w:kern w:val="0"/>
          <w:sz w:val="21"/>
          <w:szCs w:val="21"/>
        </w:rPr>
        <w:t>%)</w:t>
      </w:r>
      <w:r w:rsidR="00091327">
        <w:rPr>
          <w:rFonts w:ascii="Arial" w:hAnsi="Arial" w:cs="Arial"/>
          <w:color w:val="000000"/>
          <w:kern w:val="0"/>
          <w:sz w:val="21"/>
          <w:szCs w:val="21"/>
        </w:rPr>
        <w:t>;</w:t>
      </w:r>
      <w:r>
        <w:rPr>
          <w:rFonts w:ascii="Arial" w:hAnsi="Arial" w:cs="Arial"/>
          <w:color w:val="000000"/>
          <w:kern w:val="0"/>
          <w:sz w:val="21"/>
          <w:szCs w:val="21"/>
        </w:rPr>
        <w:t xml:space="preserve"> restano</w:t>
      </w:r>
      <w:r w:rsidR="00091327">
        <w:rPr>
          <w:rFonts w:ascii="Arial" w:hAnsi="Arial" w:cs="Arial"/>
          <w:color w:val="000000"/>
          <w:kern w:val="0"/>
          <w:sz w:val="21"/>
          <w:szCs w:val="21"/>
        </w:rPr>
        <w:t xml:space="preserve"> invece</w:t>
      </w:r>
      <w:r>
        <w:rPr>
          <w:rFonts w:ascii="Arial" w:hAnsi="Arial" w:cs="Arial"/>
          <w:color w:val="000000"/>
          <w:kern w:val="0"/>
          <w:sz w:val="21"/>
          <w:szCs w:val="21"/>
        </w:rPr>
        <w:t xml:space="preserve"> stabili i prezzi dell’Energia elettrica mercato tutelato (a -48,3%; nullo il congiunturale). Per quanto riguarda la componente non regolamentata, nonostante il sensibile calo congiunturale (-2,1%), la variazione tendenziale d</w:t>
      </w:r>
      <w:r w:rsidR="00EB3F1A">
        <w:rPr>
          <w:rFonts w:ascii="Arial" w:hAnsi="Arial" w:cs="Arial"/>
          <w:color w:val="000000"/>
          <w:kern w:val="0"/>
          <w:sz w:val="21"/>
          <w:szCs w:val="21"/>
        </w:rPr>
        <w:t xml:space="preserve">ell’indice si attesta a -21,1%, </w:t>
      </w:r>
      <w:r>
        <w:rPr>
          <w:rFonts w:ascii="Arial" w:hAnsi="Arial" w:cs="Arial"/>
          <w:color w:val="000000"/>
          <w:kern w:val="0"/>
          <w:sz w:val="21"/>
          <w:szCs w:val="21"/>
        </w:rPr>
        <w:t xml:space="preserve">in lieve ripresa rispetto al -22,5% di novembre. A registrare una flessione meno marcata sono i prezzi dell’Energia elettrica mercato libero (da -51,6% a -50,7%; -1,0% il congiunturale), quelli del Gas di città e gas naturale mercato libero (da -46,5% a -41,3%; +0,4% dal mese precedente), quelli del Gasolio per riscaldamento (da -10,2% a -6,2%; -3,0% da novembre) e quelli del Gasolio per i mezzi di trasporto (da -1,3% a -0,5%; -3,7% </w:t>
      </w:r>
      <w:r w:rsidR="00091327">
        <w:rPr>
          <w:rFonts w:ascii="Arial" w:hAnsi="Arial" w:cs="Arial"/>
          <w:color w:val="000000"/>
          <w:kern w:val="0"/>
          <w:sz w:val="21"/>
          <w:szCs w:val="21"/>
        </w:rPr>
        <w:t>su base mensile</w:t>
      </w:r>
      <w:r>
        <w:rPr>
          <w:rFonts w:ascii="Arial" w:hAnsi="Arial" w:cs="Arial"/>
          <w:color w:val="000000"/>
          <w:kern w:val="0"/>
          <w:sz w:val="21"/>
          <w:szCs w:val="21"/>
        </w:rPr>
        <w:t xml:space="preserve">). </w:t>
      </w:r>
      <w:r w:rsidR="00091327">
        <w:rPr>
          <w:rFonts w:ascii="Arial" w:hAnsi="Arial" w:cs="Arial"/>
          <w:color w:val="000000"/>
          <w:kern w:val="0"/>
          <w:sz w:val="21"/>
          <w:szCs w:val="21"/>
        </w:rPr>
        <w:t>D</w:t>
      </w:r>
      <w:r>
        <w:rPr>
          <w:rFonts w:ascii="Arial" w:hAnsi="Arial" w:cs="Arial"/>
          <w:color w:val="000000"/>
          <w:kern w:val="0"/>
          <w:sz w:val="21"/>
          <w:szCs w:val="21"/>
        </w:rPr>
        <w:t xml:space="preserve">ecelerano i prezzi della Benzina (da +7,5% a +5,0%; -2,9% </w:t>
      </w:r>
      <w:r w:rsidR="00091327">
        <w:rPr>
          <w:rFonts w:ascii="Arial" w:hAnsi="Arial" w:cs="Arial"/>
          <w:color w:val="000000"/>
          <w:kern w:val="0"/>
          <w:sz w:val="21"/>
          <w:szCs w:val="21"/>
        </w:rPr>
        <w:t>il congiunturale), mentr</w:t>
      </w:r>
      <w:r>
        <w:rPr>
          <w:rFonts w:ascii="Arial" w:hAnsi="Arial" w:cs="Arial"/>
          <w:color w:val="000000"/>
          <w:kern w:val="0"/>
          <w:sz w:val="21"/>
          <w:szCs w:val="21"/>
        </w:rPr>
        <w:t xml:space="preserve">e registrano una flessione più ampia quelli dei Combustibili solidi (da -6,2% a -8,9%; -0,8% da </w:t>
      </w:r>
      <w:r w:rsidR="00091327">
        <w:rPr>
          <w:rFonts w:ascii="Arial" w:hAnsi="Arial" w:cs="Arial"/>
          <w:color w:val="000000"/>
          <w:kern w:val="0"/>
          <w:sz w:val="21"/>
          <w:szCs w:val="21"/>
        </w:rPr>
        <w:t>novembre</w:t>
      </w:r>
      <w:r>
        <w:rPr>
          <w:rFonts w:ascii="Arial" w:hAnsi="Arial" w:cs="Arial"/>
          <w:color w:val="000000"/>
          <w:kern w:val="0"/>
          <w:sz w:val="21"/>
          <w:szCs w:val="21"/>
        </w:rPr>
        <w:t>) e degli Altri carburanti (da -12,4% a -14,4%; -0,3% il congiunturale).</w:t>
      </w:r>
    </w:p>
    <w:p w:rsidR="0078211F" w:rsidRDefault="0078211F" w:rsidP="0078211F">
      <w:pPr>
        <w:tabs>
          <w:tab w:val="left" w:pos="1498"/>
        </w:tabs>
        <w:spacing w:before="0" w:after="0"/>
        <w:jc w:val="both"/>
        <w:rPr>
          <w:rFonts w:ascii="Arial" w:hAnsi="Arial" w:cs="Arial"/>
          <w:color w:val="000000"/>
          <w:kern w:val="0"/>
          <w:sz w:val="21"/>
          <w:szCs w:val="21"/>
        </w:rPr>
      </w:pPr>
    </w:p>
    <w:p w:rsidR="005B1978" w:rsidRPr="00C8504B" w:rsidRDefault="003961E3" w:rsidP="005B1978">
      <w:pPr>
        <w:spacing w:before="0" w:after="0"/>
        <w:jc w:val="both"/>
        <w:rPr>
          <w:rFonts w:ascii="Arial Narrow" w:hAnsi="Arial Narrow" w:cs="Arial"/>
          <w:b/>
          <w:color w:val="5F5F5F"/>
          <w:sz w:val="22"/>
          <w:szCs w:val="22"/>
        </w:rPr>
      </w:pPr>
      <w:r w:rsidRPr="00C8504B">
        <w:rPr>
          <w:rFonts w:ascii="Arial Narrow" w:hAnsi="Arial Narrow" w:cs="Arial"/>
          <w:b/>
          <w:color w:val="E42618"/>
          <w:sz w:val="22"/>
          <w:szCs w:val="22"/>
        </w:rPr>
        <w:t>PROSPETTO</w:t>
      </w:r>
      <w:r w:rsidR="005B1978" w:rsidRPr="00C8504B">
        <w:rPr>
          <w:rFonts w:ascii="Arial Narrow" w:hAnsi="Arial Narrow" w:cs="Arial"/>
          <w:b/>
          <w:color w:val="E42618"/>
          <w:sz w:val="22"/>
          <w:szCs w:val="22"/>
        </w:rPr>
        <w:t xml:space="preserve"> </w:t>
      </w:r>
      <w:r w:rsidR="00E74721" w:rsidRPr="00C8504B">
        <w:rPr>
          <w:rFonts w:ascii="Arial Narrow" w:hAnsi="Arial Narrow" w:cs="Arial"/>
          <w:b/>
          <w:color w:val="E42618"/>
          <w:sz w:val="22"/>
          <w:szCs w:val="22"/>
        </w:rPr>
        <w:t>3</w:t>
      </w:r>
      <w:r w:rsidRPr="00C8504B">
        <w:rPr>
          <w:rFonts w:ascii="Arial Narrow" w:hAnsi="Arial Narrow" w:cs="Arial"/>
          <w:b/>
          <w:color w:val="E42618"/>
          <w:sz w:val="22"/>
          <w:szCs w:val="22"/>
        </w:rPr>
        <w:t>.</w:t>
      </w:r>
      <w:r w:rsidRPr="00C8504B">
        <w:rPr>
          <w:rFonts w:ascii="Arial Narrow" w:hAnsi="Arial Narrow" w:cs="Arial"/>
          <w:b/>
          <w:color w:val="5F5F5F"/>
        </w:rPr>
        <w:t xml:space="preserve"> </w:t>
      </w:r>
      <w:r w:rsidR="00461E41" w:rsidRPr="00C8504B">
        <w:rPr>
          <w:rFonts w:ascii="Arial Narrow" w:hAnsi="Arial Narrow" w:cs="Calibri"/>
          <w:b/>
          <w:bCs/>
          <w:color w:val="5F5F5F"/>
          <w:kern w:val="0"/>
          <w:sz w:val="22"/>
          <w:szCs w:val="22"/>
        </w:rPr>
        <w:t>INDICE DEI PREZZI AL CONSUMO NIC PER TIPOLOGIA DI PRODOTTO</w:t>
      </w:r>
    </w:p>
    <w:p w:rsidR="005B1978" w:rsidRPr="00C8504B" w:rsidRDefault="008B07E9" w:rsidP="005B1978">
      <w:pPr>
        <w:spacing w:before="0" w:after="120"/>
        <w:jc w:val="both"/>
        <w:rPr>
          <w:rFonts w:ascii="Arial Narrow" w:hAnsi="Arial Narrow" w:cs="Arial"/>
          <w:color w:val="5F5F5F"/>
        </w:rPr>
      </w:pPr>
      <w:r>
        <w:rPr>
          <w:rFonts w:ascii="Arial Narrow" w:hAnsi="Arial Narrow" w:cs="Arial"/>
          <w:color w:val="5F5F5F"/>
        </w:rPr>
        <w:t>Dicembre 202</w:t>
      </w:r>
      <w:r w:rsidR="00611B0E">
        <w:rPr>
          <w:rFonts w:ascii="Arial Narrow" w:hAnsi="Arial Narrow" w:cs="Arial"/>
          <w:color w:val="5F5F5F"/>
        </w:rPr>
        <w:t>3</w:t>
      </w:r>
      <w:r w:rsidR="00CB0759" w:rsidRPr="00C8504B">
        <w:rPr>
          <w:rFonts w:ascii="Arial Narrow" w:hAnsi="Arial Narrow" w:cs="Arial"/>
          <w:color w:val="5F5F5F"/>
        </w:rPr>
        <w:t>,</w:t>
      </w:r>
      <w:r w:rsidR="00A25192" w:rsidRPr="00C8504B">
        <w:rPr>
          <w:rFonts w:ascii="Arial Narrow" w:hAnsi="Arial Narrow" w:cs="Arial"/>
          <w:color w:val="5F5F5F"/>
        </w:rPr>
        <w:t xml:space="preserve"> pesi e </w:t>
      </w:r>
      <w:r w:rsidR="005B1978" w:rsidRPr="00C8504B">
        <w:rPr>
          <w:rFonts w:ascii="Arial Narrow" w:hAnsi="Arial Narrow" w:cs="Arial"/>
          <w:color w:val="5F5F5F"/>
        </w:rPr>
        <w:t xml:space="preserve">variazioni </w:t>
      </w:r>
      <w:r w:rsidR="00A1287A" w:rsidRPr="00C8504B">
        <w:rPr>
          <w:rFonts w:ascii="Arial Narrow" w:hAnsi="Arial Narrow" w:cs="Arial"/>
          <w:color w:val="5F5F5F"/>
        </w:rPr>
        <w:t xml:space="preserve">congiunturali e tendenziali </w:t>
      </w:r>
      <w:r w:rsidR="005B1978" w:rsidRPr="00C8504B">
        <w:rPr>
          <w:rFonts w:ascii="Arial Narrow" w:hAnsi="Arial Narrow" w:cs="Arial"/>
          <w:color w:val="5F5F5F"/>
        </w:rPr>
        <w:t>percentuali (base 20</w:t>
      </w:r>
      <w:r w:rsidR="00FB2FA2" w:rsidRPr="00C8504B">
        <w:rPr>
          <w:rFonts w:ascii="Arial Narrow" w:hAnsi="Arial Narrow" w:cs="Arial"/>
          <w:color w:val="5F5F5F"/>
        </w:rPr>
        <w:t>15=100)</w:t>
      </w:r>
    </w:p>
    <w:tbl>
      <w:tblPr>
        <w:tblW w:w="10258" w:type="dxa"/>
        <w:tblInd w:w="70" w:type="dxa"/>
        <w:tblBorders>
          <w:top w:val="single" w:sz="4" w:space="0" w:color="auto"/>
          <w:bottom w:val="single" w:sz="4" w:space="0" w:color="auto"/>
          <w:insideH w:val="single" w:sz="4" w:space="0" w:color="auto"/>
        </w:tblBorders>
        <w:tblLayout w:type="fixed"/>
        <w:tblCellMar>
          <w:left w:w="70" w:type="dxa"/>
          <w:right w:w="0" w:type="dxa"/>
        </w:tblCellMar>
        <w:tblLook w:val="0400" w:firstRow="0" w:lastRow="0" w:firstColumn="0" w:lastColumn="0" w:noHBand="0" w:noVBand="1"/>
      </w:tblPr>
      <w:tblGrid>
        <w:gridCol w:w="4395"/>
        <w:gridCol w:w="852"/>
        <w:gridCol w:w="990"/>
        <w:gridCol w:w="850"/>
        <w:gridCol w:w="851"/>
        <w:gridCol w:w="902"/>
        <w:gridCol w:w="709"/>
        <w:gridCol w:w="709"/>
      </w:tblGrid>
      <w:tr w:rsidR="00C322B6" w:rsidRPr="00C8504B" w:rsidTr="009477E4">
        <w:trPr>
          <w:trHeight w:val="326"/>
          <w:tblHeader/>
        </w:trPr>
        <w:tc>
          <w:tcPr>
            <w:tcW w:w="4395" w:type="dxa"/>
            <w:vMerge w:val="restart"/>
            <w:vAlign w:val="center"/>
          </w:tcPr>
          <w:p w:rsidR="00C322B6" w:rsidRPr="00C8504B" w:rsidRDefault="00C322B6" w:rsidP="003374B9">
            <w:pPr>
              <w:spacing w:before="40" w:after="20"/>
              <w:ind w:left="-68"/>
              <w:rPr>
                <w:rFonts w:ascii="Arial Narrow" w:hAnsi="Arial Narrow" w:cs="Arial"/>
                <w:b/>
                <w:bCs/>
                <w:sz w:val="18"/>
                <w:szCs w:val="18"/>
              </w:rPr>
            </w:pPr>
            <w:r w:rsidRPr="00C8504B">
              <w:rPr>
                <w:rFonts w:ascii="Arial Narrow" w:hAnsi="Arial Narrow" w:cs="Arial"/>
                <w:b/>
                <w:bCs/>
                <w:sz w:val="18"/>
                <w:szCs w:val="18"/>
              </w:rPr>
              <w:t>TIPOLOGIE DI PRODOTTO</w:t>
            </w:r>
          </w:p>
        </w:tc>
        <w:tc>
          <w:tcPr>
            <w:tcW w:w="852" w:type="dxa"/>
            <w:vMerge w:val="restart"/>
            <w:shd w:val="clear" w:color="auto" w:fill="D9D9D9"/>
            <w:vAlign w:val="center"/>
          </w:tcPr>
          <w:p w:rsidR="00C322B6" w:rsidRPr="00C8504B" w:rsidRDefault="00C322B6" w:rsidP="00185391">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Pesi</w:t>
            </w:r>
          </w:p>
        </w:tc>
        <w:tc>
          <w:tcPr>
            <w:tcW w:w="1840" w:type="dxa"/>
            <w:gridSpan w:val="2"/>
            <w:vAlign w:val="center"/>
          </w:tcPr>
          <w:p w:rsidR="00C322B6" w:rsidRPr="00C8504B" w:rsidRDefault="00C322B6" w:rsidP="00E31685">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congiunturali</w:t>
            </w:r>
          </w:p>
        </w:tc>
        <w:tc>
          <w:tcPr>
            <w:tcW w:w="1753" w:type="dxa"/>
            <w:gridSpan w:val="2"/>
            <w:shd w:val="clear" w:color="auto" w:fill="D9D9D9"/>
            <w:vAlign w:val="center"/>
          </w:tcPr>
          <w:p w:rsidR="00C322B6" w:rsidRPr="00C8504B" w:rsidRDefault="00C322B6" w:rsidP="00E31685">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tendenziali</w:t>
            </w:r>
          </w:p>
        </w:tc>
        <w:tc>
          <w:tcPr>
            <w:tcW w:w="1418" w:type="dxa"/>
            <w:gridSpan w:val="2"/>
            <w:shd w:val="clear" w:color="auto" w:fill="auto"/>
            <w:vAlign w:val="center"/>
          </w:tcPr>
          <w:p w:rsidR="00C322B6" w:rsidRPr="00C8504B" w:rsidRDefault="00790526" w:rsidP="00E31685">
            <w:pPr>
              <w:tabs>
                <w:tab w:val="left" w:pos="5093"/>
              </w:tabs>
              <w:spacing w:before="40" w:after="20"/>
              <w:ind w:right="57"/>
              <w:jc w:val="center"/>
              <w:rPr>
                <w:rFonts w:ascii="Arial Narrow" w:hAnsi="Arial Narrow" w:cs="Arial"/>
                <w:b/>
                <w:bCs/>
                <w:sz w:val="18"/>
                <w:szCs w:val="18"/>
              </w:rPr>
            </w:pPr>
            <w:r>
              <w:rPr>
                <w:rFonts w:ascii="Arial Narrow" w:hAnsi="Arial Narrow" w:cs="Arial"/>
                <w:b/>
                <w:bCs/>
                <w:kern w:val="0"/>
                <w:sz w:val="18"/>
                <w:szCs w:val="18"/>
              </w:rPr>
              <w:t>V</w:t>
            </w:r>
            <w:r w:rsidRPr="00E35895">
              <w:rPr>
                <w:rFonts w:ascii="Arial Narrow" w:hAnsi="Arial Narrow" w:cs="Arial"/>
                <w:b/>
                <w:bCs/>
                <w:kern w:val="0"/>
                <w:sz w:val="18"/>
                <w:szCs w:val="18"/>
              </w:rPr>
              <w:t>ariazioni medi</w:t>
            </w:r>
            <w:r>
              <w:rPr>
                <w:rFonts w:ascii="Arial Narrow" w:hAnsi="Arial Narrow" w:cs="Arial"/>
                <w:b/>
                <w:bCs/>
                <w:kern w:val="0"/>
                <w:sz w:val="18"/>
                <w:szCs w:val="18"/>
              </w:rPr>
              <w:t>e</w:t>
            </w:r>
          </w:p>
        </w:tc>
      </w:tr>
      <w:tr w:rsidR="008B07E9" w:rsidRPr="00C8504B" w:rsidTr="00781192">
        <w:trPr>
          <w:trHeight w:val="326"/>
          <w:tblHeader/>
        </w:trPr>
        <w:tc>
          <w:tcPr>
            <w:tcW w:w="4395" w:type="dxa"/>
            <w:vMerge/>
            <w:vAlign w:val="center"/>
          </w:tcPr>
          <w:p w:rsidR="008B07E9" w:rsidRPr="00C8504B" w:rsidRDefault="008B07E9" w:rsidP="008B07E9">
            <w:pPr>
              <w:spacing w:before="40" w:after="20"/>
              <w:ind w:left="-68"/>
              <w:rPr>
                <w:rFonts w:ascii="Arial Narrow" w:hAnsi="Arial Narrow" w:cs="Arial"/>
                <w:b/>
                <w:bCs/>
                <w:sz w:val="18"/>
                <w:szCs w:val="18"/>
              </w:rPr>
            </w:pPr>
          </w:p>
        </w:tc>
        <w:tc>
          <w:tcPr>
            <w:tcW w:w="852" w:type="dxa"/>
            <w:vMerge/>
            <w:shd w:val="clear" w:color="auto" w:fill="D9D9D9"/>
            <w:vAlign w:val="center"/>
          </w:tcPr>
          <w:p w:rsidR="008B07E9" w:rsidRPr="00C8504B" w:rsidRDefault="008B07E9" w:rsidP="008B07E9">
            <w:pPr>
              <w:spacing w:before="40" w:after="20"/>
              <w:ind w:right="57"/>
              <w:jc w:val="right"/>
              <w:rPr>
                <w:rFonts w:ascii="Arial Narrow" w:hAnsi="Arial Narrow" w:cs="Arial"/>
                <w:b/>
                <w:bCs/>
                <w:sz w:val="18"/>
                <w:szCs w:val="18"/>
              </w:rPr>
            </w:pPr>
          </w:p>
        </w:tc>
        <w:tc>
          <w:tcPr>
            <w:tcW w:w="990" w:type="dxa"/>
            <w:vAlign w:val="center"/>
          </w:tcPr>
          <w:p w:rsidR="008B07E9" w:rsidRDefault="00A9782F"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dic-23</w:t>
            </w:r>
          </w:p>
          <w:p w:rsidR="008B07E9" w:rsidRPr="00E03E58" w:rsidRDefault="00A9782F" w:rsidP="008B07E9">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nov-23</w:t>
            </w:r>
          </w:p>
        </w:tc>
        <w:tc>
          <w:tcPr>
            <w:tcW w:w="850" w:type="dxa"/>
            <w:vAlign w:val="center"/>
          </w:tcPr>
          <w:p w:rsidR="008B07E9" w:rsidRDefault="00A9782F"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dic-22</w:t>
            </w:r>
          </w:p>
          <w:p w:rsidR="008B07E9" w:rsidRPr="008814F3" w:rsidRDefault="00A9782F"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nov-22</w:t>
            </w:r>
          </w:p>
        </w:tc>
        <w:tc>
          <w:tcPr>
            <w:tcW w:w="851" w:type="dxa"/>
            <w:vAlign w:val="center"/>
          </w:tcPr>
          <w:p w:rsidR="008B07E9" w:rsidRDefault="00A9782F"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dic-23</w:t>
            </w:r>
          </w:p>
          <w:p w:rsidR="008B07E9" w:rsidRPr="008814F3" w:rsidRDefault="00A9782F"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dic-22</w:t>
            </w:r>
          </w:p>
        </w:tc>
        <w:tc>
          <w:tcPr>
            <w:tcW w:w="902" w:type="dxa"/>
            <w:vAlign w:val="center"/>
          </w:tcPr>
          <w:p w:rsidR="008B07E9" w:rsidRDefault="00A9782F"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nov-23</w:t>
            </w:r>
          </w:p>
          <w:p w:rsidR="008B07E9" w:rsidRPr="008814F3" w:rsidRDefault="00A9782F"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nov-22</w:t>
            </w:r>
          </w:p>
        </w:tc>
        <w:tc>
          <w:tcPr>
            <w:tcW w:w="709" w:type="dxa"/>
            <w:vAlign w:val="center"/>
          </w:tcPr>
          <w:p w:rsidR="008B07E9" w:rsidRDefault="00A9782F"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2023</w:t>
            </w:r>
          </w:p>
          <w:p w:rsidR="008B07E9" w:rsidRPr="008814F3" w:rsidRDefault="00A9782F" w:rsidP="008B07E9">
            <w:pPr>
              <w:widowControl/>
              <w:overflowPunct/>
              <w:autoSpaceDE/>
              <w:autoSpaceDN/>
              <w:adjustRightInd/>
              <w:spacing w:before="0" w:after="0"/>
              <w:ind w:right="57"/>
              <w:jc w:val="right"/>
              <w:rPr>
                <w:rFonts w:ascii="Arial Narrow" w:hAnsi="Arial Narrow" w:cs="Arial"/>
                <w:b/>
                <w:bCs/>
                <w:kern w:val="0"/>
                <w:sz w:val="18"/>
                <w:szCs w:val="18"/>
              </w:rPr>
            </w:pPr>
            <w:r>
              <w:rPr>
                <w:rFonts w:ascii="Arial Narrow" w:hAnsi="Arial Narrow" w:cs="Arial"/>
                <w:kern w:val="0"/>
                <w:sz w:val="18"/>
                <w:szCs w:val="18"/>
              </w:rPr>
              <w:t>2022</w:t>
            </w:r>
          </w:p>
        </w:tc>
        <w:tc>
          <w:tcPr>
            <w:tcW w:w="709" w:type="dxa"/>
            <w:vAlign w:val="center"/>
          </w:tcPr>
          <w:p w:rsidR="008B07E9" w:rsidRDefault="00A9782F"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2022</w:t>
            </w:r>
          </w:p>
          <w:p w:rsidR="008B07E9" w:rsidRPr="008814F3" w:rsidRDefault="00A9782F" w:rsidP="008B07E9">
            <w:pPr>
              <w:widowControl/>
              <w:overflowPunct/>
              <w:autoSpaceDE/>
              <w:autoSpaceDN/>
              <w:adjustRightInd/>
              <w:spacing w:before="0" w:after="0"/>
              <w:ind w:right="57"/>
              <w:jc w:val="right"/>
              <w:rPr>
                <w:rFonts w:ascii="Arial Narrow" w:hAnsi="Arial Narrow" w:cs="Arial"/>
                <w:b/>
                <w:bCs/>
                <w:kern w:val="0"/>
                <w:sz w:val="18"/>
                <w:szCs w:val="18"/>
              </w:rPr>
            </w:pPr>
            <w:r>
              <w:rPr>
                <w:rFonts w:ascii="Arial Narrow" w:hAnsi="Arial Narrow" w:cs="Arial"/>
                <w:kern w:val="0"/>
                <w:sz w:val="18"/>
                <w:szCs w:val="18"/>
              </w:rPr>
              <w:t>2021</w:t>
            </w:r>
          </w:p>
        </w:tc>
      </w:tr>
      <w:tr w:rsidR="00DF3457" w:rsidRPr="00C8504B" w:rsidTr="00061D60">
        <w:trPr>
          <w:trHeight w:val="255"/>
          <w:tblHeader/>
        </w:trPr>
        <w:tc>
          <w:tcPr>
            <w:tcW w:w="4395" w:type="dxa"/>
            <w:vAlign w:val="center"/>
          </w:tcPr>
          <w:p w:rsidR="00DF3457" w:rsidRPr="00C8504B" w:rsidRDefault="00DF3457" w:rsidP="00DF3457">
            <w:pPr>
              <w:spacing w:before="40" w:after="20"/>
              <w:ind w:left="-68"/>
              <w:rPr>
                <w:rFonts w:ascii="Arial Narrow" w:hAnsi="Arial Narrow" w:cs="Arial"/>
                <w:sz w:val="18"/>
                <w:szCs w:val="18"/>
              </w:rPr>
            </w:pPr>
            <w:r w:rsidRPr="00C8504B">
              <w:rPr>
                <w:rFonts w:ascii="Arial Narrow" w:hAnsi="Arial Narrow" w:cs="Arial"/>
                <w:sz w:val="18"/>
                <w:szCs w:val="18"/>
              </w:rPr>
              <w:t>Beni alimentari, di cui:</w:t>
            </w:r>
          </w:p>
        </w:tc>
        <w:tc>
          <w:tcPr>
            <w:tcW w:w="852" w:type="dxa"/>
            <w:shd w:val="clear" w:color="auto" w:fill="D9D9D9"/>
            <w:vAlign w:val="center"/>
          </w:tcPr>
          <w:p w:rsidR="00DF3457" w:rsidRPr="006C41C2" w:rsidRDefault="00DF3457" w:rsidP="00DF3457">
            <w:pPr>
              <w:spacing w:before="40" w:after="20"/>
              <w:ind w:left="-68" w:right="57"/>
              <w:jc w:val="right"/>
              <w:rPr>
                <w:rFonts w:ascii="Arial Narrow" w:hAnsi="Arial Narrow" w:cs="Arial"/>
                <w:sz w:val="18"/>
                <w:szCs w:val="18"/>
              </w:rPr>
            </w:pPr>
            <w:r w:rsidRPr="006C41C2">
              <w:rPr>
                <w:rFonts w:ascii="Arial Narrow" w:hAnsi="Arial Narrow" w:cs="Arial"/>
                <w:sz w:val="18"/>
                <w:szCs w:val="18"/>
              </w:rPr>
              <w:t>181.442</w:t>
            </w:r>
          </w:p>
        </w:tc>
        <w:tc>
          <w:tcPr>
            <w:tcW w:w="990" w:type="dxa"/>
            <w:tcMar>
              <w:left w:w="142"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+0,2</w:t>
            </w:r>
          </w:p>
        </w:tc>
        <w:tc>
          <w:tcPr>
            <w:tcW w:w="850"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+0,2</w:t>
            </w:r>
          </w:p>
        </w:tc>
        <w:tc>
          <w:tcPr>
            <w:tcW w:w="851" w:type="dxa"/>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+5,8</w:t>
            </w:r>
          </w:p>
        </w:tc>
        <w:tc>
          <w:tcPr>
            <w:tcW w:w="902"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+5,8</w:t>
            </w:r>
          </w:p>
        </w:tc>
        <w:tc>
          <w:tcPr>
            <w:tcW w:w="709" w:type="dxa"/>
            <w:shd w:val="clear" w:color="auto" w:fill="auto"/>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+9,8</w:t>
            </w:r>
          </w:p>
        </w:tc>
        <w:tc>
          <w:tcPr>
            <w:tcW w:w="709" w:type="dxa"/>
            <w:shd w:val="clear" w:color="auto" w:fill="D9D9D9"/>
            <w:vAlign w:val="center"/>
          </w:tcPr>
          <w:p w:rsidR="00DF3457" w:rsidRPr="001630C6" w:rsidRDefault="00DF3457" w:rsidP="00DF3457">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8,8</w:t>
            </w:r>
          </w:p>
        </w:tc>
      </w:tr>
      <w:tr w:rsidR="00DF3457" w:rsidRPr="00C8504B" w:rsidTr="00061D60">
        <w:trPr>
          <w:trHeight w:val="255"/>
          <w:tblHeader/>
        </w:trPr>
        <w:tc>
          <w:tcPr>
            <w:tcW w:w="4395" w:type="dxa"/>
            <w:vAlign w:val="center"/>
          </w:tcPr>
          <w:p w:rsidR="00DF3457" w:rsidRPr="00C8504B" w:rsidRDefault="00DF3457" w:rsidP="00DF3457">
            <w:pPr>
              <w:spacing w:before="40" w:after="20"/>
              <w:ind w:firstLine="214"/>
              <w:rPr>
                <w:rFonts w:ascii="Arial Narrow" w:hAnsi="Arial Narrow" w:cs="Arial"/>
                <w:sz w:val="18"/>
                <w:szCs w:val="18"/>
              </w:rPr>
            </w:pPr>
            <w:r w:rsidRPr="00C8504B">
              <w:rPr>
                <w:rFonts w:ascii="Arial Narrow" w:hAnsi="Arial Narrow" w:cs="Arial"/>
                <w:sz w:val="18"/>
                <w:szCs w:val="18"/>
              </w:rPr>
              <w:t>Alimentari lavorati</w:t>
            </w:r>
          </w:p>
        </w:tc>
        <w:tc>
          <w:tcPr>
            <w:tcW w:w="852" w:type="dxa"/>
            <w:shd w:val="clear" w:color="auto" w:fill="D9D9D9"/>
            <w:vAlign w:val="center"/>
          </w:tcPr>
          <w:p w:rsidR="00DF3457" w:rsidRPr="006C41C2" w:rsidRDefault="00DF3457" w:rsidP="00DF3457">
            <w:pPr>
              <w:spacing w:before="40" w:after="20"/>
              <w:ind w:left="-68" w:right="57"/>
              <w:jc w:val="right"/>
              <w:rPr>
                <w:rFonts w:ascii="Arial Narrow" w:hAnsi="Arial Narrow" w:cs="Arial"/>
                <w:sz w:val="18"/>
                <w:szCs w:val="18"/>
              </w:rPr>
            </w:pPr>
            <w:r w:rsidRPr="006C41C2">
              <w:rPr>
                <w:rFonts w:ascii="Arial Narrow" w:hAnsi="Arial Narrow" w:cs="Arial"/>
                <w:sz w:val="18"/>
                <w:szCs w:val="18"/>
              </w:rPr>
              <w:t>114.951</w:t>
            </w:r>
          </w:p>
        </w:tc>
        <w:tc>
          <w:tcPr>
            <w:tcW w:w="990" w:type="dxa"/>
            <w:tcMar>
              <w:left w:w="142"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-0,1</w:t>
            </w:r>
          </w:p>
        </w:tc>
        <w:tc>
          <w:tcPr>
            <w:tcW w:w="850"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+0,8</w:t>
            </w:r>
          </w:p>
        </w:tc>
        <w:tc>
          <w:tcPr>
            <w:tcW w:w="851" w:type="dxa"/>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+4,9</w:t>
            </w:r>
          </w:p>
        </w:tc>
        <w:tc>
          <w:tcPr>
            <w:tcW w:w="902"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+5,8</w:t>
            </w:r>
          </w:p>
        </w:tc>
        <w:tc>
          <w:tcPr>
            <w:tcW w:w="709" w:type="dxa"/>
            <w:shd w:val="clear" w:color="auto" w:fill="auto"/>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+10,9</w:t>
            </w:r>
          </w:p>
        </w:tc>
        <w:tc>
          <w:tcPr>
            <w:tcW w:w="709" w:type="dxa"/>
            <w:shd w:val="clear" w:color="auto" w:fill="D9D9D9"/>
            <w:vAlign w:val="center"/>
          </w:tcPr>
          <w:p w:rsidR="00DF3457" w:rsidRPr="001630C6" w:rsidRDefault="00DF3457" w:rsidP="00DF3457">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8,5</w:t>
            </w:r>
          </w:p>
        </w:tc>
      </w:tr>
      <w:tr w:rsidR="00DF3457" w:rsidRPr="00C8504B" w:rsidTr="00061D60">
        <w:trPr>
          <w:trHeight w:val="255"/>
          <w:tblHeader/>
        </w:trPr>
        <w:tc>
          <w:tcPr>
            <w:tcW w:w="4395" w:type="dxa"/>
            <w:vAlign w:val="center"/>
          </w:tcPr>
          <w:p w:rsidR="00DF3457" w:rsidRPr="00C8504B" w:rsidRDefault="00DF3457" w:rsidP="00DF3457">
            <w:pPr>
              <w:spacing w:before="40" w:after="20"/>
              <w:ind w:firstLine="214"/>
              <w:rPr>
                <w:rFonts w:ascii="Arial Narrow" w:hAnsi="Arial Narrow" w:cs="Arial"/>
                <w:sz w:val="18"/>
                <w:szCs w:val="18"/>
              </w:rPr>
            </w:pPr>
            <w:r w:rsidRPr="00C8504B">
              <w:rPr>
                <w:rFonts w:ascii="Arial Narrow" w:hAnsi="Arial Narrow" w:cs="Arial"/>
                <w:sz w:val="18"/>
                <w:szCs w:val="18"/>
              </w:rPr>
              <w:t>Alimentari non lavorati</w:t>
            </w:r>
          </w:p>
        </w:tc>
        <w:tc>
          <w:tcPr>
            <w:tcW w:w="852" w:type="dxa"/>
            <w:shd w:val="clear" w:color="auto" w:fill="D9D9D9"/>
            <w:vAlign w:val="center"/>
          </w:tcPr>
          <w:p w:rsidR="00DF3457" w:rsidRPr="006C41C2" w:rsidRDefault="00DF3457" w:rsidP="00DF3457">
            <w:pPr>
              <w:spacing w:before="40" w:after="20"/>
              <w:ind w:left="-68" w:right="57"/>
              <w:jc w:val="right"/>
              <w:rPr>
                <w:rFonts w:ascii="Arial Narrow" w:hAnsi="Arial Narrow" w:cs="Arial"/>
                <w:sz w:val="18"/>
                <w:szCs w:val="18"/>
              </w:rPr>
            </w:pPr>
            <w:r w:rsidRPr="006C41C2">
              <w:rPr>
                <w:rFonts w:ascii="Arial Narrow" w:hAnsi="Arial Narrow" w:cs="Arial"/>
                <w:sz w:val="18"/>
                <w:szCs w:val="18"/>
              </w:rPr>
              <w:t>66.491</w:t>
            </w:r>
          </w:p>
        </w:tc>
        <w:tc>
          <w:tcPr>
            <w:tcW w:w="990" w:type="dxa"/>
            <w:tcMar>
              <w:left w:w="142"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+0,7</w:t>
            </w:r>
          </w:p>
        </w:tc>
        <w:tc>
          <w:tcPr>
            <w:tcW w:w="850"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-0,6</w:t>
            </w:r>
          </w:p>
        </w:tc>
        <w:tc>
          <w:tcPr>
            <w:tcW w:w="851" w:type="dxa"/>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+7,0</w:t>
            </w:r>
          </w:p>
        </w:tc>
        <w:tc>
          <w:tcPr>
            <w:tcW w:w="902"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+5,6</w:t>
            </w:r>
          </w:p>
        </w:tc>
        <w:tc>
          <w:tcPr>
            <w:tcW w:w="709" w:type="dxa"/>
            <w:shd w:val="clear" w:color="auto" w:fill="auto"/>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+8,1</w:t>
            </w:r>
          </w:p>
        </w:tc>
        <w:tc>
          <w:tcPr>
            <w:tcW w:w="709" w:type="dxa"/>
            <w:shd w:val="clear" w:color="auto" w:fill="D9D9D9"/>
            <w:vAlign w:val="center"/>
          </w:tcPr>
          <w:p w:rsidR="00DF3457" w:rsidRPr="001630C6" w:rsidRDefault="00DF3457" w:rsidP="00DF3457">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9,1</w:t>
            </w:r>
          </w:p>
        </w:tc>
      </w:tr>
      <w:tr w:rsidR="00DF3457" w:rsidRPr="00C8504B" w:rsidTr="00061D60">
        <w:trPr>
          <w:trHeight w:val="255"/>
          <w:tblHeader/>
        </w:trPr>
        <w:tc>
          <w:tcPr>
            <w:tcW w:w="4395" w:type="dxa"/>
            <w:vAlign w:val="center"/>
          </w:tcPr>
          <w:p w:rsidR="00DF3457" w:rsidRPr="00C8504B" w:rsidRDefault="00DF3457" w:rsidP="00DF3457">
            <w:pPr>
              <w:spacing w:before="40" w:after="20"/>
              <w:ind w:left="-68"/>
              <w:rPr>
                <w:rFonts w:ascii="Arial Narrow" w:hAnsi="Arial Narrow" w:cs="Arial"/>
                <w:sz w:val="18"/>
                <w:szCs w:val="18"/>
              </w:rPr>
            </w:pPr>
            <w:r w:rsidRPr="00C8504B">
              <w:rPr>
                <w:rFonts w:ascii="Arial Narrow" w:hAnsi="Arial Narrow" w:cs="Arial"/>
                <w:sz w:val="18"/>
                <w:szCs w:val="18"/>
              </w:rPr>
              <w:t>Beni energetici, di cui:</w:t>
            </w:r>
          </w:p>
        </w:tc>
        <w:tc>
          <w:tcPr>
            <w:tcW w:w="852" w:type="dxa"/>
            <w:shd w:val="clear" w:color="auto" w:fill="D9D9D9"/>
            <w:vAlign w:val="center"/>
          </w:tcPr>
          <w:p w:rsidR="00DF3457" w:rsidRPr="006C41C2" w:rsidRDefault="00DF3457" w:rsidP="00DF3457">
            <w:pPr>
              <w:spacing w:before="40" w:after="20"/>
              <w:ind w:left="-68" w:right="57"/>
              <w:jc w:val="right"/>
              <w:rPr>
                <w:rFonts w:ascii="Arial Narrow" w:hAnsi="Arial Narrow" w:cs="Arial"/>
                <w:sz w:val="18"/>
                <w:szCs w:val="18"/>
              </w:rPr>
            </w:pPr>
            <w:r w:rsidRPr="006C41C2">
              <w:rPr>
                <w:rFonts w:ascii="Arial Narrow" w:hAnsi="Arial Narrow" w:cs="Arial"/>
                <w:sz w:val="18"/>
                <w:szCs w:val="18"/>
              </w:rPr>
              <w:t>100.949</w:t>
            </w:r>
          </w:p>
        </w:tc>
        <w:tc>
          <w:tcPr>
            <w:tcW w:w="990" w:type="dxa"/>
            <w:tcMar>
              <w:left w:w="142"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-2,3</w:t>
            </w:r>
          </w:p>
        </w:tc>
        <w:tc>
          <w:tcPr>
            <w:tcW w:w="850"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-1,8</w:t>
            </w:r>
          </w:p>
        </w:tc>
        <w:tc>
          <w:tcPr>
            <w:tcW w:w="851" w:type="dxa"/>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-24,7</w:t>
            </w:r>
          </w:p>
        </w:tc>
        <w:tc>
          <w:tcPr>
            <w:tcW w:w="902"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-24,4</w:t>
            </w:r>
          </w:p>
        </w:tc>
        <w:tc>
          <w:tcPr>
            <w:tcW w:w="709" w:type="dxa"/>
            <w:shd w:val="clear" w:color="auto" w:fill="auto"/>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+1,2</w:t>
            </w:r>
          </w:p>
        </w:tc>
        <w:tc>
          <w:tcPr>
            <w:tcW w:w="709" w:type="dxa"/>
            <w:shd w:val="clear" w:color="auto" w:fill="D9D9D9"/>
            <w:vAlign w:val="center"/>
          </w:tcPr>
          <w:p w:rsidR="00DF3457" w:rsidRPr="001630C6" w:rsidRDefault="00DF3457" w:rsidP="00DF3457">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50,9</w:t>
            </w:r>
          </w:p>
        </w:tc>
      </w:tr>
      <w:tr w:rsidR="00DF3457" w:rsidRPr="00C8504B" w:rsidTr="00061D60">
        <w:trPr>
          <w:trHeight w:val="255"/>
          <w:tblHeader/>
        </w:trPr>
        <w:tc>
          <w:tcPr>
            <w:tcW w:w="4395" w:type="dxa"/>
            <w:vAlign w:val="center"/>
          </w:tcPr>
          <w:p w:rsidR="00DF3457" w:rsidRPr="00C8504B" w:rsidRDefault="00DF3457" w:rsidP="00DF3457">
            <w:pPr>
              <w:spacing w:before="40" w:after="20"/>
              <w:ind w:firstLine="214"/>
              <w:rPr>
                <w:rFonts w:ascii="Arial Narrow" w:hAnsi="Arial Narrow" w:cs="Arial"/>
                <w:sz w:val="18"/>
                <w:szCs w:val="18"/>
              </w:rPr>
            </w:pPr>
            <w:r w:rsidRPr="00C8504B">
              <w:rPr>
                <w:rFonts w:ascii="Arial Narrow" w:hAnsi="Arial Narrow" w:cs="Arial"/>
                <w:sz w:val="18"/>
                <w:szCs w:val="18"/>
              </w:rPr>
              <w:t>Energetici regolamentati</w:t>
            </w:r>
          </w:p>
        </w:tc>
        <w:tc>
          <w:tcPr>
            <w:tcW w:w="852" w:type="dxa"/>
            <w:shd w:val="clear" w:color="auto" w:fill="D9D9D9"/>
            <w:vAlign w:val="center"/>
          </w:tcPr>
          <w:p w:rsidR="00DF3457" w:rsidRPr="006C41C2" w:rsidRDefault="00DF3457" w:rsidP="00DF3457">
            <w:pPr>
              <w:spacing w:before="40" w:after="20"/>
              <w:ind w:left="-68" w:right="57"/>
              <w:jc w:val="right"/>
              <w:rPr>
                <w:rFonts w:ascii="Arial Narrow" w:hAnsi="Arial Narrow" w:cs="Arial"/>
                <w:sz w:val="18"/>
                <w:szCs w:val="18"/>
              </w:rPr>
            </w:pPr>
            <w:r w:rsidRPr="006C41C2">
              <w:rPr>
                <w:rFonts w:ascii="Arial Narrow" w:hAnsi="Arial Narrow" w:cs="Arial"/>
                <w:sz w:val="18"/>
                <w:szCs w:val="18"/>
              </w:rPr>
              <w:t>17.949</w:t>
            </w:r>
          </w:p>
        </w:tc>
        <w:tc>
          <w:tcPr>
            <w:tcW w:w="990" w:type="dxa"/>
            <w:tcMar>
              <w:left w:w="142"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-3,2</w:t>
            </w:r>
          </w:p>
        </w:tc>
        <w:tc>
          <w:tcPr>
            <w:tcW w:w="850"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+7,8</w:t>
            </w:r>
          </w:p>
        </w:tc>
        <w:tc>
          <w:tcPr>
            <w:tcW w:w="851" w:type="dxa"/>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-41,6</w:t>
            </w:r>
          </w:p>
        </w:tc>
        <w:tc>
          <w:tcPr>
            <w:tcW w:w="902"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-34,9</w:t>
            </w:r>
          </w:p>
        </w:tc>
        <w:tc>
          <w:tcPr>
            <w:tcW w:w="709" w:type="dxa"/>
            <w:shd w:val="clear" w:color="auto" w:fill="auto"/>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-27,8</w:t>
            </w:r>
          </w:p>
        </w:tc>
        <w:tc>
          <w:tcPr>
            <w:tcW w:w="709" w:type="dxa"/>
            <w:shd w:val="clear" w:color="auto" w:fill="D9D9D9"/>
            <w:vAlign w:val="center"/>
          </w:tcPr>
          <w:p w:rsidR="00DF3457" w:rsidRPr="001630C6" w:rsidRDefault="00DF3457" w:rsidP="00DF3457">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65,6</w:t>
            </w:r>
          </w:p>
        </w:tc>
      </w:tr>
      <w:tr w:rsidR="00DF3457" w:rsidRPr="00C8504B" w:rsidTr="00061D60">
        <w:trPr>
          <w:trHeight w:val="255"/>
          <w:tblHeader/>
        </w:trPr>
        <w:tc>
          <w:tcPr>
            <w:tcW w:w="4395" w:type="dxa"/>
            <w:vAlign w:val="center"/>
          </w:tcPr>
          <w:p w:rsidR="00DF3457" w:rsidRPr="00C8504B" w:rsidRDefault="00DF3457" w:rsidP="00DF3457">
            <w:pPr>
              <w:spacing w:before="40" w:after="20"/>
              <w:ind w:firstLine="214"/>
              <w:rPr>
                <w:rFonts w:ascii="Arial Narrow" w:hAnsi="Arial Narrow" w:cs="Arial"/>
                <w:sz w:val="18"/>
                <w:szCs w:val="18"/>
              </w:rPr>
            </w:pPr>
            <w:r w:rsidRPr="00C8504B">
              <w:rPr>
                <w:rFonts w:ascii="Arial Narrow" w:hAnsi="Arial Narrow" w:cs="Arial"/>
                <w:sz w:val="18"/>
                <w:szCs w:val="18"/>
              </w:rPr>
              <w:t>Energetici non regolamentati</w:t>
            </w:r>
          </w:p>
        </w:tc>
        <w:tc>
          <w:tcPr>
            <w:tcW w:w="852" w:type="dxa"/>
            <w:shd w:val="clear" w:color="auto" w:fill="D9D9D9"/>
            <w:vAlign w:val="center"/>
          </w:tcPr>
          <w:p w:rsidR="00DF3457" w:rsidRPr="006C41C2" w:rsidRDefault="00DF3457" w:rsidP="00DF3457">
            <w:pPr>
              <w:spacing w:before="40" w:after="20"/>
              <w:ind w:left="-68" w:right="57"/>
              <w:jc w:val="right"/>
              <w:rPr>
                <w:rFonts w:ascii="Arial Narrow" w:hAnsi="Arial Narrow" w:cs="Arial"/>
                <w:sz w:val="18"/>
                <w:szCs w:val="18"/>
              </w:rPr>
            </w:pPr>
            <w:r w:rsidRPr="006C41C2">
              <w:rPr>
                <w:rFonts w:ascii="Arial Narrow" w:hAnsi="Arial Narrow" w:cs="Arial"/>
                <w:sz w:val="18"/>
                <w:szCs w:val="18"/>
              </w:rPr>
              <w:t>83.000</w:t>
            </w:r>
          </w:p>
        </w:tc>
        <w:tc>
          <w:tcPr>
            <w:tcW w:w="990" w:type="dxa"/>
            <w:tcMar>
              <w:left w:w="142"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-2,1</w:t>
            </w:r>
          </w:p>
        </w:tc>
        <w:tc>
          <w:tcPr>
            <w:tcW w:w="850"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-3,9</w:t>
            </w:r>
          </w:p>
        </w:tc>
        <w:tc>
          <w:tcPr>
            <w:tcW w:w="851" w:type="dxa"/>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-21,1</w:t>
            </w:r>
          </w:p>
        </w:tc>
        <w:tc>
          <w:tcPr>
            <w:tcW w:w="902"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-22,5</w:t>
            </w:r>
          </w:p>
        </w:tc>
        <w:tc>
          <w:tcPr>
            <w:tcW w:w="709" w:type="dxa"/>
            <w:shd w:val="clear" w:color="auto" w:fill="auto"/>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+7,5</w:t>
            </w:r>
          </w:p>
        </w:tc>
        <w:tc>
          <w:tcPr>
            <w:tcW w:w="709" w:type="dxa"/>
            <w:shd w:val="clear" w:color="auto" w:fill="D9D9D9"/>
            <w:vAlign w:val="center"/>
          </w:tcPr>
          <w:p w:rsidR="00DF3457" w:rsidRPr="001630C6" w:rsidRDefault="00DF3457" w:rsidP="00DF3457">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44,7</w:t>
            </w:r>
          </w:p>
        </w:tc>
      </w:tr>
      <w:tr w:rsidR="00DF3457" w:rsidRPr="00C8504B" w:rsidTr="00061D60">
        <w:trPr>
          <w:trHeight w:val="255"/>
          <w:tblHeader/>
        </w:trPr>
        <w:tc>
          <w:tcPr>
            <w:tcW w:w="4395" w:type="dxa"/>
            <w:vAlign w:val="center"/>
          </w:tcPr>
          <w:p w:rsidR="00DF3457" w:rsidRPr="00C8504B" w:rsidRDefault="00DF3457" w:rsidP="00DF3457">
            <w:pPr>
              <w:spacing w:before="40" w:after="20"/>
              <w:ind w:left="-68"/>
              <w:rPr>
                <w:rFonts w:ascii="Arial Narrow" w:hAnsi="Arial Narrow" w:cs="Arial"/>
                <w:sz w:val="18"/>
                <w:szCs w:val="18"/>
              </w:rPr>
            </w:pPr>
            <w:r w:rsidRPr="00C8504B">
              <w:rPr>
                <w:rFonts w:ascii="Arial Narrow" w:hAnsi="Arial Narrow" w:cs="Arial"/>
                <w:sz w:val="18"/>
                <w:szCs w:val="18"/>
              </w:rPr>
              <w:t>Tabacchi</w:t>
            </w:r>
          </w:p>
        </w:tc>
        <w:tc>
          <w:tcPr>
            <w:tcW w:w="852" w:type="dxa"/>
            <w:shd w:val="clear" w:color="auto" w:fill="D9D9D9"/>
            <w:vAlign w:val="center"/>
          </w:tcPr>
          <w:p w:rsidR="00DF3457" w:rsidRPr="006C41C2" w:rsidRDefault="00DF3457" w:rsidP="00DF3457">
            <w:pPr>
              <w:spacing w:before="40" w:after="20"/>
              <w:ind w:left="-68" w:right="57"/>
              <w:jc w:val="right"/>
              <w:rPr>
                <w:rFonts w:ascii="Arial Narrow" w:hAnsi="Arial Narrow" w:cs="Arial"/>
                <w:sz w:val="18"/>
                <w:szCs w:val="18"/>
              </w:rPr>
            </w:pPr>
            <w:r w:rsidRPr="006C41C2">
              <w:rPr>
                <w:rFonts w:ascii="Arial Narrow" w:hAnsi="Arial Narrow" w:cs="Arial"/>
                <w:sz w:val="18"/>
                <w:szCs w:val="18"/>
              </w:rPr>
              <w:t>19.458</w:t>
            </w:r>
          </w:p>
        </w:tc>
        <w:tc>
          <w:tcPr>
            <w:tcW w:w="990" w:type="dxa"/>
            <w:tcMar>
              <w:left w:w="142"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0,0</w:t>
            </w:r>
          </w:p>
        </w:tc>
        <w:tc>
          <w:tcPr>
            <w:tcW w:w="850"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0,0</w:t>
            </w:r>
          </w:p>
        </w:tc>
        <w:tc>
          <w:tcPr>
            <w:tcW w:w="851" w:type="dxa"/>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+2,2</w:t>
            </w:r>
          </w:p>
        </w:tc>
        <w:tc>
          <w:tcPr>
            <w:tcW w:w="902"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+2,2</w:t>
            </w:r>
          </w:p>
        </w:tc>
        <w:tc>
          <w:tcPr>
            <w:tcW w:w="709" w:type="dxa"/>
            <w:shd w:val="clear" w:color="auto" w:fill="auto"/>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+2,0</w:t>
            </w:r>
          </w:p>
        </w:tc>
        <w:tc>
          <w:tcPr>
            <w:tcW w:w="709" w:type="dxa"/>
            <w:shd w:val="clear" w:color="auto" w:fill="D9D9D9"/>
            <w:vAlign w:val="center"/>
          </w:tcPr>
          <w:p w:rsidR="00DF3457" w:rsidRPr="001630C6" w:rsidRDefault="00DF3457" w:rsidP="00DF3457">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0,2</w:t>
            </w:r>
          </w:p>
        </w:tc>
      </w:tr>
      <w:tr w:rsidR="00DF3457" w:rsidRPr="00C8504B" w:rsidTr="00061D60">
        <w:trPr>
          <w:trHeight w:val="255"/>
          <w:tblHeader/>
        </w:trPr>
        <w:tc>
          <w:tcPr>
            <w:tcW w:w="4395" w:type="dxa"/>
            <w:vAlign w:val="center"/>
          </w:tcPr>
          <w:p w:rsidR="00DF3457" w:rsidRPr="00C8504B" w:rsidRDefault="00DF3457" w:rsidP="00DF3457">
            <w:pPr>
              <w:spacing w:before="40" w:after="20"/>
              <w:ind w:left="-68"/>
              <w:rPr>
                <w:rFonts w:ascii="Arial Narrow" w:hAnsi="Arial Narrow" w:cs="Arial"/>
                <w:sz w:val="18"/>
                <w:szCs w:val="18"/>
              </w:rPr>
            </w:pPr>
            <w:r w:rsidRPr="00C8504B">
              <w:rPr>
                <w:rFonts w:ascii="Arial Narrow" w:hAnsi="Arial Narrow" w:cs="Arial"/>
                <w:sz w:val="18"/>
                <w:szCs w:val="18"/>
              </w:rPr>
              <w:t>Altri beni, di cui:</w:t>
            </w:r>
          </w:p>
        </w:tc>
        <w:tc>
          <w:tcPr>
            <w:tcW w:w="852" w:type="dxa"/>
            <w:shd w:val="clear" w:color="auto" w:fill="D9D9D9"/>
            <w:vAlign w:val="center"/>
          </w:tcPr>
          <w:p w:rsidR="00DF3457" w:rsidRPr="006C41C2" w:rsidRDefault="00DF3457" w:rsidP="00DF3457">
            <w:pPr>
              <w:spacing w:before="40" w:after="20"/>
              <w:ind w:left="-68" w:right="57"/>
              <w:jc w:val="right"/>
              <w:rPr>
                <w:rFonts w:ascii="Arial Narrow" w:hAnsi="Arial Narrow" w:cs="Arial"/>
                <w:sz w:val="18"/>
                <w:szCs w:val="18"/>
              </w:rPr>
            </w:pPr>
            <w:r w:rsidRPr="006C41C2">
              <w:rPr>
                <w:rFonts w:ascii="Arial Narrow" w:hAnsi="Arial Narrow" w:cs="Arial"/>
                <w:sz w:val="18"/>
                <w:szCs w:val="18"/>
              </w:rPr>
              <w:t>274.337</w:t>
            </w:r>
          </w:p>
        </w:tc>
        <w:tc>
          <w:tcPr>
            <w:tcW w:w="990" w:type="dxa"/>
            <w:tcMar>
              <w:left w:w="142"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+0,4</w:t>
            </w:r>
          </w:p>
        </w:tc>
        <w:tc>
          <w:tcPr>
            <w:tcW w:w="850"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+0,7</w:t>
            </w:r>
          </w:p>
        </w:tc>
        <w:tc>
          <w:tcPr>
            <w:tcW w:w="851" w:type="dxa"/>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+2,1</w:t>
            </w:r>
          </w:p>
        </w:tc>
        <w:tc>
          <w:tcPr>
            <w:tcW w:w="902"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+2,4</w:t>
            </w:r>
          </w:p>
        </w:tc>
        <w:tc>
          <w:tcPr>
            <w:tcW w:w="709" w:type="dxa"/>
            <w:shd w:val="clear" w:color="auto" w:fill="auto"/>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+4,2</w:t>
            </w:r>
          </w:p>
        </w:tc>
        <w:tc>
          <w:tcPr>
            <w:tcW w:w="709" w:type="dxa"/>
            <w:shd w:val="clear" w:color="auto" w:fill="D9D9D9"/>
            <w:vAlign w:val="center"/>
          </w:tcPr>
          <w:p w:rsidR="00DF3457" w:rsidRPr="001630C6" w:rsidRDefault="00DF3457" w:rsidP="00DF3457">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3</w:t>
            </w:r>
            <w:r>
              <w:rPr>
                <w:rFonts w:ascii="Arial Narrow" w:hAnsi="Arial Narrow" w:cs="Arial"/>
                <w:sz w:val="18"/>
                <w:szCs w:val="18"/>
              </w:rPr>
              <w:t>,0</w:t>
            </w:r>
          </w:p>
        </w:tc>
      </w:tr>
      <w:tr w:rsidR="00DF3457" w:rsidRPr="00C8504B" w:rsidTr="00061D60">
        <w:trPr>
          <w:trHeight w:val="255"/>
          <w:tblHeader/>
        </w:trPr>
        <w:tc>
          <w:tcPr>
            <w:tcW w:w="4395" w:type="dxa"/>
            <w:vAlign w:val="center"/>
          </w:tcPr>
          <w:p w:rsidR="00DF3457" w:rsidRPr="00C8504B" w:rsidRDefault="00DF3457" w:rsidP="00DF3457">
            <w:pPr>
              <w:spacing w:before="40" w:after="20"/>
              <w:ind w:firstLine="214"/>
              <w:rPr>
                <w:rFonts w:ascii="Arial Narrow" w:hAnsi="Arial Narrow" w:cs="Arial"/>
                <w:sz w:val="18"/>
                <w:szCs w:val="18"/>
              </w:rPr>
            </w:pPr>
            <w:r w:rsidRPr="00C8504B">
              <w:rPr>
                <w:rFonts w:ascii="Arial Narrow" w:hAnsi="Arial Narrow" w:cs="Arial"/>
                <w:sz w:val="18"/>
                <w:szCs w:val="18"/>
              </w:rPr>
              <w:t>Beni durevoli</w:t>
            </w:r>
          </w:p>
        </w:tc>
        <w:tc>
          <w:tcPr>
            <w:tcW w:w="852" w:type="dxa"/>
            <w:shd w:val="clear" w:color="auto" w:fill="D9D9D9"/>
            <w:vAlign w:val="center"/>
          </w:tcPr>
          <w:p w:rsidR="00DF3457" w:rsidRPr="006C41C2" w:rsidRDefault="00DF3457" w:rsidP="00DF3457">
            <w:pPr>
              <w:spacing w:before="40" w:after="20"/>
              <w:ind w:left="-68" w:right="57"/>
              <w:jc w:val="right"/>
              <w:rPr>
                <w:rFonts w:ascii="Arial Narrow" w:hAnsi="Arial Narrow" w:cs="Arial"/>
                <w:sz w:val="18"/>
                <w:szCs w:val="18"/>
              </w:rPr>
            </w:pPr>
            <w:r w:rsidRPr="006C41C2">
              <w:rPr>
                <w:rFonts w:ascii="Arial Narrow" w:hAnsi="Arial Narrow" w:cs="Arial"/>
                <w:sz w:val="18"/>
                <w:szCs w:val="18"/>
              </w:rPr>
              <w:t>104.401</w:t>
            </w:r>
          </w:p>
        </w:tc>
        <w:tc>
          <w:tcPr>
            <w:tcW w:w="990" w:type="dxa"/>
            <w:tcMar>
              <w:left w:w="142"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+0,4</w:t>
            </w:r>
          </w:p>
        </w:tc>
        <w:tc>
          <w:tcPr>
            <w:tcW w:w="850"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+1,1</w:t>
            </w:r>
          </w:p>
        </w:tc>
        <w:tc>
          <w:tcPr>
            <w:tcW w:w="851" w:type="dxa"/>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+1,5</w:t>
            </w:r>
          </w:p>
        </w:tc>
        <w:tc>
          <w:tcPr>
            <w:tcW w:w="902"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+2,3</w:t>
            </w:r>
          </w:p>
        </w:tc>
        <w:tc>
          <w:tcPr>
            <w:tcW w:w="709" w:type="dxa"/>
            <w:shd w:val="clear" w:color="auto" w:fill="auto"/>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+4,9</w:t>
            </w:r>
          </w:p>
        </w:tc>
        <w:tc>
          <w:tcPr>
            <w:tcW w:w="709" w:type="dxa"/>
            <w:shd w:val="clear" w:color="auto" w:fill="D9D9D9"/>
            <w:vAlign w:val="center"/>
          </w:tcPr>
          <w:p w:rsidR="00DF3457" w:rsidRPr="001630C6" w:rsidRDefault="00DF3457" w:rsidP="00DF3457">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3,3</w:t>
            </w:r>
          </w:p>
        </w:tc>
      </w:tr>
      <w:tr w:rsidR="00DF3457" w:rsidRPr="00C8504B" w:rsidTr="00061D60">
        <w:trPr>
          <w:trHeight w:val="255"/>
          <w:tblHeader/>
        </w:trPr>
        <w:tc>
          <w:tcPr>
            <w:tcW w:w="4395" w:type="dxa"/>
            <w:vAlign w:val="center"/>
          </w:tcPr>
          <w:p w:rsidR="00DF3457" w:rsidRPr="00C8504B" w:rsidRDefault="00DF3457" w:rsidP="00DF3457">
            <w:pPr>
              <w:spacing w:before="40" w:after="20"/>
              <w:ind w:firstLine="214"/>
              <w:rPr>
                <w:rFonts w:ascii="Arial Narrow" w:hAnsi="Arial Narrow" w:cs="Arial"/>
                <w:sz w:val="18"/>
                <w:szCs w:val="18"/>
              </w:rPr>
            </w:pPr>
            <w:r w:rsidRPr="00C8504B">
              <w:rPr>
                <w:rFonts w:ascii="Arial Narrow" w:hAnsi="Arial Narrow" w:cs="Arial"/>
                <w:sz w:val="18"/>
                <w:szCs w:val="18"/>
              </w:rPr>
              <w:t>Beni non durevoli</w:t>
            </w:r>
          </w:p>
        </w:tc>
        <w:tc>
          <w:tcPr>
            <w:tcW w:w="852" w:type="dxa"/>
            <w:shd w:val="clear" w:color="auto" w:fill="D9D9D9"/>
            <w:vAlign w:val="center"/>
          </w:tcPr>
          <w:p w:rsidR="00DF3457" w:rsidRPr="006C41C2" w:rsidRDefault="00DF3457" w:rsidP="00DF3457">
            <w:pPr>
              <w:spacing w:before="40" w:after="20"/>
              <w:ind w:left="-68" w:right="57"/>
              <w:jc w:val="right"/>
              <w:rPr>
                <w:rFonts w:ascii="Arial Narrow" w:hAnsi="Arial Narrow" w:cs="Arial"/>
                <w:sz w:val="18"/>
                <w:szCs w:val="18"/>
              </w:rPr>
            </w:pPr>
            <w:r w:rsidRPr="006C41C2">
              <w:rPr>
                <w:rFonts w:ascii="Arial Narrow" w:hAnsi="Arial Narrow" w:cs="Arial"/>
                <w:sz w:val="18"/>
                <w:szCs w:val="18"/>
              </w:rPr>
              <w:t>69.611</w:t>
            </w:r>
          </w:p>
        </w:tc>
        <w:tc>
          <w:tcPr>
            <w:tcW w:w="990" w:type="dxa"/>
            <w:tcMar>
              <w:left w:w="142"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+0,5</w:t>
            </w:r>
          </w:p>
        </w:tc>
        <w:tc>
          <w:tcPr>
            <w:tcW w:w="850"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+0,7</w:t>
            </w:r>
          </w:p>
        </w:tc>
        <w:tc>
          <w:tcPr>
            <w:tcW w:w="851" w:type="dxa"/>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+2,8</w:t>
            </w:r>
          </w:p>
        </w:tc>
        <w:tc>
          <w:tcPr>
            <w:tcW w:w="902"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+3,1</w:t>
            </w:r>
          </w:p>
        </w:tc>
        <w:tc>
          <w:tcPr>
            <w:tcW w:w="709" w:type="dxa"/>
            <w:shd w:val="clear" w:color="auto" w:fill="auto"/>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+5,4</w:t>
            </w:r>
          </w:p>
        </w:tc>
        <w:tc>
          <w:tcPr>
            <w:tcW w:w="709" w:type="dxa"/>
            <w:shd w:val="clear" w:color="auto" w:fill="D9D9D9"/>
            <w:vAlign w:val="center"/>
          </w:tcPr>
          <w:p w:rsidR="00DF3457" w:rsidRPr="001630C6" w:rsidRDefault="00DF3457" w:rsidP="00DF3457">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3,3</w:t>
            </w:r>
          </w:p>
        </w:tc>
      </w:tr>
      <w:tr w:rsidR="00DF3457" w:rsidRPr="00C8504B" w:rsidTr="00061D60">
        <w:trPr>
          <w:trHeight w:val="255"/>
          <w:tblHeader/>
        </w:trPr>
        <w:tc>
          <w:tcPr>
            <w:tcW w:w="4395" w:type="dxa"/>
            <w:vAlign w:val="center"/>
          </w:tcPr>
          <w:p w:rsidR="00DF3457" w:rsidRPr="00C8504B" w:rsidRDefault="00DF3457" w:rsidP="00DF3457">
            <w:pPr>
              <w:spacing w:before="40" w:after="20"/>
              <w:ind w:firstLine="214"/>
              <w:rPr>
                <w:rFonts w:ascii="Arial Narrow" w:hAnsi="Arial Narrow" w:cs="Arial"/>
                <w:sz w:val="18"/>
                <w:szCs w:val="18"/>
              </w:rPr>
            </w:pPr>
            <w:r w:rsidRPr="00C8504B">
              <w:rPr>
                <w:rFonts w:ascii="Arial Narrow" w:hAnsi="Arial Narrow" w:cs="Arial"/>
                <w:sz w:val="18"/>
                <w:szCs w:val="18"/>
              </w:rPr>
              <w:t>Beni semidurevoli</w:t>
            </w:r>
          </w:p>
        </w:tc>
        <w:tc>
          <w:tcPr>
            <w:tcW w:w="852" w:type="dxa"/>
            <w:shd w:val="clear" w:color="auto" w:fill="D9D9D9"/>
            <w:vAlign w:val="center"/>
          </w:tcPr>
          <w:p w:rsidR="00DF3457" w:rsidRPr="006C41C2" w:rsidRDefault="00DF3457" w:rsidP="00DF3457">
            <w:pPr>
              <w:spacing w:before="40" w:after="20"/>
              <w:ind w:left="-68" w:right="57"/>
              <w:jc w:val="right"/>
              <w:rPr>
                <w:rFonts w:ascii="Arial Narrow" w:hAnsi="Arial Narrow" w:cs="Arial"/>
                <w:sz w:val="18"/>
                <w:szCs w:val="18"/>
              </w:rPr>
            </w:pPr>
            <w:r w:rsidRPr="006C41C2">
              <w:rPr>
                <w:rFonts w:ascii="Arial Narrow" w:hAnsi="Arial Narrow" w:cs="Arial"/>
                <w:sz w:val="18"/>
                <w:szCs w:val="18"/>
              </w:rPr>
              <w:t>100.325</w:t>
            </w:r>
          </w:p>
        </w:tc>
        <w:tc>
          <w:tcPr>
            <w:tcW w:w="990" w:type="dxa"/>
            <w:tcMar>
              <w:left w:w="142"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+0,3</w:t>
            </w:r>
          </w:p>
        </w:tc>
        <w:tc>
          <w:tcPr>
            <w:tcW w:w="850"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+0,1</w:t>
            </w:r>
          </w:p>
        </w:tc>
        <w:tc>
          <w:tcPr>
            <w:tcW w:w="851" w:type="dxa"/>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+2,1</w:t>
            </w:r>
          </w:p>
        </w:tc>
        <w:tc>
          <w:tcPr>
            <w:tcW w:w="902"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+1,9</w:t>
            </w:r>
          </w:p>
        </w:tc>
        <w:tc>
          <w:tcPr>
            <w:tcW w:w="709" w:type="dxa"/>
            <w:shd w:val="clear" w:color="auto" w:fill="auto"/>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+2,7</w:t>
            </w:r>
          </w:p>
        </w:tc>
        <w:tc>
          <w:tcPr>
            <w:tcW w:w="709" w:type="dxa"/>
            <w:shd w:val="clear" w:color="auto" w:fill="D9D9D9"/>
            <w:vAlign w:val="center"/>
          </w:tcPr>
          <w:p w:rsidR="00DF3457" w:rsidRPr="001630C6" w:rsidRDefault="00DF3457" w:rsidP="00DF3457">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2,2</w:t>
            </w:r>
          </w:p>
        </w:tc>
      </w:tr>
      <w:tr w:rsidR="00DF3457" w:rsidRPr="00A21DAE" w:rsidTr="00061D60">
        <w:trPr>
          <w:trHeight w:val="255"/>
          <w:tblHeader/>
        </w:trPr>
        <w:tc>
          <w:tcPr>
            <w:tcW w:w="4395" w:type="dxa"/>
            <w:shd w:val="clear" w:color="auto" w:fill="808080"/>
            <w:vAlign w:val="center"/>
          </w:tcPr>
          <w:p w:rsidR="00DF3457" w:rsidRPr="00C8504B" w:rsidRDefault="00DF3457" w:rsidP="00DF3457">
            <w:pPr>
              <w:spacing w:before="40" w:after="20"/>
              <w:rPr>
                <w:rFonts w:ascii="Arial Narrow" w:hAnsi="Arial Narrow" w:cs="Arial"/>
                <w:b/>
                <w:color w:val="FFFFFF"/>
                <w:sz w:val="18"/>
                <w:szCs w:val="18"/>
              </w:rPr>
            </w:pPr>
            <w:r w:rsidRPr="00C8504B">
              <w:rPr>
                <w:rFonts w:ascii="Arial Narrow" w:hAnsi="Arial Narrow" w:cs="Arial"/>
                <w:b/>
                <w:color w:val="FFFFFF"/>
                <w:sz w:val="18"/>
                <w:szCs w:val="18"/>
              </w:rPr>
              <w:t>Beni</w:t>
            </w:r>
          </w:p>
        </w:tc>
        <w:tc>
          <w:tcPr>
            <w:tcW w:w="852" w:type="dxa"/>
            <w:shd w:val="clear" w:color="auto" w:fill="808080"/>
            <w:vAlign w:val="center"/>
          </w:tcPr>
          <w:p w:rsidR="00DF3457" w:rsidRPr="006C41C2" w:rsidRDefault="00DF3457" w:rsidP="00DF3457">
            <w:pPr>
              <w:spacing w:before="40" w:after="20"/>
              <w:ind w:left="-68" w:right="57"/>
              <w:jc w:val="right"/>
              <w:rPr>
                <w:rFonts w:ascii="Arial Narrow" w:hAnsi="Arial Narrow" w:cs="Arial"/>
                <w:b/>
                <w:sz w:val="18"/>
                <w:szCs w:val="18"/>
              </w:rPr>
            </w:pPr>
            <w:r w:rsidRPr="006C41C2">
              <w:rPr>
                <w:rFonts w:ascii="Arial Narrow" w:hAnsi="Arial Narrow" w:cs="Arial"/>
                <w:b/>
                <w:color w:val="FFFFFF" w:themeColor="background1"/>
                <w:sz w:val="18"/>
                <w:szCs w:val="18"/>
              </w:rPr>
              <w:t>576.186</w:t>
            </w:r>
          </w:p>
        </w:tc>
        <w:tc>
          <w:tcPr>
            <w:tcW w:w="990" w:type="dxa"/>
            <w:shd w:val="clear" w:color="auto" w:fill="808080"/>
            <w:tcMar>
              <w:left w:w="142" w:type="dxa"/>
            </w:tcMar>
            <w:vAlign w:val="center"/>
          </w:tcPr>
          <w:p w:rsidR="00DF3457" w:rsidRPr="00DF3457" w:rsidRDefault="00DF3457" w:rsidP="00DF3457">
            <w:pPr>
              <w:spacing w:before="40" w:after="20"/>
              <w:ind w:left="-68" w:right="57"/>
              <w:jc w:val="right"/>
              <w:rPr>
                <w:rFonts w:ascii="Arial Narrow" w:hAnsi="Arial Narrow" w:cs="Arial"/>
                <w:b/>
                <w:color w:val="FFFFFF" w:themeColor="background1"/>
                <w:sz w:val="18"/>
                <w:szCs w:val="18"/>
              </w:rPr>
            </w:pPr>
            <w:r w:rsidRPr="00DF3457">
              <w:rPr>
                <w:rFonts w:ascii="Arial Narrow" w:hAnsi="Arial Narrow" w:cs="Arial"/>
                <w:b/>
                <w:color w:val="FFFFFF" w:themeColor="background1"/>
                <w:sz w:val="18"/>
                <w:szCs w:val="18"/>
              </w:rPr>
              <w:t>-0,1</w:t>
            </w:r>
          </w:p>
        </w:tc>
        <w:tc>
          <w:tcPr>
            <w:tcW w:w="850" w:type="dxa"/>
            <w:shd w:val="clear" w:color="auto" w:fill="808080"/>
            <w:tcMar>
              <w:left w:w="85" w:type="dxa"/>
            </w:tcMar>
            <w:vAlign w:val="center"/>
          </w:tcPr>
          <w:p w:rsidR="00DF3457" w:rsidRPr="00DF3457" w:rsidRDefault="00DF3457" w:rsidP="00DF3457">
            <w:pPr>
              <w:spacing w:before="40" w:after="20"/>
              <w:ind w:left="-68" w:right="57"/>
              <w:jc w:val="right"/>
              <w:rPr>
                <w:rFonts w:ascii="Arial Narrow" w:hAnsi="Arial Narrow" w:cs="Arial"/>
                <w:b/>
                <w:color w:val="FFFFFF" w:themeColor="background1"/>
                <w:sz w:val="18"/>
                <w:szCs w:val="18"/>
              </w:rPr>
            </w:pPr>
            <w:r w:rsidRPr="00DF3457">
              <w:rPr>
                <w:rFonts w:ascii="Arial Narrow" w:hAnsi="Arial Narrow" w:cs="Arial"/>
                <w:b/>
                <w:color w:val="FFFFFF" w:themeColor="background1"/>
                <w:sz w:val="18"/>
                <w:szCs w:val="18"/>
              </w:rPr>
              <w:t>0,0</w:t>
            </w:r>
          </w:p>
        </w:tc>
        <w:tc>
          <w:tcPr>
            <w:tcW w:w="851" w:type="dxa"/>
            <w:shd w:val="clear" w:color="auto" w:fill="808080"/>
            <w:tcMar>
              <w:left w:w="85" w:type="dxa"/>
            </w:tcMar>
            <w:vAlign w:val="center"/>
          </w:tcPr>
          <w:p w:rsidR="00DF3457" w:rsidRPr="00DF3457" w:rsidRDefault="00DF3457" w:rsidP="00DF3457">
            <w:pPr>
              <w:spacing w:before="40" w:after="20"/>
              <w:ind w:left="-68" w:right="57"/>
              <w:jc w:val="right"/>
              <w:rPr>
                <w:rFonts w:ascii="Arial Narrow" w:hAnsi="Arial Narrow" w:cs="Arial"/>
                <w:b/>
                <w:color w:val="FFFFFF" w:themeColor="background1"/>
                <w:sz w:val="18"/>
                <w:szCs w:val="18"/>
              </w:rPr>
            </w:pPr>
            <w:r w:rsidRPr="00DF3457">
              <w:rPr>
                <w:rFonts w:ascii="Arial Narrow" w:hAnsi="Arial Narrow" w:cs="Arial"/>
                <w:b/>
                <w:color w:val="FFFFFF" w:themeColor="background1"/>
                <w:sz w:val="18"/>
                <w:szCs w:val="18"/>
              </w:rPr>
              <w:t>-1,5</w:t>
            </w:r>
          </w:p>
        </w:tc>
        <w:tc>
          <w:tcPr>
            <w:tcW w:w="902" w:type="dxa"/>
            <w:shd w:val="clear" w:color="auto" w:fill="808080"/>
            <w:tcMar>
              <w:left w:w="85" w:type="dxa"/>
            </w:tcMar>
            <w:vAlign w:val="center"/>
          </w:tcPr>
          <w:p w:rsidR="00DF3457" w:rsidRPr="00DF3457" w:rsidRDefault="00DF3457" w:rsidP="00DF3457">
            <w:pPr>
              <w:spacing w:before="40" w:after="20"/>
              <w:ind w:left="-68" w:right="57"/>
              <w:jc w:val="right"/>
              <w:rPr>
                <w:rFonts w:ascii="Arial Narrow" w:hAnsi="Arial Narrow" w:cs="Arial"/>
                <w:b/>
                <w:color w:val="FFFFFF" w:themeColor="background1"/>
                <w:sz w:val="18"/>
                <w:szCs w:val="18"/>
              </w:rPr>
            </w:pPr>
            <w:r w:rsidRPr="00DF3457">
              <w:rPr>
                <w:rFonts w:ascii="Arial Narrow" w:hAnsi="Arial Narrow" w:cs="Arial"/>
                <w:b/>
                <w:color w:val="FFFFFF" w:themeColor="background1"/>
                <w:sz w:val="18"/>
                <w:szCs w:val="18"/>
              </w:rPr>
              <w:t>-1,4</w:t>
            </w:r>
          </w:p>
        </w:tc>
        <w:tc>
          <w:tcPr>
            <w:tcW w:w="709" w:type="dxa"/>
            <w:shd w:val="clear" w:color="auto" w:fill="808080"/>
            <w:vAlign w:val="center"/>
          </w:tcPr>
          <w:p w:rsidR="00DF3457" w:rsidRPr="00DF3457" w:rsidRDefault="00DF3457" w:rsidP="00DF3457">
            <w:pPr>
              <w:spacing w:before="40" w:after="20"/>
              <w:ind w:left="-68" w:right="57"/>
              <w:jc w:val="right"/>
              <w:rPr>
                <w:rFonts w:ascii="Arial Narrow" w:hAnsi="Arial Narrow" w:cs="Arial"/>
                <w:b/>
                <w:color w:val="FFFFFF" w:themeColor="background1"/>
                <w:sz w:val="18"/>
                <w:szCs w:val="18"/>
              </w:rPr>
            </w:pPr>
            <w:r w:rsidRPr="00DF3457">
              <w:rPr>
                <w:rFonts w:ascii="Arial Narrow" w:hAnsi="Arial Narrow" w:cs="Arial"/>
                <w:b/>
                <w:color w:val="FFFFFF" w:themeColor="background1"/>
                <w:sz w:val="18"/>
                <w:szCs w:val="18"/>
              </w:rPr>
              <w:t>+6,4</w:t>
            </w:r>
          </w:p>
        </w:tc>
        <w:tc>
          <w:tcPr>
            <w:tcW w:w="709" w:type="dxa"/>
            <w:shd w:val="clear" w:color="auto" w:fill="808080"/>
            <w:vAlign w:val="center"/>
          </w:tcPr>
          <w:p w:rsidR="00DF3457" w:rsidRPr="001630C6" w:rsidRDefault="00DF3457" w:rsidP="00DF3457">
            <w:pPr>
              <w:spacing w:before="40" w:after="20"/>
              <w:ind w:left="-68" w:right="57"/>
              <w:jc w:val="right"/>
              <w:rPr>
                <w:rFonts w:ascii="Arial Narrow" w:hAnsi="Arial Narrow" w:cs="Arial"/>
                <w:b/>
                <w:color w:val="FFFFFF" w:themeColor="background1"/>
                <w:sz w:val="18"/>
                <w:szCs w:val="18"/>
              </w:rPr>
            </w:pPr>
            <w:r>
              <w:rPr>
                <w:rFonts w:ascii="Arial Narrow" w:hAnsi="Arial Narrow" w:cs="Arial"/>
                <w:b/>
                <w:color w:val="FFFFFF" w:themeColor="background1"/>
                <w:sz w:val="18"/>
                <w:szCs w:val="18"/>
              </w:rPr>
              <w:t>+</w:t>
            </w:r>
            <w:r w:rsidRPr="001630C6">
              <w:rPr>
                <w:rFonts w:ascii="Arial Narrow" w:hAnsi="Arial Narrow" w:cs="Arial"/>
                <w:b/>
                <w:color w:val="FFFFFF" w:themeColor="background1"/>
                <w:sz w:val="18"/>
                <w:szCs w:val="18"/>
              </w:rPr>
              <w:t>11,9</w:t>
            </w:r>
          </w:p>
        </w:tc>
      </w:tr>
      <w:tr w:rsidR="00DF3457" w:rsidRPr="00C8504B" w:rsidTr="00061D60">
        <w:trPr>
          <w:trHeight w:val="255"/>
          <w:tblHeader/>
        </w:trPr>
        <w:tc>
          <w:tcPr>
            <w:tcW w:w="4395" w:type="dxa"/>
            <w:vAlign w:val="center"/>
          </w:tcPr>
          <w:p w:rsidR="00DF3457" w:rsidRPr="00C8504B" w:rsidRDefault="00DF3457" w:rsidP="00DF3457">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all'abitazione</w:t>
            </w:r>
          </w:p>
        </w:tc>
        <w:tc>
          <w:tcPr>
            <w:tcW w:w="852" w:type="dxa"/>
            <w:shd w:val="clear" w:color="auto" w:fill="D9D9D9"/>
            <w:vAlign w:val="center"/>
          </w:tcPr>
          <w:p w:rsidR="00DF3457" w:rsidRPr="006C41C2" w:rsidRDefault="00DF3457" w:rsidP="00DF3457">
            <w:pPr>
              <w:spacing w:before="40" w:after="20"/>
              <w:ind w:left="-68" w:right="57"/>
              <w:jc w:val="right"/>
              <w:rPr>
                <w:rFonts w:ascii="Arial Narrow" w:hAnsi="Arial Narrow" w:cs="Arial"/>
                <w:sz w:val="18"/>
                <w:szCs w:val="18"/>
              </w:rPr>
            </w:pPr>
            <w:r w:rsidRPr="006C41C2">
              <w:rPr>
                <w:rFonts w:ascii="Arial Narrow" w:hAnsi="Arial Narrow" w:cs="Arial"/>
                <w:sz w:val="18"/>
                <w:szCs w:val="18"/>
              </w:rPr>
              <w:t>73.873</w:t>
            </w:r>
          </w:p>
        </w:tc>
        <w:tc>
          <w:tcPr>
            <w:tcW w:w="990" w:type="dxa"/>
            <w:tcMar>
              <w:left w:w="142"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+0,3</w:t>
            </w:r>
          </w:p>
        </w:tc>
        <w:tc>
          <w:tcPr>
            <w:tcW w:w="850"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0,0</w:t>
            </w:r>
          </w:p>
        </w:tc>
        <w:tc>
          <w:tcPr>
            <w:tcW w:w="851" w:type="dxa"/>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+4,2</w:t>
            </w:r>
          </w:p>
        </w:tc>
        <w:tc>
          <w:tcPr>
            <w:tcW w:w="902"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+3,9</w:t>
            </w:r>
          </w:p>
        </w:tc>
        <w:tc>
          <w:tcPr>
            <w:tcW w:w="709" w:type="dxa"/>
            <w:shd w:val="clear" w:color="auto" w:fill="auto"/>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+3,6</w:t>
            </w:r>
          </w:p>
        </w:tc>
        <w:tc>
          <w:tcPr>
            <w:tcW w:w="709" w:type="dxa"/>
            <w:shd w:val="clear" w:color="auto" w:fill="D9D9D9"/>
            <w:vAlign w:val="center"/>
          </w:tcPr>
          <w:p w:rsidR="00DF3457" w:rsidRPr="001630C6" w:rsidRDefault="00DF3457" w:rsidP="00DF3457">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1,6</w:t>
            </w:r>
          </w:p>
        </w:tc>
      </w:tr>
      <w:tr w:rsidR="00DF3457" w:rsidRPr="00C8504B" w:rsidTr="00061D60">
        <w:trPr>
          <w:trHeight w:val="255"/>
          <w:tblHeader/>
        </w:trPr>
        <w:tc>
          <w:tcPr>
            <w:tcW w:w="4395" w:type="dxa"/>
            <w:vAlign w:val="center"/>
          </w:tcPr>
          <w:p w:rsidR="00DF3457" w:rsidRPr="00C8504B" w:rsidRDefault="00DF3457" w:rsidP="00DF3457">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alle comunicazioni</w:t>
            </w:r>
          </w:p>
        </w:tc>
        <w:tc>
          <w:tcPr>
            <w:tcW w:w="852" w:type="dxa"/>
            <w:shd w:val="clear" w:color="auto" w:fill="D9D9D9"/>
            <w:vAlign w:val="center"/>
          </w:tcPr>
          <w:p w:rsidR="00DF3457" w:rsidRPr="006C41C2" w:rsidRDefault="00DF3457" w:rsidP="00DF3457">
            <w:pPr>
              <w:spacing w:before="40" w:after="20"/>
              <w:ind w:left="-68" w:right="57"/>
              <w:jc w:val="right"/>
              <w:rPr>
                <w:rFonts w:ascii="Arial Narrow" w:hAnsi="Arial Narrow" w:cs="Arial"/>
                <w:sz w:val="18"/>
                <w:szCs w:val="18"/>
              </w:rPr>
            </w:pPr>
            <w:r w:rsidRPr="006C41C2">
              <w:rPr>
                <w:rFonts w:ascii="Arial Narrow" w:hAnsi="Arial Narrow" w:cs="Arial"/>
                <w:sz w:val="18"/>
                <w:szCs w:val="18"/>
              </w:rPr>
              <w:t>15.699</w:t>
            </w:r>
          </w:p>
        </w:tc>
        <w:tc>
          <w:tcPr>
            <w:tcW w:w="990" w:type="dxa"/>
            <w:tcMar>
              <w:left w:w="142"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0,0</w:t>
            </w:r>
          </w:p>
        </w:tc>
        <w:tc>
          <w:tcPr>
            <w:tcW w:w="850"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+0,4</w:t>
            </w:r>
          </w:p>
        </w:tc>
        <w:tc>
          <w:tcPr>
            <w:tcW w:w="851" w:type="dxa"/>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-0,1</w:t>
            </w:r>
          </w:p>
        </w:tc>
        <w:tc>
          <w:tcPr>
            <w:tcW w:w="902"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+0,3</w:t>
            </w:r>
          </w:p>
        </w:tc>
        <w:tc>
          <w:tcPr>
            <w:tcW w:w="709" w:type="dxa"/>
            <w:shd w:val="clear" w:color="auto" w:fill="auto"/>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+0,5</w:t>
            </w:r>
          </w:p>
        </w:tc>
        <w:tc>
          <w:tcPr>
            <w:tcW w:w="709" w:type="dxa"/>
            <w:shd w:val="clear" w:color="auto" w:fill="D9D9D9"/>
            <w:vAlign w:val="center"/>
          </w:tcPr>
          <w:p w:rsidR="00DF3457" w:rsidRPr="001630C6" w:rsidRDefault="00DF3457" w:rsidP="00DF3457">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0,1</w:t>
            </w:r>
          </w:p>
        </w:tc>
      </w:tr>
      <w:tr w:rsidR="00DF3457" w:rsidRPr="00C8504B" w:rsidTr="00061D60">
        <w:trPr>
          <w:trHeight w:val="255"/>
          <w:tblHeader/>
        </w:trPr>
        <w:tc>
          <w:tcPr>
            <w:tcW w:w="4395" w:type="dxa"/>
            <w:vAlign w:val="center"/>
          </w:tcPr>
          <w:p w:rsidR="00DF3457" w:rsidRPr="00C8504B" w:rsidRDefault="00DF3457" w:rsidP="00DF3457">
            <w:pPr>
              <w:tabs>
                <w:tab w:val="left" w:pos="290"/>
              </w:tabs>
              <w:spacing w:before="40" w:after="20"/>
              <w:ind w:left="-68"/>
              <w:rPr>
                <w:rFonts w:ascii="Arial Narrow" w:hAnsi="Arial Narrow" w:cs="Arial"/>
                <w:bCs/>
                <w:sz w:val="18"/>
                <w:szCs w:val="18"/>
              </w:rPr>
            </w:pPr>
            <w:r w:rsidRPr="00C8504B">
              <w:rPr>
                <w:rFonts w:ascii="Arial Narrow" w:hAnsi="Arial Narrow" w:cs="Arial"/>
                <w:bCs/>
                <w:sz w:val="18"/>
                <w:szCs w:val="18"/>
              </w:rPr>
              <w:t>Servizi ricreativi, culturali e per la cura della persona</w:t>
            </w:r>
          </w:p>
        </w:tc>
        <w:tc>
          <w:tcPr>
            <w:tcW w:w="852" w:type="dxa"/>
            <w:shd w:val="clear" w:color="auto" w:fill="D9D9D9"/>
            <w:vAlign w:val="center"/>
          </w:tcPr>
          <w:p w:rsidR="00DF3457" w:rsidRPr="006C41C2" w:rsidRDefault="00DF3457" w:rsidP="00DF3457">
            <w:pPr>
              <w:spacing w:before="40" w:after="20"/>
              <w:ind w:left="-68" w:right="57"/>
              <w:jc w:val="right"/>
              <w:rPr>
                <w:rFonts w:ascii="Arial Narrow" w:hAnsi="Arial Narrow" w:cs="Arial"/>
                <w:sz w:val="18"/>
                <w:szCs w:val="18"/>
              </w:rPr>
            </w:pPr>
            <w:r w:rsidRPr="006C41C2">
              <w:rPr>
                <w:rFonts w:ascii="Arial Narrow" w:hAnsi="Arial Narrow" w:cs="Arial"/>
                <w:sz w:val="18"/>
                <w:szCs w:val="18"/>
              </w:rPr>
              <w:t>155.995</w:t>
            </w:r>
          </w:p>
        </w:tc>
        <w:tc>
          <w:tcPr>
            <w:tcW w:w="990" w:type="dxa"/>
            <w:tcMar>
              <w:left w:w="142"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+0,4</w:t>
            </w:r>
          </w:p>
        </w:tc>
        <w:tc>
          <w:tcPr>
            <w:tcW w:w="850"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+1,4</w:t>
            </w:r>
          </w:p>
        </w:tc>
        <w:tc>
          <w:tcPr>
            <w:tcW w:w="851" w:type="dxa"/>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+3,6</w:t>
            </w:r>
          </w:p>
        </w:tc>
        <w:tc>
          <w:tcPr>
            <w:tcW w:w="902"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+4,6</w:t>
            </w:r>
          </w:p>
        </w:tc>
        <w:tc>
          <w:tcPr>
            <w:tcW w:w="709" w:type="dxa"/>
            <w:shd w:val="clear" w:color="auto" w:fill="auto"/>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+5,9</w:t>
            </w:r>
          </w:p>
        </w:tc>
        <w:tc>
          <w:tcPr>
            <w:tcW w:w="709" w:type="dxa"/>
            <w:shd w:val="clear" w:color="auto" w:fill="D9D9D9"/>
            <w:vAlign w:val="center"/>
          </w:tcPr>
          <w:p w:rsidR="00DF3457" w:rsidRPr="001630C6" w:rsidRDefault="00DF3457" w:rsidP="00DF3457">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4,4</w:t>
            </w:r>
          </w:p>
        </w:tc>
      </w:tr>
      <w:tr w:rsidR="00DF3457" w:rsidRPr="00C8504B" w:rsidTr="00061D60">
        <w:trPr>
          <w:trHeight w:val="255"/>
          <w:tblHeader/>
        </w:trPr>
        <w:tc>
          <w:tcPr>
            <w:tcW w:w="4395" w:type="dxa"/>
            <w:vAlign w:val="center"/>
          </w:tcPr>
          <w:p w:rsidR="00DF3457" w:rsidRPr="00C8504B" w:rsidRDefault="00DF3457" w:rsidP="00DF3457">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ai trasporti</w:t>
            </w:r>
          </w:p>
        </w:tc>
        <w:tc>
          <w:tcPr>
            <w:tcW w:w="852" w:type="dxa"/>
            <w:shd w:val="clear" w:color="auto" w:fill="D9D9D9"/>
            <w:vAlign w:val="center"/>
          </w:tcPr>
          <w:p w:rsidR="00DF3457" w:rsidRPr="006C41C2" w:rsidRDefault="00DF3457" w:rsidP="00DF3457">
            <w:pPr>
              <w:spacing w:before="40" w:after="20"/>
              <w:ind w:left="-68" w:right="57"/>
              <w:jc w:val="right"/>
              <w:rPr>
                <w:rFonts w:ascii="Arial Narrow" w:hAnsi="Arial Narrow" w:cs="Arial"/>
                <w:sz w:val="18"/>
                <w:szCs w:val="18"/>
              </w:rPr>
            </w:pPr>
            <w:r w:rsidRPr="006C41C2">
              <w:rPr>
                <w:rFonts w:ascii="Arial Narrow" w:hAnsi="Arial Narrow" w:cs="Arial"/>
                <w:sz w:val="18"/>
                <w:szCs w:val="18"/>
              </w:rPr>
              <w:t>65.828</w:t>
            </w:r>
          </w:p>
        </w:tc>
        <w:tc>
          <w:tcPr>
            <w:tcW w:w="990" w:type="dxa"/>
            <w:tcMar>
              <w:left w:w="142"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+1,4</w:t>
            </w:r>
          </w:p>
        </w:tc>
        <w:tc>
          <w:tcPr>
            <w:tcW w:w="850"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+1,1</w:t>
            </w:r>
          </w:p>
        </w:tc>
        <w:tc>
          <w:tcPr>
            <w:tcW w:w="851" w:type="dxa"/>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+3,7</w:t>
            </w:r>
          </w:p>
        </w:tc>
        <w:tc>
          <w:tcPr>
            <w:tcW w:w="902"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+3,5</w:t>
            </w:r>
          </w:p>
        </w:tc>
        <w:tc>
          <w:tcPr>
            <w:tcW w:w="709" w:type="dxa"/>
            <w:shd w:val="clear" w:color="auto" w:fill="auto"/>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+4,4</w:t>
            </w:r>
          </w:p>
        </w:tc>
        <w:tc>
          <w:tcPr>
            <w:tcW w:w="709" w:type="dxa"/>
            <w:shd w:val="clear" w:color="auto" w:fill="D9D9D9"/>
            <w:vAlign w:val="center"/>
          </w:tcPr>
          <w:p w:rsidR="00DF3457" w:rsidRPr="001630C6" w:rsidRDefault="00DF3457" w:rsidP="00DF3457">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5,6</w:t>
            </w:r>
          </w:p>
        </w:tc>
      </w:tr>
      <w:tr w:rsidR="00DF3457" w:rsidRPr="00C8504B" w:rsidTr="00061D60">
        <w:trPr>
          <w:trHeight w:val="255"/>
          <w:tblHeader/>
        </w:trPr>
        <w:tc>
          <w:tcPr>
            <w:tcW w:w="4395" w:type="dxa"/>
            <w:vAlign w:val="center"/>
          </w:tcPr>
          <w:p w:rsidR="00DF3457" w:rsidRPr="00C8504B" w:rsidRDefault="00DF3457" w:rsidP="00DF3457">
            <w:pPr>
              <w:spacing w:before="40" w:after="20"/>
              <w:ind w:left="-68"/>
              <w:rPr>
                <w:rFonts w:ascii="Arial Narrow" w:hAnsi="Arial Narrow" w:cs="Arial"/>
                <w:bCs/>
                <w:sz w:val="18"/>
                <w:szCs w:val="18"/>
              </w:rPr>
            </w:pPr>
            <w:r w:rsidRPr="00C8504B">
              <w:rPr>
                <w:rFonts w:ascii="Arial Narrow" w:hAnsi="Arial Narrow" w:cs="Arial"/>
                <w:bCs/>
                <w:sz w:val="18"/>
                <w:szCs w:val="18"/>
              </w:rPr>
              <w:t>Servizi vari</w:t>
            </w:r>
          </w:p>
        </w:tc>
        <w:tc>
          <w:tcPr>
            <w:tcW w:w="852" w:type="dxa"/>
            <w:shd w:val="clear" w:color="auto" w:fill="D9D9D9"/>
            <w:vAlign w:val="center"/>
          </w:tcPr>
          <w:p w:rsidR="00DF3457" w:rsidRPr="006C41C2" w:rsidRDefault="00DF3457" w:rsidP="00DF3457">
            <w:pPr>
              <w:spacing w:before="40" w:after="20"/>
              <w:ind w:left="-68" w:right="57"/>
              <w:jc w:val="right"/>
              <w:rPr>
                <w:rFonts w:ascii="Arial Narrow" w:hAnsi="Arial Narrow" w:cs="Arial"/>
                <w:sz w:val="18"/>
                <w:szCs w:val="18"/>
              </w:rPr>
            </w:pPr>
            <w:r w:rsidRPr="006C41C2">
              <w:rPr>
                <w:rFonts w:ascii="Arial Narrow" w:hAnsi="Arial Narrow" w:cs="Arial"/>
                <w:sz w:val="18"/>
                <w:szCs w:val="18"/>
              </w:rPr>
              <w:t>112.419</w:t>
            </w:r>
          </w:p>
        </w:tc>
        <w:tc>
          <w:tcPr>
            <w:tcW w:w="990" w:type="dxa"/>
            <w:tcMar>
              <w:left w:w="142"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+0,1</w:t>
            </w:r>
          </w:p>
        </w:tc>
        <w:tc>
          <w:tcPr>
            <w:tcW w:w="850"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+0,2</w:t>
            </w:r>
          </w:p>
        </w:tc>
        <w:tc>
          <w:tcPr>
            <w:tcW w:w="851" w:type="dxa"/>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+2,5</w:t>
            </w:r>
          </w:p>
        </w:tc>
        <w:tc>
          <w:tcPr>
            <w:tcW w:w="902"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+2,6</w:t>
            </w:r>
          </w:p>
        </w:tc>
        <w:tc>
          <w:tcPr>
            <w:tcW w:w="709" w:type="dxa"/>
            <w:shd w:val="clear" w:color="auto" w:fill="auto"/>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+2,7</w:t>
            </w:r>
          </w:p>
        </w:tc>
        <w:tc>
          <w:tcPr>
            <w:tcW w:w="709" w:type="dxa"/>
            <w:shd w:val="clear" w:color="auto" w:fill="D9D9D9"/>
            <w:vAlign w:val="center"/>
          </w:tcPr>
          <w:p w:rsidR="00DF3457" w:rsidRPr="001630C6" w:rsidRDefault="00DF3457" w:rsidP="00DF3457">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1,5</w:t>
            </w:r>
          </w:p>
        </w:tc>
      </w:tr>
      <w:tr w:rsidR="00DF3457" w:rsidRPr="00C8504B" w:rsidTr="00061D60">
        <w:trPr>
          <w:trHeight w:val="255"/>
          <w:tblHeader/>
        </w:trPr>
        <w:tc>
          <w:tcPr>
            <w:tcW w:w="4395" w:type="dxa"/>
            <w:shd w:val="clear" w:color="auto" w:fill="808080"/>
            <w:vAlign w:val="center"/>
          </w:tcPr>
          <w:p w:rsidR="00DF3457" w:rsidRPr="00C8504B" w:rsidRDefault="00DF3457" w:rsidP="00DF3457">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Servizi</w:t>
            </w:r>
          </w:p>
        </w:tc>
        <w:tc>
          <w:tcPr>
            <w:tcW w:w="852" w:type="dxa"/>
            <w:shd w:val="clear" w:color="auto" w:fill="808080"/>
            <w:vAlign w:val="center"/>
          </w:tcPr>
          <w:p w:rsidR="00DF3457" w:rsidRPr="006C41C2" w:rsidRDefault="00DF3457" w:rsidP="00DF3457">
            <w:pPr>
              <w:spacing w:before="40" w:after="20"/>
              <w:ind w:left="-68" w:right="57"/>
              <w:jc w:val="right"/>
              <w:rPr>
                <w:rFonts w:ascii="Arial Narrow" w:hAnsi="Arial Narrow" w:cs="Arial"/>
                <w:b/>
                <w:sz w:val="18"/>
                <w:szCs w:val="18"/>
              </w:rPr>
            </w:pPr>
            <w:r w:rsidRPr="006C41C2">
              <w:rPr>
                <w:rFonts w:ascii="Arial Narrow" w:hAnsi="Arial Narrow" w:cs="Arial"/>
                <w:b/>
                <w:color w:val="FFFFFF" w:themeColor="background1"/>
                <w:sz w:val="18"/>
                <w:szCs w:val="18"/>
              </w:rPr>
              <w:t>423.814</w:t>
            </w:r>
          </w:p>
        </w:tc>
        <w:tc>
          <w:tcPr>
            <w:tcW w:w="990" w:type="dxa"/>
            <w:shd w:val="clear" w:color="auto" w:fill="808080"/>
            <w:tcMar>
              <w:left w:w="142" w:type="dxa"/>
            </w:tcMar>
            <w:vAlign w:val="center"/>
          </w:tcPr>
          <w:p w:rsidR="00DF3457" w:rsidRPr="00DF3457" w:rsidRDefault="00DF3457" w:rsidP="00DF3457">
            <w:pPr>
              <w:spacing w:before="40" w:after="20"/>
              <w:ind w:left="-68" w:right="57"/>
              <w:jc w:val="right"/>
              <w:rPr>
                <w:rFonts w:ascii="Arial Narrow" w:hAnsi="Arial Narrow" w:cs="Arial"/>
                <w:b/>
                <w:color w:val="FFFFFF" w:themeColor="background1"/>
                <w:sz w:val="18"/>
                <w:szCs w:val="18"/>
              </w:rPr>
            </w:pPr>
            <w:r w:rsidRPr="00DF3457">
              <w:rPr>
                <w:rFonts w:ascii="Arial Narrow" w:hAnsi="Arial Narrow" w:cs="Arial"/>
                <w:b/>
                <w:color w:val="FFFFFF" w:themeColor="background1"/>
                <w:sz w:val="18"/>
                <w:szCs w:val="18"/>
              </w:rPr>
              <w:t>+0,4</w:t>
            </w:r>
          </w:p>
        </w:tc>
        <w:tc>
          <w:tcPr>
            <w:tcW w:w="850" w:type="dxa"/>
            <w:shd w:val="clear" w:color="auto" w:fill="808080"/>
            <w:tcMar>
              <w:left w:w="85" w:type="dxa"/>
            </w:tcMar>
            <w:vAlign w:val="center"/>
          </w:tcPr>
          <w:p w:rsidR="00DF3457" w:rsidRPr="00DF3457" w:rsidRDefault="00DF3457" w:rsidP="00DF3457">
            <w:pPr>
              <w:spacing w:before="40" w:after="20"/>
              <w:ind w:left="-68" w:right="57"/>
              <w:jc w:val="right"/>
              <w:rPr>
                <w:rFonts w:ascii="Arial Narrow" w:hAnsi="Arial Narrow" w:cs="Arial"/>
                <w:b/>
                <w:color w:val="FFFFFF" w:themeColor="background1"/>
                <w:sz w:val="18"/>
                <w:szCs w:val="18"/>
              </w:rPr>
            </w:pPr>
            <w:r w:rsidRPr="00DF3457">
              <w:rPr>
                <w:rFonts w:ascii="Arial Narrow" w:hAnsi="Arial Narrow" w:cs="Arial"/>
                <w:b/>
                <w:color w:val="FFFFFF" w:themeColor="background1"/>
                <w:sz w:val="18"/>
                <w:szCs w:val="18"/>
              </w:rPr>
              <w:t>+0,7</w:t>
            </w:r>
          </w:p>
        </w:tc>
        <w:tc>
          <w:tcPr>
            <w:tcW w:w="851" w:type="dxa"/>
            <w:shd w:val="clear" w:color="auto" w:fill="808080"/>
            <w:tcMar>
              <w:left w:w="85" w:type="dxa"/>
            </w:tcMar>
            <w:vAlign w:val="center"/>
          </w:tcPr>
          <w:p w:rsidR="00DF3457" w:rsidRPr="00DF3457" w:rsidRDefault="00DF3457" w:rsidP="00DF3457">
            <w:pPr>
              <w:spacing w:before="40" w:after="20"/>
              <w:ind w:left="-68" w:right="57"/>
              <w:jc w:val="right"/>
              <w:rPr>
                <w:rFonts w:ascii="Arial Narrow" w:hAnsi="Arial Narrow" w:cs="Arial"/>
                <w:b/>
                <w:color w:val="FFFFFF" w:themeColor="background1"/>
                <w:sz w:val="18"/>
                <w:szCs w:val="18"/>
              </w:rPr>
            </w:pPr>
            <w:r w:rsidRPr="00DF3457">
              <w:rPr>
                <w:rFonts w:ascii="Arial Narrow" w:hAnsi="Arial Narrow" w:cs="Arial"/>
                <w:b/>
                <w:color w:val="FFFFFF" w:themeColor="background1"/>
                <w:sz w:val="18"/>
                <w:szCs w:val="18"/>
              </w:rPr>
              <w:t>+3,4</w:t>
            </w:r>
          </w:p>
        </w:tc>
        <w:tc>
          <w:tcPr>
            <w:tcW w:w="902" w:type="dxa"/>
            <w:shd w:val="clear" w:color="auto" w:fill="808080"/>
            <w:tcMar>
              <w:left w:w="85" w:type="dxa"/>
            </w:tcMar>
            <w:vAlign w:val="center"/>
          </w:tcPr>
          <w:p w:rsidR="00DF3457" w:rsidRPr="00DF3457" w:rsidRDefault="00DF3457" w:rsidP="00DF3457">
            <w:pPr>
              <w:spacing w:before="40" w:after="20"/>
              <w:ind w:left="-68" w:right="57"/>
              <w:jc w:val="right"/>
              <w:rPr>
                <w:rFonts w:ascii="Arial Narrow" w:hAnsi="Arial Narrow" w:cs="Arial"/>
                <w:b/>
                <w:color w:val="FFFFFF" w:themeColor="background1"/>
                <w:sz w:val="18"/>
                <w:szCs w:val="18"/>
              </w:rPr>
            </w:pPr>
            <w:r w:rsidRPr="00DF3457">
              <w:rPr>
                <w:rFonts w:ascii="Arial Narrow" w:hAnsi="Arial Narrow" w:cs="Arial"/>
                <w:b/>
                <w:color w:val="FFFFFF" w:themeColor="background1"/>
                <w:sz w:val="18"/>
                <w:szCs w:val="18"/>
              </w:rPr>
              <w:t>+3,7</w:t>
            </w:r>
          </w:p>
        </w:tc>
        <w:tc>
          <w:tcPr>
            <w:tcW w:w="709" w:type="dxa"/>
            <w:shd w:val="clear" w:color="auto" w:fill="808080"/>
            <w:vAlign w:val="center"/>
          </w:tcPr>
          <w:p w:rsidR="00DF3457" w:rsidRPr="00DF3457" w:rsidRDefault="00DF3457" w:rsidP="00DF3457">
            <w:pPr>
              <w:spacing w:before="40" w:after="20"/>
              <w:ind w:left="-68" w:right="57"/>
              <w:jc w:val="right"/>
              <w:rPr>
                <w:rFonts w:ascii="Arial Narrow" w:hAnsi="Arial Narrow" w:cs="Arial"/>
                <w:b/>
                <w:color w:val="FFFFFF" w:themeColor="background1"/>
                <w:sz w:val="18"/>
                <w:szCs w:val="18"/>
              </w:rPr>
            </w:pPr>
            <w:r w:rsidRPr="00DF3457">
              <w:rPr>
                <w:rFonts w:ascii="Arial Narrow" w:hAnsi="Arial Narrow" w:cs="Arial"/>
                <w:b/>
                <w:color w:val="FFFFFF" w:themeColor="background1"/>
                <w:sz w:val="18"/>
                <w:szCs w:val="18"/>
              </w:rPr>
              <w:t>+4,2</w:t>
            </w:r>
          </w:p>
        </w:tc>
        <w:tc>
          <w:tcPr>
            <w:tcW w:w="709" w:type="dxa"/>
            <w:shd w:val="clear" w:color="auto" w:fill="808080"/>
            <w:vAlign w:val="center"/>
          </w:tcPr>
          <w:p w:rsidR="00DF3457" w:rsidRPr="001630C6" w:rsidRDefault="00DF3457" w:rsidP="00DF3457">
            <w:pPr>
              <w:spacing w:before="40" w:after="20"/>
              <w:ind w:left="-68" w:right="57"/>
              <w:jc w:val="right"/>
              <w:rPr>
                <w:rFonts w:ascii="Arial Narrow" w:hAnsi="Arial Narrow" w:cs="Arial"/>
                <w:b/>
                <w:color w:val="FFFFFF" w:themeColor="background1"/>
                <w:sz w:val="18"/>
                <w:szCs w:val="18"/>
              </w:rPr>
            </w:pPr>
            <w:r>
              <w:rPr>
                <w:rFonts w:ascii="Arial Narrow" w:hAnsi="Arial Narrow" w:cs="Arial"/>
                <w:b/>
                <w:color w:val="FFFFFF" w:themeColor="background1"/>
                <w:sz w:val="18"/>
                <w:szCs w:val="18"/>
              </w:rPr>
              <w:t>+</w:t>
            </w:r>
            <w:r w:rsidRPr="001630C6">
              <w:rPr>
                <w:rFonts w:ascii="Arial Narrow" w:hAnsi="Arial Narrow" w:cs="Arial"/>
                <w:b/>
                <w:color w:val="FFFFFF" w:themeColor="background1"/>
                <w:sz w:val="18"/>
                <w:szCs w:val="18"/>
              </w:rPr>
              <w:t>3</w:t>
            </w:r>
            <w:r>
              <w:rPr>
                <w:rFonts w:ascii="Arial Narrow" w:hAnsi="Arial Narrow" w:cs="Arial"/>
                <w:b/>
                <w:color w:val="FFFFFF" w:themeColor="background1"/>
                <w:sz w:val="18"/>
                <w:szCs w:val="18"/>
              </w:rPr>
              <w:t>,0</w:t>
            </w:r>
          </w:p>
        </w:tc>
      </w:tr>
      <w:tr w:rsidR="00DF3457" w:rsidRPr="00C8504B" w:rsidTr="00061D60">
        <w:trPr>
          <w:trHeight w:val="255"/>
          <w:tblHeader/>
        </w:trPr>
        <w:tc>
          <w:tcPr>
            <w:tcW w:w="4395" w:type="dxa"/>
            <w:shd w:val="clear" w:color="auto" w:fill="E42618"/>
            <w:vAlign w:val="center"/>
          </w:tcPr>
          <w:p w:rsidR="00DF3457" w:rsidRPr="00C8504B" w:rsidRDefault="00DF3457" w:rsidP="00DF3457">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852" w:type="dxa"/>
            <w:shd w:val="clear" w:color="auto" w:fill="E42618"/>
            <w:vAlign w:val="center"/>
          </w:tcPr>
          <w:p w:rsidR="00DF3457" w:rsidRPr="006C41C2" w:rsidRDefault="00DF3457" w:rsidP="00DF3457">
            <w:pPr>
              <w:spacing w:before="40" w:after="20"/>
              <w:ind w:left="-68" w:right="57"/>
              <w:jc w:val="right"/>
              <w:rPr>
                <w:rFonts w:ascii="Arial Narrow" w:hAnsi="Arial Narrow" w:cs="Arial"/>
                <w:b/>
                <w:sz w:val="18"/>
                <w:szCs w:val="18"/>
              </w:rPr>
            </w:pPr>
            <w:r w:rsidRPr="006C41C2">
              <w:rPr>
                <w:rFonts w:ascii="Arial Narrow" w:hAnsi="Arial Narrow" w:cs="Arial"/>
                <w:b/>
                <w:color w:val="FFFFFF" w:themeColor="background1"/>
                <w:sz w:val="18"/>
                <w:szCs w:val="18"/>
              </w:rPr>
              <w:t>1.000.000</w:t>
            </w:r>
          </w:p>
        </w:tc>
        <w:tc>
          <w:tcPr>
            <w:tcW w:w="990" w:type="dxa"/>
            <w:shd w:val="clear" w:color="auto" w:fill="E42618"/>
            <w:tcMar>
              <w:left w:w="142" w:type="dxa"/>
            </w:tcMar>
            <w:vAlign w:val="center"/>
          </w:tcPr>
          <w:p w:rsidR="00DF3457" w:rsidRPr="00DF3457" w:rsidRDefault="00DF3457" w:rsidP="00DF3457">
            <w:pPr>
              <w:spacing w:before="40" w:after="20"/>
              <w:ind w:left="-68" w:right="57"/>
              <w:jc w:val="right"/>
              <w:rPr>
                <w:rFonts w:ascii="Arial Narrow" w:hAnsi="Arial Narrow" w:cs="Arial"/>
                <w:b/>
                <w:color w:val="FFFFFF" w:themeColor="background1"/>
                <w:sz w:val="18"/>
                <w:szCs w:val="18"/>
              </w:rPr>
            </w:pPr>
            <w:r w:rsidRPr="00DF3457">
              <w:rPr>
                <w:rFonts w:ascii="Arial Narrow" w:hAnsi="Arial Narrow" w:cs="Arial"/>
                <w:b/>
                <w:color w:val="FFFFFF" w:themeColor="background1"/>
                <w:sz w:val="18"/>
                <w:szCs w:val="18"/>
              </w:rPr>
              <w:t>+0,2</w:t>
            </w:r>
          </w:p>
        </w:tc>
        <w:tc>
          <w:tcPr>
            <w:tcW w:w="850" w:type="dxa"/>
            <w:shd w:val="clear" w:color="auto" w:fill="E42618"/>
            <w:tcMar>
              <w:left w:w="85" w:type="dxa"/>
            </w:tcMar>
            <w:vAlign w:val="center"/>
          </w:tcPr>
          <w:p w:rsidR="00DF3457" w:rsidRPr="00DF3457" w:rsidRDefault="00DF3457" w:rsidP="00DF3457">
            <w:pPr>
              <w:spacing w:before="40" w:after="20"/>
              <w:ind w:left="-68" w:right="57"/>
              <w:jc w:val="right"/>
              <w:rPr>
                <w:rFonts w:ascii="Arial Narrow" w:hAnsi="Arial Narrow" w:cs="Arial"/>
                <w:b/>
                <w:color w:val="FFFFFF" w:themeColor="background1"/>
                <w:sz w:val="18"/>
                <w:szCs w:val="18"/>
              </w:rPr>
            </w:pPr>
            <w:r w:rsidRPr="00DF3457">
              <w:rPr>
                <w:rFonts w:ascii="Arial Narrow" w:hAnsi="Arial Narrow" w:cs="Arial"/>
                <w:b/>
                <w:color w:val="FFFFFF" w:themeColor="background1"/>
                <w:sz w:val="18"/>
                <w:szCs w:val="18"/>
              </w:rPr>
              <w:t>+0,3</w:t>
            </w:r>
          </w:p>
        </w:tc>
        <w:tc>
          <w:tcPr>
            <w:tcW w:w="851" w:type="dxa"/>
            <w:shd w:val="clear" w:color="auto" w:fill="E42618"/>
            <w:tcMar>
              <w:left w:w="85" w:type="dxa"/>
            </w:tcMar>
            <w:vAlign w:val="center"/>
          </w:tcPr>
          <w:p w:rsidR="00DF3457" w:rsidRPr="00DF3457" w:rsidRDefault="00DF3457" w:rsidP="00DF3457">
            <w:pPr>
              <w:spacing w:before="40" w:after="20"/>
              <w:ind w:left="-68" w:right="57"/>
              <w:jc w:val="right"/>
              <w:rPr>
                <w:rFonts w:ascii="Arial Narrow" w:hAnsi="Arial Narrow" w:cs="Arial"/>
                <w:b/>
                <w:color w:val="FFFFFF" w:themeColor="background1"/>
                <w:sz w:val="18"/>
                <w:szCs w:val="18"/>
              </w:rPr>
            </w:pPr>
            <w:r w:rsidRPr="00DF3457">
              <w:rPr>
                <w:rFonts w:ascii="Arial Narrow" w:hAnsi="Arial Narrow" w:cs="Arial"/>
                <w:b/>
                <w:color w:val="FFFFFF" w:themeColor="background1"/>
                <w:sz w:val="18"/>
                <w:szCs w:val="18"/>
              </w:rPr>
              <w:t>+0,6</w:t>
            </w:r>
          </w:p>
        </w:tc>
        <w:tc>
          <w:tcPr>
            <w:tcW w:w="902" w:type="dxa"/>
            <w:shd w:val="clear" w:color="auto" w:fill="E42618"/>
            <w:tcMar>
              <w:left w:w="85" w:type="dxa"/>
            </w:tcMar>
            <w:vAlign w:val="center"/>
          </w:tcPr>
          <w:p w:rsidR="00DF3457" w:rsidRPr="00DF3457" w:rsidRDefault="00DF3457" w:rsidP="00DF3457">
            <w:pPr>
              <w:spacing w:before="40" w:after="20"/>
              <w:ind w:left="-68" w:right="57"/>
              <w:jc w:val="right"/>
              <w:rPr>
                <w:rFonts w:ascii="Arial Narrow" w:hAnsi="Arial Narrow" w:cs="Arial"/>
                <w:b/>
                <w:color w:val="FFFFFF" w:themeColor="background1"/>
                <w:sz w:val="18"/>
                <w:szCs w:val="18"/>
              </w:rPr>
            </w:pPr>
            <w:r w:rsidRPr="00DF3457">
              <w:rPr>
                <w:rFonts w:ascii="Arial Narrow" w:hAnsi="Arial Narrow" w:cs="Arial"/>
                <w:b/>
                <w:color w:val="FFFFFF" w:themeColor="background1"/>
                <w:sz w:val="18"/>
                <w:szCs w:val="18"/>
              </w:rPr>
              <w:t>+0,7</w:t>
            </w:r>
          </w:p>
        </w:tc>
        <w:tc>
          <w:tcPr>
            <w:tcW w:w="709" w:type="dxa"/>
            <w:shd w:val="clear" w:color="auto" w:fill="E42618"/>
            <w:vAlign w:val="center"/>
          </w:tcPr>
          <w:p w:rsidR="00DF3457" w:rsidRPr="00DF3457" w:rsidRDefault="00DF3457" w:rsidP="00DF3457">
            <w:pPr>
              <w:spacing w:before="40" w:after="20"/>
              <w:ind w:left="-68" w:right="57"/>
              <w:jc w:val="right"/>
              <w:rPr>
                <w:rFonts w:ascii="Arial Narrow" w:hAnsi="Arial Narrow" w:cs="Arial"/>
                <w:b/>
                <w:color w:val="FFFFFF" w:themeColor="background1"/>
                <w:sz w:val="18"/>
                <w:szCs w:val="18"/>
              </w:rPr>
            </w:pPr>
            <w:r w:rsidRPr="00DF3457">
              <w:rPr>
                <w:rFonts w:ascii="Arial Narrow" w:hAnsi="Arial Narrow" w:cs="Arial"/>
                <w:b/>
                <w:color w:val="FFFFFF" w:themeColor="background1"/>
                <w:sz w:val="18"/>
                <w:szCs w:val="18"/>
              </w:rPr>
              <w:t>+5,7</w:t>
            </w:r>
          </w:p>
        </w:tc>
        <w:tc>
          <w:tcPr>
            <w:tcW w:w="709" w:type="dxa"/>
            <w:shd w:val="clear" w:color="auto" w:fill="E42618"/>
            <w:vAlign w:val="center"/>
          </w:tcPr>
          <w:p w:rsidR="00DF3457" w:rsidRPr="001630C6" w:rsidRDefault="00DF3457" w:rsidP="00DF3457">
            <w:pPr>
              <w:spacing w:before="40" w:after="20"/>
              <w:ind w:left="-68" w:right="57"/>
              <w:jc w:val="right"/>
              <w:rPr>
                <w:rFonts w:ascii="Arial Narrow" w:hAnsi="Arial Narrow" w:cs="Arial"/>
                <w:b/>
                <w:color w:val="FFFFFF" w:themeColor="background1"/>
                <w:sz w:val="18"/>
                <w:szCs w:val="18"/>
              </w:rPr>
            </w:pPr>
            <w:r>
              <w:rPr>
                <w:rFonts w:ascii="Arial Narrow" w:hAnsi="Arial Narrow" w:cs="Arial"/>
                <w:b/>
                <w:color w:val="FFFFFF" w:themeColor="background1"/>
                <w:sz w:val="18"/>
                <w:szCs w:val="18"/>
              </w:rPr>
              <w:t>+</w:t>
            </w:r>
            <w:r w:rsidRPr="001630C6">
              <w:rPr>
                <w:rFonts w:ascii="Arial Narrow" w:hAnsi="Arial Narrow" w:cs="Arial"/>
                <w:b/>
                <w:color w:val="FFFFFF" w:themeColor="background1"/>
                <w:sz w:val="18"/>
                <w:szCs w:val="18"/>
              </w:rPr>
              <w:t>8,1</w:t>
            </w:r>
          </w:p>
        </w:tc>
      </w:tr>
      <w:tr w:rsidR="00DF3457" w:rsidRPr="00C8504B" w:rsidTr="00061D60">
        <w:trPr>
          <w:trHeight w:val="255"/>
          <w:tblHeader/>
        </w:trPr>
        <w:tc>
          <w:tcPr>
            <w:tcW w:w="4395" w:type="dxa"/>
            <w:vAlign w:val="center"/>
          </w:tcPr>
          <w:p w:rsidR="00DF3457" w:rsidRPr="00C8504B" w:rsidRDefault="00DF3457" w:rsidP="00DF3457">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degli energetici e alimentari freschi (Componente di fondo)</w:t>
            </w:r>
          </w:p>
        </w:tc>
        <w:tc>
          <w:tcPr>
            <w:tcW w:w="852" w:type="dxa"/>
            <w:shd w:val="clear" w:color="auto" w:fill="D9D9D9"/>
            <w:vAlign w:val="center"/>
          </w:tcPr>
          <w:p w:rsidR="00DF3457" w:rsidRPr="006C41C2" w:rsidRDefault="00DF3457" w:rsidP="00DF3457">
            <w:pPr>
              <w:spacing w:before="40" w:after="20"/>
              <w:ind w:left="-68" w:right="57"/>
              <w:jc w:val="right"/>
              <w:rPr>
                <w:rFonts w:ascii="Arial Narrow" w:hAnsi="Arial Narrow" w:cs="Arial"/>
                <w:sz w:val="18"/>
                <w:szCs w:val="18"/>
              </w:rPr>
            </w:pPr>
            <w:r w:rsidRPr="006C41C2">
              <w:rPr>
                <w:rFonts w:ascii="Arial Narrow" w:hAnsi="Arial Narrow" w:cs="Arial"/>
                <w:sz w:val="18"/>
                <w:szCs w:val="18"/>
              </w:rPr>
              <w:t>832.560</w:t>
            </w:r>
          </w:p>
        </w:tc>
        <w:tc>
          <w:tcPr>
            <w:tcW w:w="990" w:type="dxa"/>
            <w:tcMar>
              <w:left w:w="142"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+0,3</w:t>
            </w:r>
          </w:p>
        </w:tc>
        <w:tc>
          <w:tcPr>
            <w:tcW w:w="850"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+0,7</w:t>
            </w:r>
          </w:p>
        </w:tc>
        <w:tc>
          <w:tcPr>
            <w:tcW w:w="851" w:type="dxa"/>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+3,1</w:t>
            </w:r>
          </w:p>
        </w:tc>
        <w:tc>
          <w:tcPr>
            <w:tcW w:w="902"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+3,6</w:t>
            </w:r>
          </w:p>
        </w:tc>
        <w:tc>
          <w:tcPr>
            <w:tcW w:w="709" w:type="dxa"/>
            <w:shd w:val="clear" w:color="auto" w:fill="auto"/>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+5,1</w:t>
            </w:r>
          </w:p>
        </w:tc>
        <w:tc>
          <w:tcPr>
            <w:tcW w:w="709" w:type="dxa"/>
            <w:shd w:val="clear" w:color="auto" w:fill="D9D9D9"/>
            <w:vAlign w:val="center"/>
          </w:tcPr>
          <w:p w:rsidR="00DF3457" w:rsidRPr="001630C6" w:rsidRDefault="00DF3457" w:rsidP="00DF3457">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3,8</w:t>
            </w:r>
          </w:p>
        </w:tc>
      </w:tr>
      <w:tr w:rsidR="00DF3457" w:rsidRPr="00C8504B" w:rsidTr="00061D60">
        <w:trPr>
          <w:trHeight w:val="255"/>
          <w:tblHeader/>
        </w:trPr>
        <w:tc>
          <w:tcPr>
            <w:tcW w:w="4395" w:type="dxa"/>
            <w:vAlign w:val="center"/>
          </w:tcPr>
          <w:p w:rsidR="00DF3457" w:rsidRPr="00C8504B" w:rsidRDefault="00DF3457" w:rsidP="00DF3457">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dell’energia, degli alimentari (incluse bevande alcoliche) e tabacchi</w:t>
            </w:r>
          </w:p>
        </w:tc>
        <w:tc>
          <w:tcPr>
            <w:tcW w:w="852" w:type="dxa"/>
            <w:shd w:val="clear" w:color="auto" w:fill="D9D9D9"/>
            <w:vAlign w:val="center"/>
          </w:tcPr>
          <w:p w:rsidR="00DF3457" w:rsidRPr="006C41C2" w:rsidRDefault="00DF3457" w:rsidP="00DF3457">
            <w:pPr>
              <w:spacing w:before="40" w:after="20"/>
              <w:ind w:left="-68" w:right="57"/>
              <w:jc w:val="right"/>
              <w:rPr>
                <w:rFonts w:ascii="Arial Narrow" w:hAnsi="Arial Narrow" w:cs="Arial"/>
                <w:sz w:val="18"/>
                <w:szCs w:val="18"/>
              </w:rPr>
            </w:pPr>
            <w:r w:rsidRPr="006C41C2">
              <w:rPr>
                <w:rFonts w:ascii="Arial Narrow" w:hAnsi="Arial Narrow" w:cs="Arial"/>
                <w:sz w:val="18"/>
                <w:szCs w:val="18"/>
              </w:rPr>
              <w:t>698.151</w:t>
            </w:r>
          </w:p>
        </w:tc>
        <w:tc>
          <w:tcPr>
            <w:tcW w:w="990" w:type="dxa"/>
            <w:tcMar>
              <w:left w:w="142"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+0,4</w:t>
            </w:r>
          </w:p>
        </w:tc>
        <w:tc>
          <w:tcPr>
            <w:tcW w:w="850"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+0,6</w:t>
            </w:r>
          </w:p>
        </w:tc>
        <w:tc>
          <w:tcPr>
            <w:tcW w:w="851" w:type="dxa"/>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+2,9</w:t>
            </w:r>
          </w:p>
        </w:tc>
        <w:tc>
          <w:tcPr>
            <w:tcW w:w="902"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+3,1</w:t>
            </w:r>
          </w:p>
        </w:tc>
        <w:tc>
          <w:tcPr>
            <w:tcW w:w="709" w:type="dxa"/>
            <w:shd w:val="clear" w:color="auto" w:fill="auto"/>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+4,2</w:t>
            </w:r>
          </w:p>
        </w:tc>
        <w:tc>
          <w:tcPr>
            <w:tcW w:w="709" w:type="dxa"/>
            <w:shd w:val="clear" w:color="auto" w:fill="D9D9D9"/>
            <w:vAlign w:val="center"/>
          </w:tcPr>
          <w:p w:rsidR="00DF3457" w:rsidRPr="001630C6" w:rsidRDefault="00DF3457" w:rsidP="00DF3457">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3</w:t>
            </w:r>
            <w:r>
              <w:rPr>
                <w:rFonts w:ascii="Arial Narrow" w:hAnsi="Arial Narrow" w:cs="Arial"/>
                <w:sz w:val="18"/>
                <w:szCs w:val="18"/>
              </w:rPr>
              <w:t>,0</w:t>
            </w:r>
          </w:p>
        </w:tc>
      </w:tr>
      <w:tr w:rsidR="00DF3457" w:rsidRPr="00C8504B" w:rsidTr="00061D60">
        <w:trPr>
          <w:trHeight w:val="255"/>
          <w:tblHeader/>
        </w:trPr>
        <w:tc>
          <w:tcPr>
            <w:tcW w:w="4395" w:type="dxa"/>
            <w:vAlign w:val="center"/>
          </w:tcPr>
          <w:p w:rsidR="00DF3457" w:rsidRPr="00C8504B" w:rsidRDefault="00DF3457" w:rsidP="00DF3457">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degli energetici</w:t>
            </w:r>
          </w:p>
        </w:tc>
        <w:tc>
          <w:tcPr>
            <w:tcW w:w="852" w:type="dxa"/>
            <w:shd w:val="clear" w:color="auto" w:fill="D9D9D9"/>
            <w:vAlign w:val="center"/>
          </w:tcPr>
          <w:p w:rsidR="00DF3457" w:rsidRPr="006C41C2" w:rsidRDefault="00DF3457" w:rsidP="00DF3457">
            <w:pPr>
              <w:spacing w:before="40" w:after="20"/>
              <w:ind w:left="-68" w:right="57"/>
              <w:jc w:val="right"/>
              <w:rPr>
                <w:rFonts w:ascii="Arial Narrow" w:hAnsi="Arial Narrow" w:cs="Arial"/>
                <w:sz w:val="18"/>
                <w:szCs w:val="18"/>
              </w:rPr>
            </w:pPr>
            <w:r w:rsidRPr="006C41C2">
              <w:rPr>
                <w:rFonts w:ascii="Arial Narrow" w:hAnsi="Arial Narrow" w:cs="Arial"/>
                <w:sz w:val="18"/>
                <w:szCs w:val="18"/>
              </w:rPr>
              <w:t>899.051</w:t>
            </w:r>
          </w:p>
        </w:tc>
        <w:tc>
          <w:tcPr>
            <w:tcW w:w="990" w:type="dxa"/>
            <w:tcMar>
              <w:left w:w="142"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+0,3</w:t>
            </w:r>
          </w:p>
        </w:tc>
        <w:tc>
          <w:tcPr>
            <w:tcW w:w="850"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+0,5</w:t>
            </w:r>
          </w:p>
        </w:tc>
        <w:tc>
          <w:tcPr>
            <w:tcW w:w="851" w:type="dxa"/>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+3,4</w:t>
            </w:r>
          </w:p>
        </w:tc>
        <w:tc>
          <w:tcPr>
            <w:tcW w:w="902"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+3,6</w:t>
            </w:r>
          </w:p>
        </w:tc>
        <w:tc>
          <w:tcPr>
            <w:tcW w:w="709" w:type="dxa"/>
            <w:shd w:val="clear" w:color="auto" w:fill="auto"/>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+5,3</w:t>
            </w:r>
          </w:p>
        </w:tc>
        <w:tc>
          <w:tcPr>
            <w:tcW w:w="709" w:type="dxa"/>
            <w:shd w:val="clear" w:color="auto" w:fill="D9D9D9"/>
            <w:vAlign w:val="center"/>
          </w:tcPr>
          <w:p w:rsidR="00DF3457" w:rsidRPr="001630C6" w:rsidRDefault="00DF3457" w:rsidP="00DF3457">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4,1</w:t>
            </w:r>
          </w:p>
        </w:tc>
      </w:tr>
      <w:tr w:rsidR="00DF3457" w:rsidRPr="00C8504B" w:rsidTr="00061D60">
        <w:trPr>
          <w:trHeight w:val="255"/>
          <w:tblHeader/>
        </w:trPr>
        <w:tc>
          <w:tcPr>
            <w:tcW w:w="4395" w:type="dxa"/>
            <w:vAlign w:val="center"/>
          </w:tcPr>
          <w:p w:rsidR="00DF3457" w:rsidRPr="00C8504B" w:rsidRDefault="00DF3457" w:rsidP="00DF3457">
            <w:pPr>
              <w:spacing w:before="40" w:after="20"/>
              <w:ind w:left="-68"/>
              <w:rPr>
                <w:rFonts w:ascii="Arial Narrow" w:hAnsi="Arial Narrow" w:cs="Arial"/>
                <w:bCs/>
                <w:sz w:val="18"/>
                <w:szCs w:val="18"/>
              </w:rPr>
            </w:pPr>
            <w:r w:rsidRPr="00C8504B">
              <w:rPr>
                <w:rFonts w:ascii="Arial Narrow" w:hAnsi="Arial Narrow" w:cs="Arial"/>
                <w:bCs/>
                <w:sz w:val="18"/>
                <w:szCs w:val="18"/>
              </w:rPr>
              <w:t>Indice dei beni alimentari, per la cura della casa e della persona</w:t>
            </w:r>
          </w:p>
        </w:tc>
        <w:tc>
          <w:tcPr>
            <w:tcW w:w="852" w:type="dxa"/>
            <w:shd w:val="clear" w:color="auto" w:fill="D9D9D9"/>
            <w:vAlign w:val="center"/>
          </w:tcPr>
          <w:p w:rsidR="00DF3457" w:rsidRPr="006C41C2" w:rsidRDefault="00DF3457" w:rsidP="00DF3457">
            <w:pPr>
              <w:spacing w:before="40" w:after="20"/>
              <w:ind w:left="-68" w:right="57"/>
              <w:jc w:val="right"/>
              <w:rPr>
                <w:rFonts w:ascii="Arial Narrow" w:hAnsi="Arial Narrow" w:cs="Arial"/>
                <w:sz w:val="18"/>
                <w:szCs w:val="18"/>
              </w:rPr>
            </w:pPr>
            <w:r w:rsidRPr="006C41C2">
              <w:rPr>
                <w:rFonts w:ascii="Arial Narrow" w:hAnsi="Arial Narrow" w:cs="Arial"/>
                <w:sz w:val="18"/>
                <w:szCs w:val="18"/>
              </w:rPr>
              <w:t>207.578</w:t>
            </w:r>
          </w:p>
        </w:tc>
        <w:tc>
          <w:tcPr>
            <w:tcW w:w="990" w:type="dxa"/>
            <w:tcMar>
              <w:left w:w="142"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+0,2</w:t>
            </w:r>
          </w:p>
        </w:tc>
        <w:tc>
          <w:tcPr>
            <w:tcW w:w="850"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+0,4</w:t>
            </w:r>
          </w:p>
        </w:tc>
        <w:tc>
          <w:tcPr>
            <w:tcW w:w="851" w:type="dxa"/>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+5,3</w:t>
            </w:r>
          </w:p>
        </w:tc>
        <w:tc>
          <w:tcPr>
            <w:tcW w:w="902" w:type="dxa"/>
            <w:shd w:val="clear" w:color="auto" w:fill="D9D9D9"/>
            <w:tcMar>
              <w:left w:w="85" w:type="dxa"/>
            </w:tcMar>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+5,4</w:t>
            </w:r>
          </w:p>
        </w:tc>
        <w:tc>
          <w:tcPr>
            <w:tcW w:w="709" w:type="dxa"/>
            <w:shd w:val="clear" w:color="auto" w:fill="auto"/>
            <w:vAlign w:val="center"/>
          </w:tcPr>
          <w:p w:rsidR="00DF3457" w:rsidRPr="00DF3457" w:rsidRDefault="00DF3457" w:rsidP="00DF3457">
            <w:pPr>
              <w:spacing w:before="40" w:after="20"/>
              <w:ind w:left="-68" w:right="57"/>
              <w:jc w:val="right"/>
              <w:rPr>
                <w:rFonts w:ascii="Arial Narrow" w:hAnsi="Arial Narrow" w:cs="Arial"/>
                <w:sz w:val="18"/>
                <w:szCs w:val="18"/>
              </w:rPr>
            </w:pPr>
            <w:r w:rsidRPr="00DF3457">
              <w:rPr>
                <w:rFonts w:ascii="Arial Narrow" w:hAnsi="Arial Narrow" w:cs="Arial"/>
                <w:sz w:val="18"/>
                <w:szCs w:val="18"/>
              </w:rPr>
              <w:t>+9,5</w:t>
            </w:r>
          </w:p>
        </w:tc>
        <w:tc>
          <w:tcPr>
            <w:tcW w:w="709" w:type="dxa"/>
            <w:shd w:val="clear" w:color="auto" w:fill="D9D9D9"/>
            <w:vAlign w:val="center"/>
          </w:tcPr>
          <w:p w:rsidR="00DF3457" w:rsidRPr="001630C6" w:rsidRDefault="00DF3457" w:rsidP="00DF3457">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8,4</w:t>
            </w:r>
          </w:p>
        </w:tc>
      </w:tr>
    </w:tbl>
    <w:p w:rsidR="0078211F" w:rsidRDefault="0078211F" w:rsidP="009477E4">
      <w:pPr>
        <w:tabs>
          <w:tab w:val="left" w:pos="1498"/>
        </w:tabs>
        <w:spacing w:before="0" w:after="120"/>
        <w:jc w:val="both"/>
        <w:rPr>
          <w:rFonts w:ascii="Arial" w:hAnsi="Arial" w:cs="Arial"/>
          <w:color w:val="000000"/>
          <w:kern w:val="0"/>
          <w:sz w:val="21"/>
          <w:szCs w:val="21"/>
        </w:rPr>
      </w:pPr>
    </w:p>
    <w:p w:rsidR="00F16776" w:rsidRPr="00091327" w:rsidRDefault="00F16776" w:rsidP="009477E4">
      <w:pPr>
        <w:tabs>
          <w:tab w:val="left" w:pos="1498"/>
        </w:tabs>
        <w:spacing w:before="0" w:after="120"/>
        <w:jc w:val="both"/>
        <w:rPr>
          <w:rFonts w:ascii="Arial" w:hAnsi="Arial" w:cs="Arial"/>
          <w:color w:val="000000"/>
          <w:kern w:val="0"/>
          <w:sz w:val="14"/>
          <w:szCs w:val="21"/>
        </w:rPr>
      </w:pPr>
    </w:p>
    <w:p w:rsidR="00512917" w:rsidRDefault="00F16776" w:rsidP="0078211F">
      <w:pPr>
        <w:tabs>
          <w:tab w:val="left" w:pos="1498"/>
        </w:tabs>
        <w:spacing w:before="0" w:after="120"/>
        <w:jc w:val="both"/>
        <w:rPr>
          <w:rFonts w:ascii="Arial" w:hAnsi="Arial" w:cs="Arial"/>
          <w:color w:val="000000"/>
          <w:kern w:val="0"/>
          <w:sz w:val="21"/>
          <w:szCs w:val="21"/>
        </w:rPr>
      </w:pPr>
      <w:r>
        <w:rPr>
          <w:rFonts w:ascii="Arial" w:hAnsi="Arial" w:cs="Arial"/>
          <w:color w:val="000000"/>
          <w:kern w:val="0"/>
          <w:sz w:val="21"/>
          <w:szCs w:val="21"/>
        </w:rPr>
        <w:t>Un contributo alla diminuzione tendenziale dei prezzi dei beni arriva anche dall’ulteriore decelerazione dei prezzi dei Beni alimentari lavorati (da +5,8% a +</w:t>
      </w:r>
      <w:r w:rsidR="0083742C">
        <w:rPr>
          <w:rFonts w:ascii="Arial" w:hAnsi="Arial" w:cs="Arial"/>
          <w:color w:val="000000"/>
          <w:kern w:val="0"/>
          <w:sz w:val="21"/>
          <w:szCs w:val="21"/>
        </w:rPr>
        <w:t>4,9</w:t>
      </w:r>
      <w:r>
        <w:rPr>
          <w:rFonts w:ascii="Arial" w:hAnsi="Arial" w:cs="Arial"/>
          <w:color w:val="000000"/>
          <w:kern w:val="0"/>
          <w:sz w:val="21"/>
          <w:szCs w:val="21"/>
        </w:rPr>
        <w:t xml:space="preserve">%; </w:t>
      </w:r>
      <w:r w:rsidR="0083742C">
        <w:rPr>
          <w:rFonts w:ascii="Arial" w:hAnsi="Arial" w:cs="Arial"/>
          <w:color w:val="000000"/>
          <w:kern w:val="0"/>
          <w:sz w:val="21"/>
          <w:szCs w:val="21"/>
        </w:rPr>
        <w:t>-0,1</w:t>
      </w:r>
      <w:r>
        <w:rPr>
          <w:rFonts w:ascii="Arial" w:hAnsi="Arial" w:cs="Arial"/>
          <w:color w:val="000000"/>
          <w:kern w:val="0"/>
          <w:sz w:val="21"/>
          <w:szCs w:val="21"/>
        </w:rPr>
        <w:t xml:space="preserve"> il congiunturale), pur compensata dalle tensioni che permangono nel settore degli alimentari non lavorati, i cui prezzi evid</w:t>
      </w:r>
      <w:r w:rsidR="00906654">
        <w:rPr>
          <w:rFonts w:ascii="Arial" w:hAnsi="Arial" w:cs="Arial"/>
          <w:color w:val="000000"/>
          <w:kern w:val="0"/>
          <w:sz w:val="21"/>
          <w:szCs w:val="21"/>
        </w:rPr>
        <w:t xml:space="preserve">enziano un aumento mensile dello </w:t>
      </w:r>
      <w:r>
        <w:rPr>
          <w:rFonts w:ascii="Arial" w:hAnsi="Arial" w:cs="Arial"/>
          <w:color w:val="000000"/>
          <w:kern w:val="0"/>
          <w:sz w:val="21"/>
          <w:szCs w:val="21"/>
        </w:rPr>
        <w:t>0,7%, che porta il tasso tendenziale a +7,0% (da +5,6% di novembre). In particolare, le tensioni riguardano sia la Frutta fresca e refriger</w:t>
      </w:r>
      <w:r w:rsidR="00091327">
        <w:rPr>
          <w:rFonts w:ascii="Arial" w:hAnsi="Arial" w:cs="Arial"/>
          <w:color w:val="000000"/>
          <w:kern w:val="0"/>
          <w:sz w:val="21"/>
          <w:szCs w:val="21"/>
        </w:rPr>
        <w:t>ata (da +10,4% a +13,9%; -0,1% la variazione congiunturale</w:t>
      </w:r>
      <w:r>
        <w:rPr>
          <w:rFonts w:ascii="Arial" w:hAnsi="Arial" w:cs="Arial"/>
          <w:color w:val="000000"/>
          <w:kern w:val="0"/>
          <w:sz w:val="21"/>
          <w:szCs w:val="21"/>
        </w:rPr>
        <w:t xml:space="preserve">) sia i </w:t>
      </w:r>
      <w:r w:rsidRPr="004B427C">
        <w:rPr>
          <w:rFonts w:ascii="Arial" w:hAnsi="Arial" w:cs="Arial"/>
          <w:color w:val="000000"/>
          <w:kern w:val="0"/>
          <w:sz w:val="21"/>
          <w:szCs w:val="21"/>
        </w:rPr>
        <w:t xml:space="preserve">Vegetali freschi o refrigerati diversi dalle patate </w:t>
      </w:r>
      <w:r>
        <w:rPr>
          <w:rFonts w:ascii="Arial" w:hAnsi="Arial" w:cs="Arial"/>
          <w:color w:val="000000"/>
          <w:kern w:val="0"/>
          <w:sz w:val="21"/>
          <w:szCs w:val="21"/>
        </w:rPr>
        <w:t>(</w:t>
      </w:r>
      <w:r w:rsidRPr="004B427C">
        <w:rPr>
          <w:rFonts w:ascii="Arial" w:hAnsi="Arial" w:cs="Arial"/>
          <w:color w:val="000000"/>
          <w:kern w:val="0"/>
          <w:sz w:val="21"/>
          <w:szCs w:val="21"/>
        </w:rPr>
        <w:t xml:space="preserve">da </w:t>
      </w:r>
      <w:r w:rsidR="00BE2454">
        <w:rPr>
          <w:rFonts w:ascii="Arial" w:hAnsi="Arial" w:cs="Arial"/>
          <w:color w:val="000000"/>
          <w:kern w:val="0"/>
          <w:sz w:val="21"/>
          <w:szCs w:val="21"/>
        </w:rPr>
        <w:t>+7,6% a +13,5</w:t>
      </w:r>
      <w:r>
        <w:rPr>
          <w:rFonts w:ascii="Arial" w:hAnsi="Arial" w:cs="Arial"/>
          <w:color w:val="000000"/>
          <w:kern w:val="0"/>
          <w:sz w:val="21"/>
          <w:szCs w:val="21"/>
        </w:rPr>
        <w:t>%; +3,</w:t>
      </w:r>
      <w:r w:rsidR="00BE2454">
        <w:rPr>
          <w:rFonts w:ascii="Arial" w:hAnsi="Arial" w:cs="Arial"/>
          <w:color w:val="000000"/>
          <w:kern w:val="0"/>
          <w:sz w:val="21"/>
          <w:szCs w:val="21"/>
        </w:rPr>
        <w:t>3</w:t>
      </w:r>
      <w:r>
        <w:rPr>
          <w:rFonts w:ascii="Arial" w:hAnsi="Arial" w:cs="Arial"/>
          <w:color w:val="000000"/>
          <w:kern w:val="0"/>
          <w:sz w:val="21"/>
          <w:szCs w:val="21"/>
        </w:rPr>
        <w:t>% sul mese).</w:t>
      </w:r>
    </w:p>
    <w:p w:rsidR="00FC16ED" w:rsidRDefault="00FC16ED" w:rsidP="0078211F">
      <w:pPr>
        <w:spacing w:before="0" w:after="120"/>
        <w:jc w:val="both"/>
        <w:rPr>
          <w:rFonts w:ascii="Arial" w:hAnsi="Arial" w:cs="Arial"/>
          <w:color w:val="000000"/>
          <w:kern w:val="0"/>
          <w:sz w:val="21"/>
          <w:szCs w:val="21"/>
        </w:rPr>
      </w:pPr>
      <w:r>
        <w:rPr>
          <w:rFonts w:ascii="Arial" w:hAnsi="Arial" w:cs="Arial"/>
          <w:color w:val="000000"/>
          <w:kern w:val="0"/>
          <w:sz w:val="21"/>
          <w:szCs w:val="21"/>
        </w:rPr>
        <w:t>Nel comparto dei servizi, a determinare il rallentamento della crescita tendenziale (da +3,7% a +3,4%; +0,4</w:t>
      </w:r>
      <w:r w:rsidRPr="004B427C">
        <w:rPr>
          <w:rFonts w:ascii="Arial" w:hAnsi="Arial" w:cs="Arial"/>
          <w:color w:val="000000"/>
          <w:kern w:val="0"/>
          <w:sz w:val="21"/>
          <w:szCs w:val="21"/>
        </w:rPr>
        <w:t xml:space="preserve">% </w:t>
      </w:r>
      <w:r w:rsidR="008742F6">
        <w:rPr>
          <w:rFonts w:ascii="Arial" w:hAnsi="Arial" w:cs="Arial"/>
          <w:color w:val="000000"/>
          <w:kern w:val="0"/>
          <w:sz w:val="21"/>
          <w:szCs w:val="21"/>
        </w:rPr>
        <w:t>rispetto a</w:t>
      </w:r>
      <w:r w:rsidR="00091327">
        <w:rPr>
          <w:rFonts w:ascii="Arial" w:hAnsi="Arial" w:cs="Arial"/>
          <w:color w:val="000000"/>
          <w:kern w:val="0"/>
          <w:sz w:val="21"/>
          <w:szCs w:val="21"/>
        </w:rPr>
        <w:t>l mese precedente</w:t>
      </w:r>
      <w:r w:rsidRPr="004B427C">
        <w:rPr>
          <w:rFonts w:ascii="Arial" w:hAnsi="Arial" w:cs="Arial"/>
          <w:color w:val="000000"/>
          <w:kern w:val="0"/>
          <w:sz w:val="21"/>
          <w:szCs w:val="21"/>
        </w:rPr>
        <w:t>)</w:t>
      </w:r>
      <w:r>
        <w:rPr>
          <w:rFonts w:ascii="Arial" w:hAnsi="Arial" w:cs="Arial"/>
          <w:color w:val="000000"/>
          <w:kern w:val="0"/>
          <w:sz w:val="21"/>
          <w:szCs w:val="21"/>
        </w:rPr>
        <w:t xml:space="preserve"> sono prevalentemente </w:t>
      </w:r>
      <w:r w:rsidRPr="006C3790">
        <w:rPr>
          <w:rFonts w:ascii="Arial" w:hAnsi="Arial" w:cs="Arial"/>
          <w:color w:val="000000"/>
          <w:kern w:val="0"/>
          <w:sz w:val="21"/>
          <w:szCs w:val="21"/>
        </w:rPr>
        <w:t>i</w:t>
      </w:r>
      <w:r>
        <w:rPr>
          <w:rFonts w:ascii="Arial" w:hAnsi="Arial" w:cs="Arial"/>
          <w:color w:val="000000"/>
          <w:kern w:val="0"/>
          <w:sz w:val="21"/>
          <w:szCs w:val="21"/>
        </w:rPr>
        <w:t xml:space="preserve"> prezzi</w:t>
      </w:r>
      <w:r w:rsidRPr="006C3790">
        <w:rPr>
          <w:rFonts w:ascii="Arial" w:hAnsi="Arial" w:cs="Arial"/>
          <w:color w:val="000000"/>
          <w:kern w:val="0"/>
          <w:sz w:val="21"/>
          <w:szCs w:val="21"/>
        </w:rPr>
        <w:t xml:space="preserve"> dei Servizi ricreativi, cultural</w:t>
      </w:r>
      <w:r>
        <w:rPr>
          <w:rFonts w:ascii="Arial" w:hAnsi="Arial" w:cs="Arial"/>
          <w:color w:val="000000"/>
          <w:kern w:val="0"/>
          <w:sz w:val="21"/>
          <w:szCs w:val="21"/>
        </w:rPr>
        <w:t xml:space="preserve">i e per la cura della persona (da +4,6% a +3,6%; +0,4% </w:t>
      </w:r>
      <w:r w:rsidR="00091327">
        <w:rPr>
          <w:rFonts w:ascii="Arial" w:hAnsi="Arial" w:cs="Arial"/>
          <w:color w:val="000000"/>
          <w:kern w:val="0"/>
          <w:sz w:val="21"/>
          <w:szCs w:val="21"/>
        </w:rPr>
        <w:t>il congiunturale</w:t>
      </w:r>
      <w:r>
        <w:rPr>
          <w:rFonts w:ascii="Arial" w:hAnsi="Arial" w:cs="Arial"/>
          <w:color w:val="000000"/>
          <w:kern w:val="0"/>
          <w:sz w:val="21"/>
          <w:szCs w:val="21"/>
        </w:rPr>
        <w:t>), che risentono della decelerazione dei prezzi dei Servizi di alloggio (da +8,</w:t>
      </w:r>
      <w:r w:rsidR="00091327">
        <w:rPr>
          <w:rFonts w:ascii="Arial" w:hAnsi="Arial" w:cs="Arial"/>
          <w:color w:val="000000"/>
          <w:kern w:val="0"/>
          <w:sz w:val="21"/>
          <w:szCs w:val="21"/>
        </w:rPr>
        <w:t>7% a +7,9%; -0,2% da novembre),</w:t>
      </w:r>
      <w:r>
        <w:rPr>
          <w:rFonts w:ascii="Arial" w:hAnsi="Arial" w:cs="Arial"/>
          <w:color w:val="000000"/>
          <w:kern w:val="0"/>
          <w:sz w:val="21"/>
          <w:szCs w:val="21"/>
        </w:rPr>
        <w:t xml:space="preserve"> di quelli di Ristoranti, bar e simili (da +4,3% a +3,9%; +0,1% </w:t>
      </w:r>
      <w:r w:rsidR="00310D57">
        <w:rPr>
          <w:rFonts w:ascii="Arial" w:hAnsi="Arial" w:cs="Arial"/>
          <w:color w:val="000000"/>
          <w:kern w:val="0"/>
          <w:sz w:val="21"/>
          <w:szCs w:val="21"/>
        </w:rPr>
        <w:t>su base mensile</w:t>
      </w:r>
      <w:r>
        <w:rPr>
          <w:rFonts w:ascii="Arial" w:hAnsi="Arial" w:cs="Arial"/>
          <w:color w:val="000000"/>
          <w:kern w:val="0"/>
          <w:sz w:val="21"/>
          <w:szCs w:val="21"/>
        </w:rPr>
        <w:t>)</w:t>
      </w:r>
      <w:r w:rsidR="00310D57">
        <w:rPr>
          <w:rFonts w:ascii="Arial" w:hAnsi="Arial" w:cs="Arial"/>
          <w:color w:val="000000"/>
          <w:kern w:val="0"/>
          <w:sz w:val="21"/>
          <w:szCs w:val="21"/>
        </w:rPr>
        <w:t xml:space="preserve"> e dei Pacchetti Vacanza (da +19,9% a +2,8%; +15,0% sul mese)</w:t>
      </w:r>
      <w:r>
        <w:rPr>
          <w:rFonts w:ascii="Arial" w:hAnsi="Arial" w:cs="Arial"/>
          <w:color w:val="000000"/>
          <w:kern w:val="0"/>
          <w:sz w:val="21"/>
          <w:szCs w:val="21"/>
        </w:rPr>
        <w:t>. In moderato calo anche i Servizi relativi alle comunicazioni (con un’inversione di tendenza da +0,3% a -0,1%; nullo il congiunturale), per effetto dei Servizi di telefonia mobile (da -0,5% a -1,2%; nullo il congiunturale).</w:t>
      </w:r>
    </w:p>
    <w:p w:rsidR="00FC16ED" w:rsidRDefault="00FC16ED" w:rsidP="0078211F">
      <w:pPr>
        <w:spacing w:before="0" w:after="120"/>
        <w:jc w:val="both"/>
        <w:rPr>
          <w:rFonts w:ascii="Arial" w:hAnsi="Arial" w:cs="Arial"/>
          <w:color w:val="000000"/>
          <w:kern w:val="0"/>
          <w:sz w:val="21"/>
          <w:szCs w:val="21"/>
        </w:rPr>
      </w:pPr>
      <w:r>
        <w:rPr>
          <w:rFonts w:ascii="Arial" w:hAnsi="Arial" w:cs="Arial"/>
          <w:color w:val="000000"/>
          <w:kern w:val="0"/>
          <w:sz w:val="21"/>
          <w:szCs w:val="21"/>
        </w:rPr>
        <w:t>I prezzi</w:t>
      </w:r>
      <w:r w:rsidRPr="004B427C">
        <w:rPr>
          <w:rFonts w:ascii="Arial" w:hAnsi="Arial" w:cs="Arial"/>
          <w:color w:val="000000"/>
          <w:kern w:val="0"/>
          <w:sz w:val="21"/>
          <w:szCs w:val="21"/>
        </w:rPr>
        <w:t xml:space="preserve"> dei Servizi relativi ai trasporti</w:t>
      </w:r>
      <w:r>
        <w:rPr>
          <w:rFonts w:ascii="Arial" w:hAnsi="Arial" w:cs="Arial"/>
          <w:color w:val="000000"/>
          <w:kern w:val="0"/>
          <w:sz w:val="21"/>
          <w:szCs w:val="21"/>
        </w:rPr>
        <w:t>, invece, accelerano (da +3,5% a +3,7%</w:t>
      </w:r>
      <w:r w:rsidRPr="004B427C">
        <w:rPr>
          <w:rFonts w:ascii="Arial" w:hAnsi="Arial" w:cs="Arial"/>
          <w:color w:val="000000"/>
          <w:kern w:val="0"/>
          <w:sz w:val="21"/>
          <w:szCs w:val="21"/>
        </w:rPr>
        <w:t xml:space="preserve">; </w:t>
      </w:r>
      <w:r>
        <w:rPr>
          <w:rFonts w:ascii="Arial" w:hAnsi="Arial" w:cs="Arial"/>
          <w:color w:val="000000"/>
          <w:kern w:val="0"/>
          <w:sz w:val="21"/>
          <w:szCs w:val="21"/>
        </w:rPr>
        <w:t>+1,4</w:t>
      </w:r>
      <w:r w:rsidRPr="004B427C">
        <w:rPr>
          <w:rFonts w:ascii="Arial" w:hAnsi="Arial" w:cs="Arial"/>
          <w:color w:val="000000"/>
          <w:kern w:val="0"/>
          <w:sz w:val="21"/>
          <w:szCs w:val="21"/>
        </w:rPr>
        <w:t>% il congiunturale</w:t>
      </w:r>
      <w:r>
        <w:rPr>
          <w:rFonts w:ascii="Arial" w:hAnsi="Arial" w:cs="Arial"/>
          <w:color w:val="000000"/>
          <w:kern w:val="0"/>
          <w:sz w:val="21"/>
          <w:szCs w:val="21"/>
        </w:rPr>
        <w:t xml:space="preserve">), a causa </w:t>
      </w:r>
      <w:r w:rsidRPr="000D5549">
        <w:rPr>
          <w:rFonts w:ascii="Arial" w:hAnsi="Arial" w:cs="Arial"/>
          <w:color w:val="000000"/>
          <w:kern w:val="0"/>
          <w:sz w:val="21"/>
          <w:szCs w:val="21"/>
        </w:rPr>
        <w:t>del Trasporto aereo passeggeri (</w:t>
      </w:r>
      <w:r>
        <w:rPr>
          <w:rFonts w:ascii="Arial" w:hAnsi="Arial" w:cs="Arial"/>
          <w:color w:val="000000"/>
          <w:kern w:val="0"/>
          <w:sz w:val="21"/>
          <w:szCs w:val="21"/>
        </w:rPr>
        <w:t xml:space="preserve">che mostra un’inversione di tendenza </w:t>
      </w:r>
      <w:r w:rsidRPr="000D5549">
        <w:rPr>
          <w:rFonts w:ascii="Arial" w:hAnsi="Arial" w:cs="Arial"/>
          <w:color w:val="000000"/>
          <w:kern w:val="0"/>
          <w:sz w:val="21"/>
          <w:szCs w:val="21"/>
        </w:rPr>
        <w:t xml:space="preserve">da </w:t>
      </w:r>
      <w:r>
        <w:rPr>
          <w:rFonts w:ascii="Arial" w:hAnsi="Arial" w:cs="Arial"/>
          <w:color w:val="000000"/>
          <w:kern w:val="0"/>
          <w:sz w:val="21"/>
          <w:szCs w:val="21"/>
        </w:rPr>
        <w:t>-2,1</w:t>
      </w:r>
      <w:r w:rsidRPr="000D5549">
        <w:rPr>
          <w:rFonts w:ascii="Arial" w:hAnsi="Arial" w:cs="Arial"/>
          <w:color w:val="000000"/>
          <w:kern w:val="0"/>
          <w:sz w:val="21"/>
          <w:szCs w:val="21"/>
        </w:rPr>
        <w:t>% a +</w:t>
      </w:r>
      <w:r>
        <w:rPr>
          <w:rFonts w:ascii="Arial" w:hAnsi="Arial" w:cs="Arial"/>
          <w:color w:val="000000"/>
          <w:kern w:val="0"/>
          <w:sz w:val="21"/>
          <w:szCs w:val="21"/>
        </w:rPr>
        <w:t>2,6</w:t>
      </w:r>
      <w:r w:rsidRPr="000D5549">
        <w:rPr>
          <w:rFonts w:ascii="Arial" w:hAnsi="Arial" w:cs="Arial"/>
          <w:color w:val="000000"/>
          <w:kern w:val="0"/>
          <w:sz w:val="21"/>
          <w:szCs w:val="21"/>
        </w:rPr>
        <w:t xml:space="preserve">%; </w:t>
      </w:r>
      <w:r>
        <w:rPr>
          <w:rFonts w:ascii="Arial" w:hAnsi="Arial" w:cs="Arial"/>
          <w:color w:val="000000"/>
          <w:kern w:val="0"/>
          <w:sz w:val="21"/>
          <w:szCs w:val="21"/>
        </w:rPr>
        <w:t>+18,3</w:t>
      </w:r>
      <w:r w:rsidRPr="000D5549">
        <w:rPr>
          <w:rFonts w:ascii="Arial" w:hAnsi="Arial" w:cs="Arial"/>
          <w:color w:val="000000"/>
          <w:kern w:val="0"/>
          <w:sz w:val="21"/>
          <w:szCs w:val="21"/>
        </w:rPr>
        <w:t xml:space="preserve">% </w:t>
      </w:r>
      <w:r>
        <w:rPr>
          <w:rFonts w:ascii="Arial" w:hAnsi="Arial" w:cs="Arial"/>
          <w:color w:val="000000"/>
          <w:kern w:val="0"/>
          <w:sz w:val="21"/>
          <w:szCs w:val="21"/>
        </w:rPr>
        <w:t xml:space="preserve">l’aumento </w:t>
      </w:r>
      <w:r w:rsidRPr="000D5549">
        <w:rPr>
          <w:rFonts w:ascii="Arial" w:hAnsi="Arial" w:cs="Arial"/>
          <w:color w:val="000000"/>
          <w:kern w:val="0"/>
          <w:sz w:val="21"/>
          <w:szCs w:val="21"/>
        </w:rPr>
        <w:t>su base mensile</w:t>
      </w:r>
      <w:r>
        <w:rPr>
          <w:rFonts w:ascii="Arial" w:hAnsi="Arial" w:cs="Arial"/>
          <w:color w:val="000000"/>
          <w:kern w:val="0"/>
          <w:sz w:val="21"/>
          <w:szCs w:val="21"/>
        </w:rPr>
        <w:t xml:space="preserve"> dovuto per lo più a fattori stagionali</w:t>
      </w:r>
      <w:r w:rsidRPr="000D5549">
        <w:rPr>
          <w:rFonts w:ascii="Arial" w:hAnsi="Arial" w:cs="Arial"/>
          <w:color w:val="000000"/>
          <w:kern w:val="0"/>
          <w:sz w:val="21"/>
          <w:szCs w:val="21"/>
        </w:rPr>
        <w:t>)</w:t>
      </w:r>
      <w:r>
        <w:rPr>
          <w:rFonts w:ascii="Arial" w:hAnsi="Arial" w:cs="Arial"/>
          <w:color w:val="000000"/>
          <w:kern w:val="0"/>
          <w:sz w:val="21"/>
          <w:szCs w:val="21"/>
        </w:rPr>
        <w:t xml:space="preserve"> e di quelli del </w:t>
      </w:r>
      <w:r w:rsidRPr="00713A94">
        <w:rPr>
          <w:rFonts w:ascii="Arial" w:hAnsi="Arial" w:cs="Arial"/>
          <w:color w:val="000000"/>
          <w:kern w:val="0"/>
          <w:sz w:val="21"/>
          <w:szCs w:val="21"/>
        </w:rPr>
        <w:t>Trasporto passeggeri su rotaia</w:t>
      </w:r>
      <w:r>
        <w:rPr>
          <w:rFonts w:ascii="Arial" w:hAnsi="Arial" w:cs="Arial"/>
          <w:color w:val="000000"/>
          <w:kern w:val="0"/>
          <w:sz w:val="21"/>
          <w:szCs w:val="21"/>
        </w:rPr>
        <w:t xml:space="preserve"> (da +8,0% a +10,1%; +2,3% rispetto a novembre), solo in parte compensata dall’accentuarsi della flessione dei prezzi del </w:t>
      </w:r>
      <w:r w:rsidRPr="00713A94">
        <w:rPr>
          <w:rFonts w:ascii="Arial" w:hAnsi="Arial" w:cs="Arial"/>
          <w:color w:val="000000"/>
          <w:kern w:val="0"/>
          <w:sz w:val="21"/>
          <w:szCs w:val="21"/>
        </w:rPr>
        <w:t>Trasporto mar</w:t>
      </w:r>
      <w:r>
        <w:rPr>
          <w:rFonts w:ascii="Arial" w:hAnsi="Arial" w:cs="Arial"/>
          <w:color w:val="000000"/>
          <w:kern w:val="0"/>
          <w:sz w:val="21"/>
          <w:szCs w:val="21"/>
        </w:rPr>
        <w:t>ittimo e per vie d’</w:t>
      </w:r>
      <w:r w:rsidRPr="00713A94">
        <w:rPr>
          <w:rFonts w:ascii="Arial" w:hAnsi="Arial" w:cs="Arial"/>
          <w:color w:val="000000"/>
          <w:kern w:val="0"/>
          <w:sz w:val="21"/>
          <w:szCs w:val="21"/>
        </w:rPr>
        <w:t>acqua interne</w:t>
      </w:r>
      <w:r>
        <w:rPr>
          <w:rFonts w:ascii="Arial" w:hAnsi="Arial" w:cs="Arial"/>
          <w:color w:val="000000"/>
          <w:kern w:val="0"/>
          <w:sz w:val="21"/>
          <w:szCs w:val="21"/>
        </w:rPr>
        <w:t xml:space="preserve"> (da -1,5% a -3,1%; +0,2% il congiunturale).</w:t>
      </w:r>
    </w:p>
    <w:p w:rsidR="0078211F" w:rsidRDefault="0078211F" w:rsidP="0078211F">
      <w:pPr>
        <w:pStyle w:val="Corpotesto"/>
        <w:tabs>
          <w:tab w:val="left" w:pos="6237"/>
        </w:tabs>
        <w:spacing w:after="120" w:line="240" w:lineRule="exact"/>
        <w:jc w:val="both"/>
        <w:rPr>
          <w:rFonts w:ascii="Arial" w:hAnsi="Arial" w:cs="Arial"/>
          <w:iCs/>
          <w:sz w:val="21"/>
          <w:szCs w:val="21"/>
        </w:rPr>
      </w:pPr>
      <w:r>
        <w:rPr>
          <w:rFonts w:ascii="Arial" w:hAnsi="Arial" w:cs="Arial"/>
          <w:iCs/>
          <w:sz w:val="21"/>
          <w:szCs w:val="21"/>
        </w:rPr>
        <w:t xml:space="preserve">L’impatto dell’evoluzione dei prezzi </w:t>
      </w:r>
      <w:r w:rsidRPr="00F157E2">
        <w:rPr>
          <w:rFonts w:ascii="Arial" w:hAnsi="Arial" w:cs="Arial"/>
          <w:iCs/>
          <w:sz w:val="21"/>
          <w:szCs w:val="21"/>
        </w:rPr>
        <w:t xml:space="preserve">delle diverse tipologie di prodotto </w:t>
      </w:r>
      <w:r>
        <w:rPr>
          <w:rFonts w:ascii="Arial" w:hAnsi="Arial" w:cs="Arial"/>
          <w:iCs/>
          <w:sz w:val="21"/>
          <w:szCs w:val="21"/>
        </w:rPr>
        <w:t xml:space="preserve">sul tasso di </w:t>
      </w:r>
      <w:r w:rsidRPr="00F157E2">
        <w:rPr>
          <w:rFonts w:ascii="Arial" w:hAnsi="Arial" w:cs="Arial"/>
          <w:iCs/>
          <w:sz w:val="21"/>
          <w:szCs w:val="21"/>
        </w:rPr>
        <w:t xml:space="preserve">inflazione di </w:t>
      </w:r>
      <w:r>
        <w:rPr>
          <w:rFonts w:ascii="Arial" w:hAnsi="Arial" w:cs="Arial"/>
          <w:iCs/>
          <w:sz w:val="21"/>
          <w:szCs w:val="21"/>
        </w:rPr>
        <w:t>dicembre</w:t>
      </w:r>
      <w:r w:rsidRPr="00516709">
        <w:rPr>
          <w:rFonts w:ascii="Arial" w:hAnsi="Arial" w:cs="Arial"/>
          <w:iCs/>
          <w:sz w:val="21"/>
          <w:szCs w:val="21"/>
        </w:rPr>
        <w:t xml:space="preserve"> </w:t>
      </w:r>
      <w:r w:rsidRPr="00F157E2">
        <w:rPr>
          <w:rFonts w:ascii="Arial" w:hAnsi="Arial" w:cs="Arial"/>
          <w:iCs/>
          <w:sz w:val="21"/>
          <w:szCs w:val="21"/>
        </w:rPr>
        <w:t xml:space="preserve">è </w:t>
      </w:r>
      <w:r>
        <w:rPr>
          <w:rFonts w:ascii="Arial" w:hAnsi="Arial" w:cs="Arial"/>
          <w:iCs/>
          <w:sz w:val="21"/>
          <w:szCs w:val="21"/>
        </w:rPr>
        <w:t>misurato</w:t>
      </w:r>
      <w:r w:rsidRPr="00F157E2">
        <w:rPr>
          <w:rFonts w:ascii="Arial" w:hAnsi="Arial" w:cs="Arial"/>
          <w:iCs/>
          <w:sz w:val="21"/>
          <w:szCs w:val="21"/>
        </w:rPr>
        <w:t xml:space="preserve"> dai contributi alla variazione </w:t>
      </w:r>
      <w:r>
        <w:rPr>
          <w:rFonts w:ascii="Arial" w:hAnsi="Arial" w:cs="Arial"/>
          <w:iCs/>
          <w:sz w:val="21"/>
          <w:szCs w:val="21"/>
        </w:rPr>
        <w:t xml:space="preserve">tendenziale </w:t>
      </w:r>
      <w:r w:rsidRPr="00F157E2">
        <w:rPr>
          <w:rFonts w:ascii="Arial" w:hAnsi="Arial" w:cs="Arial"/>
          <w:iCs/>
          <w:sz w:val="21"/>
          <w:szCs w:val="21"/>
        </w:rPr>
        <w:t>dell’indice generale dei prezzi al consumo</w:t>
      </w:r>
      <w:r w:rsidR="00310D57">
        <w:rPr>
          <w:rFonts w:ascii="Arial" w:hAnsi="Arial" w:cs="Arial"/>
          <w:iCs/>
          <w:sz w:val="21"/>
          <w:szCs w:val="21"/>
        </w:rPr>
        <w:t xml:space="preserve"> (</w:t>
      </w:r>
      <w:r w:rsidR="009F7BD6">
        <w:rPr>
          <w:rFonts w:ascii="Arial" w:hAnsi="Arial" w:cs="Arial"/>
          <w:iCs/>
          <w:sz w:val="21"/>
          <w:szCs w:val="21"/>
        </w:rPr>
        <w:t>nella F</w:t>
      </w:r>
      <w:r w:rsidRPr="00F157E2">
        <w:rPr>
          <w:rFonts w:ascii="Arial" w:hAnsi="Arial" w:cs="Arial"/>
          <w:iCs/>
          <w:sz w:val="21"/>
          <w:szCs w:val="21"/>
        </w:rPr>
        <w:t>igura 4</w:t>
      </w:r>
      <w:r w:rsidR="00310D57">
        <w:rPr>
          <w:rFonts w:ascii="Arial" w:hAnsi="Arial" w:cs="Arial"/>
          <w:iCs/>
          <w:sz w:val="21"/>
          <w:szCs w:val="21"/>
        </w:rPr>
        <w:t>)</w:t>
      </w:r>
      <w:r w:rsidRPr="00F157E2">
        <w:rPr>
          <w:rFonts w:ascii="Arial" w:hAnsi="Arial" w:cs="Arial"/>
          <w:iCs/>
          <w:sz w:val="21"/>
          <w:szCs w:val="21"/>
        </w:rPr>
        <w:t>.</w:t>
      </w:r>
    </w:p>
    <w:p w:rsidR="00091327" w:rsidRDefault="00091327" w:rsidP="0078211F">
      <w:pPr>
        <w:pStyle w:val="Corpotesto"/>
        <w:tabs>
          <w:tab w:val="left" w:pos="6237"/>
        </w:tabs>
        <w:spacing w:after="120" w:line="240" w:lineRule="exact"/>
        <w:jc w:val="both"/>
        <w:rPr>
          <w:rFonts w:ascii="Arial" w:hAnsi="Arial" w:cs="Arial"/>
          <w:iCs/>
          <w:sz w:val="21"/>
          <w:szCs w:val="21"/>
        </w:rPr>
      </w:pPr>
    </w:p>
    <w:p w:rsidR="00184B06" w:rsidRPr="00C8504B" w:rsidRDefault="00184B06" w:rsidP="00184B06">
      <w:pPr>
        <w:pStyle w:val="001TitoGra"/>
        <w:spacing w:line="240" w:lineRule="auto"/>
      </w:pPr>
      <w:r w:rsidRPr="00C8504B">
        <w:rPr>
          <w:rFonts w:cs="Calibri"/>
          <w:bCs/>
          <w:color w:val="FF0000"/>
          <w:kern w:val="0"/>
        </w:rPr>
        <w:t xml:space="preserve">FIGURA 3. </w:t>
      </w:r>
      <w:r w:rsidRPr="00C8504B">
        <w:rPr>
          <w:rFonts w:cs="Calibri"/>
          <w:bCs/>
          <w:kern w:val="0"/>
        </w:rPr>
        <w:t>INDICI DEI PREZZI AL CONSU</w:t>
      </w:r>
      <w:r w:rsidR="00C17464" w:rsidRPr="00C8504B">
        <w:rPr>
          <w:rFonts w:cs="Calibri"/>
          <w:bCs/>
          <w:kern w:val="0"/>
        </w:rPr>
        <w:t>MO NIC PER CATEGORIE DI PRODOTTO</w:t>
      </w:r>
    </w:p>
    <w:p w:rsidR="00184B06" w:rsidRPr="00C8504B" w:rsidRDefault="00721178" w:rsidP="00184B06">
      <w:pPr>
        <w:pStyle w:val="001TitoGra"/>
        <w:spacing w:after="120" w:line="240" w:lineRule="auto"/>
        <w:rPr>
          <w:rFonts w:cs="Calibri"/>
          <w:b w:val="0"/>
          <w:kern w:val="0"/>
          <w:sz w:val="20"/>
          <w:szCs w:val="20"/>
        </w:rPr>
      </w:pPr>
      <w:r w:rsidRPr="00C8504B">
        <w:rPr>
          <w:rFonts w:cs="Calibri"/>
          <w:b w:val="0"/>
          <w:kern w:val="0"/>
          <w:sz w:val="20"/>
          <w:szCs w:val="20"/>
        </w:rPr>
        <w:t>Gennaio 201</w:t>
      </w:r>
      <w:r w:rsidR="00AB7F7A">
        <w:rPr>
          <w:rFonts w:cs="Calibri"/>
          <w:b w:val="0"/>
          <w:kern w:val="0"/>
          <w:sz w:val="20"/>
          <w:szCs w:val="20"/>
        </w:rPr>
        <w:t>8</w:t>
      </w:r>
      <w:r w:rsidRPr="00C8504B">
        <w:rPr>
          <w:rFonts w:cs="Calibri"/>
          <w:b w:val="0"/>
          <w:kern w:val="0"/>
          <w:sz w:val="20"/>
          <w:szCs w:val="20"/>
        </w:rPr>
        <w:t xml:space="preserve"> – </w:t>
      </w:r>
      <w:r w:rsidR="00F5157D">
        <w:rPr>
          <w:rFonts w:cs="Calibri"/>
          <w:b w:val="0"/>
          <w:kern w:val="0"/>
          <w:sz w:val="20"/>
          <w:szCs w:val="20"/>
        </w:rPr>
        <w:t>d</w:t>
      </w:r>
      <w:r w:rsidR="00F5157D" w:rsidRPr="00F5157D">
        <w:rPr>
          <w:rFonts w:cs="Calibri"/>
          <w:b w:val="0"/>
          <w:kern w:val="0"/>
          <w:sz w:val="20"/>
          <w:szCs w:val="20"/>
        </w:rPr>
        <w:t xml:space="preserve">icembre </w:t>
      </w:r>
      <w:r w:rsidR="009D5308">
        <w:rPr>
          <w:rFonts w:cs="Calibri"/>
          <w:b w:val="0"/>
          <w:kern w:val="0"/>
          <w:sz w:val="20"/>
          <w:szCs w:val="20"/>
        </w:rPr>
        <w:t>202</w:t>
      </w:r>
      <w:r w:rsidR="00AB7F7A">
        <w:rPr>
          <w:rFonts w:cs="Calibri"/>
          <w:b w:val="0"/>
          <w:kern w:val="0"/>
          <w:sz w:val="20"/>
          <w:szCs w:val="20"/>
        </w:rPr>
        <w:t>3</w:t>
      </w:r>
      <w:r w:rsidR="00184B06" w:rsidRPr="00C8504B">
        <w:rPr>
          <w:rFonts w:cs="Calibri"/>
          <w:b w:val="0"/>
          <w:kern w:val="0"/>
          <w:sz w:val="20"/>
          <w:szCs w:val="20"/>
        </w:rPr>
        <w:t>, variazioni percentuali tendenziali (base 2015=100)</w:t>
      </w:r>
    </w:p>
    <w:p w:rsidR="00AE0413" w:rsidRDefault="00CB5E7F" w:rsidP="006F3B14">
      <w:pPr>
        <w:widowControl/>
        <w:overflowPunct/>
        <w:autoSpaceDE/>
        <w:autoSpaceDN/>
        <w:adjustRightInd/>
        <w:spacing w:before="0" w:after="0"/>
        <w:rPr>
          <w:b/>
          <w:color w:val="E42618"/>
          <w:sz w:val="16"/>
          <w:szCs w:val="22"/>
        </w:rPr>
      </w:pPr>
      <w:r>
        <w:rPr>
          <w:b/>
          <w:noProof/>
          <w:color w:val="E42618"/>
          <w:sz w:val="22"/>
          <w:szCs w:val="22"/>
        </w:rPr>
        <w:drawing>
          <wp:inline distT="0" distB="0" distL="0" distR="0" wp14:anchorId="03D8D877">
            <wp:extent cx="6663690" cy="2158365"/>
            <wp:effectExtent l="0" t="0" r="381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3690" cy="2158365"/>
                    </a:xfrm>
                    <a:prstGeom prst="rect">
                      <a:avLst/>
                    </a:prstGeom>
                    <a:noFill/>
                  </pic:spPr>
                </pic:pic>
              </a:graphicData>
            </a:graphic>
          </wp:inline>
        </w:drawing>
      </w:r>
    </w:p>
    <w:p w:rsidR="00091327" w:rsidRDefault="00091327" w:rsidP="00091327">
      <w:pPr>
        <w:pStyle w:val="Corpotesto"/>
        <w:tabs>
          <w:tab w:val="left" w:pos="6237"/>
        </w:tabs>
        <w:spacing w:after="120" w:line="240" w:lineRule="exact"/>
        <w:jc w:val="both"/>
        <w:rPr>
          <w:rFonts w:ascii="Arial" w:hAnsi="Arial" w:cs="Arial"/>
          <w:iCs/>
          <w:sz w:val="21"/>
          <w:szCs w:val="21"/>
        </w:rPr>
      </w:pPr>
    </w:p>
    <w:p w:rsidR="00A1287A" w:rsidRDefault="00AE4283" w:rsidP="008C6D44">
      <w:pPr>
        <w:pStyle w:val="001SottotitoloGra"/>
        <w:spacing w:after="0" w:line="240" w:lineRule="auto"/>
        <w:jc w:val="both"/>
      </w:pPr>
      <w:r w:rsidRPr="00C8504B">
        <w:rPr>
          <w:b/>
          <w:color w:val="E42618"/>
          <w:sz w:val="22"/>
          <w:szCs w:val="22"/>
        </w:rPr>
        <w:t>FIGURA 4</w:t>
      </w:r>
      <w:r w:rsidRPr="00C8504B">
        <w:rPr>
          <w:b/>
          <w:color w:val="E42618"/>
        </w:rPr>
        <w:t>.</w:t>
      </w:r>
      <w:r w:rsidRPr="00C8504B">
        <w:rPr>
          <w:b/>
        </w:rPr>
        <w:t xml:space="preserve"> </w:t>
      </w:r>
      <w:r w:rsidR="00DA7A68" w:rsidRPr="00C8504B">
        <w:rPr>
          <w:rFonts w:cs="Calibri"/>
          <w:b/>
          <w:bCs/>
          <w:kern w:val="0"/>
          <w:sz w:val="22"/>
          <w:szCs w:val="22"/>
        </w:rPr>
        <w:t>INDICE</w:t>
      </w:r>
      <w:r w:rsidRPr="00C8504B">
        <w:rPr>
          <w:rFonts w:cs="Calibri"/>
          <w:b/>
          <w:bCs/>
          <w:kern w:val="0"/>
          <w:sz w:val="22"/>
          <w:szCs w:val="22"/>
        </w:rPr>
        <w:t xml:space="preserve"> DEI PREZZI AL CONSUMO </w:t>
      </w:r>
      <w:r w:rsidR="00DA7A68" w:rsidRPr="00C8504B">
        <w:rPr>
          <w:rFonts w:cs="Calibri"/>
          <w:b/>
          <w:bCs/>
          <w:kern w:val="0"/>
          <w:sz w:val="22"/>
          <w:szCs w:val="22"/>
        </w:rPr>
        <w:t>NIC, CONTRIBUTI ALLA VARIAZIONE PERCENTUALE TENDENZIALE PER TIPOLOGIA DI PRODOTTO</w:t>
      </w:r>
      <w:r w:rsidR="008C6D44">
        <w:rPr>
          <w:rFonts w:cs="Calibri"/>
          <w:b/>
          <w:bCs/>
          <w:kern w:val="0"/>
          <w:sz w:val="22"/>
          <w:szCs w:val="22"/>
        </w:rPr>
        <w:t xml:space="preserve">. </w:t>
      </w:r>
      <w:r w:rsidR="00F5157D" w:rsidRPr="00F5157D">
        <w:t xml:space="preserve">Dicembre </w:t>
      </w:r>
      <w:r w:rsidR="009D5308">
        <w:t>202</w:t>
      </w:r>
      <w:r w:rsidR="00F14742">
        <w:t>3</w:t>
      </w:r>
      <w:r w:rsidR="00E936E1" w:rsidRPr="00C8504B">
        <w:t>, punti percentuali</w:t>
      </w:r>
      <w:r w:rsidR="00DD1837" w:rsidRPr="00C8504B">
        <w:t xml:space="preserve"> </w:t>
      </w:r>
    </w:p>
    <w:p w:rsidR="00E91408" w:rsidRDefault="00FE40DB" w:rsidP="009A2962">
      <w:pPr>
        <w:pStyle w:val="001SottotitoloGra"/>
        <w:spacing w:line="240" w:lineRule="auto"/>
        <w:jc w:val="both"/>
        <w:rPr>
          <w:rFonts w:ascii="Calibri" w:hAnsi="Calibri"/>
          <w:b/>
          <w:bCs/>
          <w:caps/>
          <w:color w:val="000000"/>
          <w:kern w:val="32"/>
          <w:sz w:val="26"/>
          <w:szCs w:val="26"/>
        </w:rPr>
      </w:pPr>
      <w:r>
        <w:rPr>
          <w:rFonts w:ascii="Calibri" w:hAnsi="Calibri"/>
          <w:b/>
          <w:bCs/>
          <w:caps/>
          <w:noProof/>
          <w:color w:val="000000"/>
          <w:kern w:val="32"/>
          <w:sz w:val="26"/>
          <w:szCs w:val="26"/>
        </w:rPr>
        <w:drawing>
          <wp:inline distT="0" distB="0" distL="0" distR="0" wp14:anchorId="08FB8389">
            <wp:extent cx="6663690" cy="2158365"/>
            <wp:effectExtent l="0" t="0" r="381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3690" cy="2158365"/>
                    </a:xfrm>
                    <a:prstGeom prst="rect">
                      <a:avLst/>
                    </a:prstGeom>
                    <a:noFill/>
                  </pic:spPr>
                </pic:pic>
              </a:graphicData>
            </a:graphic>
          </wp:inline>
        </w:drawing>
      </w:r>
    </w:p>
    <w:p w:rsidR="00300368" w:rsidRDefault="00300368" w:rsidP="00300368">
      <w:pPr>
        <w:spacing w:before="0" w:after="120"/>
        <w:rPr>
          <w:szCs w:val="26"/>
        </w:rPr>
      </w:pPr>
    </w:p>
    <w:p w:rsidR="00B32C69" w:rsidRPr="00C8504B" w:rsidRDefault="00B32C69" w:rsidP="00BD0487">
      <w:pPr>
        <w:pStyle w:val="001TitoloBolocco"/>
        <w:spacing w:after="120" w:line="240" w:lineRule="auto"/>
        <w:rPr>
          <w:szCs w:val="26"/>
        </w:rPr>
      </w:pPr>
      <w:r w:rsidRPr="00C8504B">
        <w:rPr>
          <w:szCs w:val="26"/>
        </w:rPr>
        <w:t>I BENI E I SERVIZI REGOLAMENTATI</w:t>
      </w:r>
    </w:p>
    <w:p w:rsidR="00B87271" w:rsidRPr="00C8504B" w:rsidRDefault="00B87271" w:rsidP="00EE2474">
      <w:pPr>
        <w:widowControl/>
        <w:tabs>
          <w:tab w:val="left" w:pos="2041"/>
        </w:tabs>
        <w:overflowPunct/>
        <w:autoSpaceDE/>
        <w:autoSpaceDN/>
        <w:adjustRightInd/>
        <w:spacing w:before="0" w:after="120"/>
        <w:jc w:val="both"/>
        <w:rPr>
          <w:rFonts w:ascii="Arial Narrow" w:hAnsi="Arial Narrow" w:cs="Arial"/>
          <w:b/>
          <w:color w:val="E42618"/>
          <w:sz w:val="22"/>
          <w:szCs w:val="22"/>
        </w:rPr>
      </w:pPr>
    </w:p>
    <w:p w:rsidR="00045623" w:rsidRPr="00C8504B" w:rsidRDefault="00EE2474" w:rsidP="00045623">
      <w:pPr>
        <w:widowControl/>
        <w:tabs>
          <w:tab w:val="left" w:pos="2041"/>
        </w:tabs>
        <w:overflowPunct/>
        <w:autoSpaceDE/>
        <w:autoSpaceDN/>
        <w:adjustRightInd/>
        <w:spacing w:before="0" w:after="120"/>
        <w:jc w:val="both"/>
        <w:rPr>
          <w:rFonts w:ascii="Arial Narrow" w:hAnsi="Arial Narrow" w:cs="Arial"/>
          <w:color w:val="5F5F5F"/>
        </w:rPr>
      </w:pPr>
      <w:r w:rsidRPr="00C8504B">
        <w:rPr>
          <w:rFonts w:ascii="Arial Narrow" w:hAnsi="Arial Narrow" w:cs="Arial"/>
          <w:b/>
          <w:color w:val="E42618"/>
          <w:sz w:val="22"/>
          <w:szCs w:val="22"/>
        </w:rPr>
        <w:t xml:space="preserve">PROSPETTO </w:t>
      </w:r>
      <w:r w:rsidR="00E74721" w:rsidRPr="00C8504B">
        <w:rPr>
          <w:rFonts w:ascii="Arial Narrow" w:hAnsi="Arial Narrow" w:cs="Arial"/>
          <w:b/>
          <w:color w:val="E42618"/>
          <w:sz w:val="22"/>
          <w:szCs w:val="22"/>
        </w:rPr>
        <w:t>4</w:t>
      </w:r>
      <w:r w:rsidRPr="00C8504B">
        <w:rPr>
          <w:rFonts w:ascii="Arial Narrow" w:hAnsi="Arial Narrow" w:cs="Arial"/>
          <w:b/>
          <w:color w:val="E42618"/>
          <w:sz w:val="22"/>
          <w:szCs w:val="22"/>
        </w:rPr>
        <w:t>.</w:t>
      </w:r>
      <w:r w:rsidRPr="00C8504B">
        <w:rPr>
          <w:rFonts w:ascii="Arial Narrow" w:hAnsi="Arial Narrow" w:cs="Arial"/>
          <w:b/>
          <w:color w:val="5F5F5F"/>
        </w:rPr>
        <w:t xml:space="preserve"> </w:t>
      </w:r>
      <w:r w:rsidRPr="00C8504B">
        <w:rPr>
          <w:rFonts w:ascii="Arial Narrow" w:hAnsi="Arial Narrow" w:cs="Calibri"/>
          <w:b/>
          <w:bCs/>
          <w:color w:val="5F5F5F"/>
          <w:kern w:val="0"/>
          <w:sz w:val="22"/>
          <w:szCs w:val="22"/>
        </w:rPr>
        <w:t>I</w:t>
      </w:r>
      <w:r w:rsidR="00C55B4B" w:rsidRPr="00C8504B">
        <w:rPr>
          <w:rFonts w:ascii="Arial Narrow" w:hAnsi="Arial Narrow" w:cs="Calibri"/>
          <w:b/>
          <w:bCs/>
          <w:color w:val="5F5F5F"/>
          <w:kern w:val="0"/>
          <w:sz w:val="22"/>
          <w:szCs w:val="22"/>
        </w:rPr>
        <w:t>NDICI DEI PREZZI AL CONSUMO NIC</w:t>
      </w:r>
      <w:r w:rsidRPr="00C8504B">
        <w:rPr>
          <w:rFonts w:ascii="Arial Narrow" w:hAnsi="Arial Narrow" w:cs="Calibri"/>
          <w:b/>
          <w:bCs/>
          <w:color w:val="5F5F5F"/>
          <w:kern w:val="0"/>
          <w:sz w:val="22"/>
          <w:szCs w:val="22"/>
        </w:rPr>
        <w:t xml:space="preserve"> PER BENI E SERVIZI REGOLAMENTATI E NON REGOLAMENTATI</w:t>
      </w:r>
      <w:r w:rsidR="00625F9C" w:rsidRPr="00C8504B">
        <w:rPr>
          <w:rFonts w:ascii="Arial Narrow" w:hAnsi="Arial Narrow" w:cs="Arial"/>
          <w:b/>
          <w:color w:val="5F5F5F"/>
          <w:sz w:val="22"/>
          <w:szCs w:val="22"/>
        </w:rPr>
        <w:br/>
      </w:r>
      <w:r w:rsidR="00F5157D" w:rsidRPr="00F5157D">
        <w:rPr>
          <w:rFonts w:ascii="Arial Narrow" w:hAnsi="Arial Narrow" w:cs="Arial"/>
          <w:color w:val="5F5F5F"/>
        </w:rPr>
        <w:t xml:space="preserve">Dicembre </w:t>
      </w:r>
      <w:r w:rsidR="00C22CD0">
        <w:rPr>
          <w:rFonts w:ascii="Arial Narrow" w:hAnsi="Arial Narrow" w:cs="Arial"/>
          <w:color w:val="5F5F5F"/>
        </w:rPr>
        <w:t>2023</w:t>
      </w:r>
      <w:r w:rsidRPr="00C8504B">
        <w:rPr>
          <w:rFonts w:ascii="Arial Narrow" w:hAnsi="Arial Narrow" w:cs="Arial"/>
          <w:color w:val="5F5F5F"/>
        </w:rPr>
        <w:t xml:space="preserve">, pesi, variazioni </w:t>
      </w:r>
      <w:r w:rsidR="00625F9C" w:rsidRPr="00C8504B">
        <w:rPr>
          <w:rFonts w:ascii="Arial Narrow" w:hAnsi="Arial Narrow" w:cs="Arial"/>
          <w:color w:val="5F5F5F"/>
        </w:rPr>
        <w:t xml:space="preserve">percentuali congiunturali e tendenziali </w:t>
      </w:r>
      <w:r w:rsidRPr="00C8504B">
        <w:rPr>
          <w:rFonts w:ascii="Arial Narrow" w:hAnsi="Arial Narrow" w:cs="Arial"/>
          <w:color w:val="5F5F5F"/>
        </w:rPr>
        <w:t xml:space="preserve">e contributi alla variazione tendenziale dell’indice generale </w:t>
      </w:r>
      <w:r w:rsidR="00D95F90">
        <w:rPr>
          <w:rFonts w:ascii="Arial Narrow" w:hAnsi="Arial Narrow" w:cs="Arial"/>
          <w:color w:val="5F5F5F"/>
        </w:rPr>
        <w:t xml:space="preserve">                      </w:t>
      </w:r>
      <w:r w:rsidRPr="00C8504B">
        <w:rPr>
          <w:rFonts w:ascii="Arial Narrow" w:hAnsi="Arial Narrow" w:cs="Arial"/>
          <w:color w:val="5F5F5F"/>
        </w:rPr>
        <w:t xml:space="preserve">(base 2015=100) </w:t>
      </w:r>
    </w:p>
    <w:tbl>
      <w:tblPr>
        <w:tblW w:w="10205" w:type="dxa"/>
        <w:tblInd w:w="70" w:type="dxa"/>
        <w:tblBorders>
          <w:top w:val="single" w:sz="4" w:space="0" w:color="auto"/>
          <w:bottom w:val="single" w:sz="4" w:space="0" w:color="auto"/>
          <w:insideH w:val="single" w:sz="4" w:space="0" w:color="auto"/>
        </w:tblBorders>
        <w:tblCellMar>
          <w:left w:w="70" w:type="dxa"/>
          <w:right w:w="0" w:type="dxa"/>
        </w:tblCellMar>
        <w:tblLook w:val="0000" w:firstRow="0" w:lastRow="0" w:firstColumn="0" w:lastColumn="0" w:noHBand="0" w:noVBand="0"/>
      </w:tblPr>
      <w:tblGrid>
        <w:gridCol w:w="2403"/>
        <w:gridCol w:w="1172"/>
        <w:gridCol w:w="1005"/>
        <w:gridCol w:w="997"/>
        <w:gridCol w:w="996"/>
        <w:gridCol w:w="886"/>
        <w:gridCol w:w="1002"/>
        <w:gridCol w:w="872"/>
        <w:gridCol w:w="872"/>
      </w:tblGrid>
      <w:tr w:rsidR="00271002" w:rsidRPr="00C8504B" w:rsidTr="00ED16FD">
        <w:trPr>
          <w:trHeight w:val="347"/>
        </w:trPr>
        <w:tc>
          <w:tcPr>
            <w:tcW w:w="2403" w:type="dxa"/>
            <w:vMerge w:val="restart"/>
            <w:vAlign w:val="center"/>
          </w:tcPr>
          <w:p w:rsidR="00271002" w:rsidRPr="00C8504B" w:rsidRDefault="00271002" w:rsidP="00F527D6">
            <w:pPr>
              <w:spacing w:before="40" w:after="20"/>
              <w:ind w:left="-57"/>
              <w:rPr>
                <w:rFonts w:ascii="Arial Narrow" w:hAnsi="Arial Narrow" w:cs="Arial"/>
                <w:b/>
                <w:bCs/>
                <w:sz w:val="18"/>
                <w:szCs w:val="18"/>
              </w:rPr>
            </w:pPr>
            <w:r w:rsidRPr="00C8504B">
              <w:rPr>
                <w:rFonts w:ascii="Arial Narrow" w:hAnsi="Arial Narrow" w:cs="Arial"/>
                <w:b/>
                <w:bCs/>
                <w:sz w:val="18"/>
                <w:szCs w:val="18"/>
              </w:rPr>
              <w:t>TIPOLOGIE DI PRODOTTO</w:t>
            </w:r>
          </w:p>
        </w:tc>
        <w:tc>
          <w:tcPr>
            <w:tcW w:w="1172" w:type="dxa"/>
            <w:vMerge w:val="restart"/>
            <w:shd w:val="clear" w:color="auto" w:fill="D9D9D9"/>
            <w:vAlign w:val="center"/>
          </w:tcPr>
          <w:p w:rsidR="00271002" w:rsidRPr="00C8504B" w:rsidRDefault="00271002" w:rsidP="00F527D6">
            <w:pPr>
              <w:spacing w:before="40" w:after="20"/>
              <w:ind w:left="-57" w:right="57"/>
              <w:jc w:val="right"/>
              <w:rPr>
                <w:rFonts w:ascii="Arial Narrow" w:hAnsi="Arial Narrow" w:cs="Arial"/>
                <w:b/>
                <w:bCs/>
                <w:sz w:val="18"/>
                <w:szCs w:val="18"/>
              </w:rPr>
            </w:pPr>
            <w:r w:rsidRPr="00C8504B">
              <w:rPr>
                <w:rFonts w:ascii="Arial Narrow" w:hAnsi="Arial Narrow" w:cs="Arial"/>
                <w:b/>
                <w:bCs/>
                <w:sz w:val="18"/>
                <w:szCs w:val="18"/>
              </w:rPr>
              <w:t>Pesi</w:t>
            </w:r>
          </w:p>
        </w:tc>
        <w:tc>
          <w:tcPr>
            <w:tcW w:w="2002" w:type="dxa"/>
            <w:gridSpan w:val="2"/>
            <w:shd w:val="clear" w:color="auto" w:fill="auto"/>
            <w:vAlign w:val="center"/>
          </w:tcPr>
          <w:p w:rsidR="00271002" w:rsidRPr="00C8504B" w:rsidRDefault="00271002" w:rsidP="00F527D6">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congiunturali</w:t>
            </w:r>
          </w:p>
        </w:tc>
        <w:tc>
          <w:tcPr>
            <w:tcW w:w="1882" w:type="dxa"/>
            <w:gridSpan w:val="2"/>
            <w:shd w:val="clear" w:color="auto" w:fill="D9D9D9"/>
            <w:vAlign w:val="center"/>
          </w:tcPr>
          <w:p w:rsidR="00271002" w:rsidRPr="00C8504B" w:rsidRDefault="00271002" w:rsidP="00F527D6">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tendenziali</w:t>
            </w:r>
          </w:p>
        </w:tc>
        <w:tc>
          <w:tcPr>
            <w:tcW w:w="1002" w:type="dxa"/>
            <w:vMerge w:val="restart"/>
            <w:shd w:val="clear" w:color="auto" w:fill="auto"/>
            <w:vAlign w:val="center"/>
          </w:tcPr>
          <w:p w:rsidR="00271002" w:rsidRPr="00C8504B" w:rsidRDefault="00271002" w:rsidP="008C6D44">
            <w:pPr>
              <w:spacing w:before="40" w:after="20"/>
              <w:ind w:left="-46" w:right="57"/>
              <w:jc w:val="right"/>
              <w:rPr>
                <w:rFonts w:ascii="Arial Narrow" w:hAnsi="Arial Narrow" w:cs="Arial"/>
                <w:sz w:val="18"/>
                <w:szCs w:val="18"/>
                <w:highlight w:val="yellow"/>
              </w:rPr>
            </w:pPr>
            <w:r w:rsidRPr="00C8504B">
              <w:rPr>
                <w:rFonts w:ascii="Arial Narrow" w:hAnsi="Arial Narrow" w:cs="Arial"/>
                <w:b/>
                <w:bCs/>
                <w:snapToGrid w:val="0"/>
                <w:sz w:val="18"/>
                <w:szCs w:val="18"/>
              </w:rPr>
              <w:t>Contributo</w:t>
            </w:r>
            <w:r w:rsidRPr="00C8504B">
              <w:rPr>
                <w:rFonts w:ascii="Arial Narrow" w:hAnsi="Arial Narrow" w:cs="Arial"/>
                <w:b/>
                <w:bCs/>
                <w:snapToGrid w:val="0"/>
                <w:sz w:val="18"/>
                <w:szCs w:val="18"/>
              </w:rPr>
              <w:br/>
              <w:t xml:space="preserve">variazione su </w:t>
            </w:r>
            <w:r w:rsidR="00BA6AB7">
              <w:rPr>
                <w:rFonts w:ascii="Arial Narrow" w:hAnsi="Arial Narrow" w:cs="Arial"/>
                <w:b/>
                <w:bCs/>
                <w:snapToGrid w:val="0"/>
                <w:sz w:val="18"/>
                <w:szCs w:val="18"/>
              </w:rPr>
              <w:t>dic</w:t>
            </w:r>
            <w:r w:rsidR="004D03D9">
              <w:rPr>
                <w:rFonts w:ascii="Arial Narrow" w:hAnsi="Arial Narrow" w:cs="Arial"/>
                <w:b/>
                <w:bCs/>
                <w:snapToGrid w:val="0"/>
                <w:sz w:val="18"/>
                <w:szCs w:val="18"/>
              </w:rPr>
              <w:t>-2</w:t>
            </w:r>
            <w:r w:rsidR="00C22CD0">
              <w:rPr>
                <w:rFonts w:ascii="Arial Narrow" w:hAnsi="Arial Narrow" w:cs="Arial"/>
                <w:b/>
                <w:bCs/>
                <w:snapToGrid w:val="0"/>
                <w:sz w:val="18"/>
                <w:szCs w:val="18"/>
              </w:rPr>
              <w:t>2</w:t>
            </w:r>
          </w:p>
        </w:tc>
        <w:tc>
          <w:tcPr>
            <w:tcW w:w="1744" w:type="dxa"/>
            <w:gridSpan w:val="2"/>
            <w:shd w:val="clear" w:color="auto" w:fill="D9D9D9" w:themeFill="background1" w:themeFillShade="D9"/>
            <w:vAlign w:val="center"/>
          </w:tcPr>
          <w:p w:rsidR="00271002" w:rsidRPr="00C8504B" w:rsidRDefault="00790526" w:rsidP="00BA6AB7">
            <w:pPr>
              <w:spacing w:before="40" w:after="20"/>
              <w:ind w:left="-46" w:right="57"/>
              <w:jc w:val="center"/>
              <w:rPr>
                <w:rFonts w:ascii="Arial Narrow" w:hAnsi="Arial Narrow" w:cs="Arial"/>
                <w:b/>
                <w:bCs/>
                <w:snapToGrid w:val="0"/>
                <w:sz w:val="18"/>
                <w:szCs w:val="18"/>
              </w:rPr>
            </w:pPr>
            <w:r>
              <w:rPr>
                <w:rFonts w:ascii="Arial Narrow" w:hAnsi="Arial Narrow" w:cs="Arial"/>
                <w:b/>
                <w:bCs/>
                <w:kern w:val="0"/>
                <w:sz w:val="18"/>
                <w:szCs w:val="18"/>
              </w:rPr>
              <w:t>V</w:t>
            </w:r>
            <w:r w:rsidRPr="00E35895">
              <w:rPr>
                <w:rFonts w:ascii="Arial Narrow" w:hAnsi="Arial Narrow" w:cs="Arial"/>
                <w:b/>
                <w:bCs/>
                <w:kern w:val="0"/>
                <w:sz w:val="18"/>
                <w:szCs w:val="18"/>
              </w:rPr>
              <w:t>ariazioni medi</w:t>
            </w:r>
            <w:r>
              <w:rPr>
                <w:rFonts w:ascii="Arial Narrow" w:hAnsi="Arial Narrow" w:cs="Arial"/>
                <w:b/>
                <w:bCs/>
                <w:kern w:val="0"/>
                <w:sz w:val="18"/>
                <w:szCs w:val="18"/>
              </w:rPr>
              <w:t>e</w:t>
            </w:r>
          </w:p>
        </w:tc>
      </w:tr>
      <w:tr w:rsidR="008B07E9" w:rsidRPr="00C8504B" w:rsidTr="0046332B">
        <w:trPr>
          <w:trHeight w:val="346"/>
        </w:trPr>
        <w:tc>
          <w:tcPr>
            <w:tcW w:w="2403" w:type="dxa"/>
            <w:vMerge/>
            <w:vAlign w:val="center"/>
          </w:tcPr>
          <w:p w:rsidR="008B07E9" w:rsidRPr="00C8504B" w:rsidRDefault="008B07E9" w:rsidP="008B07E9">
            <w:pPr>
              <w:spacing w:before="40" w:after="20"/>
              <w:ind w:left="-57"/>
              <w:rPr>
                <w:rFonts w:ascii="Arial Narrow" w:hAnsi="Arial Narrow" w:cs="Arial"/>
                <w:b/>
                <w:bCs/>
                <w:sz w:val="18"/>
                <w:szCs w:val="18"/>
              </w:rPr>
            </w:pPr>
          </w:p>
        </w:tc>
        <w:tc>
          <w:tcPr>
            <w:tcW w:w="1172" w:type="dxa"/>
            <w:vMerge/>
            <w:shd w:val="clear" w:color="auto" w:fill="D9D9D9"/>
            <w:vAlign w:val="center"/>
          </w:tcPr>
          <w:p w:rsidR="008B07E9" w:rsidRPr="00C8504B" w:rsidRDefault="008B07E9" w:rsidP="008B07E9">
            <w:pPr>
              <w:spacing w:before="40" w:after="20"/>
              <w:ind w:left="-57" w:right="57"/>
              <w:jc w:val="right"/>
              <w:rPr>
                <w:rFonts w:ascii="Arial Narrow" w:hAnsi="Arial Narrow" w:cs="Arial"/>
                <w:b/>
                <w:bCs/>
                <w:sz w:val="18"/>
                <w:szCs w:val="18"/>
              </w:rPr>
            </w:pPr>
          </w:p>
        </w:tc>
        <w:tc>
          <w:tcPr>
            <w:tcW w:w="1005" w:type="dxa"/>
            <w:shd w:val="clear" w:color="auto" w:fill="auto"/>
            <w:vAlign w:val="center"/>
          </w:tcPr>
          <w:p w:rsidR="008B07E9" w:rsidRDefault="008B07E9"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dic-2</w:t>
            </w:r>
            <w:r w:rsidR="00C22CD0">
              <w:rPr>
                <w:rFonts w:ascii="Arial Narrow" w:hAnsi="Arial Narrow" w:cs="Arial"/>
                <w:kern w:val="0"/>
                <w:sz w:val="18"/>
                <w:szCs w:val="18"/>
                <w:u w:val="single"/>
              </w:rPr>
              <w:t>3</w:t>
            </w:r>
          </w:p>
          <w:p w:rsidR="008B07E9" w:rsidRPr="00E03E58" w:rsidRDefault="00C22CD0" w:rsidP="008B07E9">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nov-23</w:t>
            </w:r>
          </w:p>
        </w:tc>
        <w:tc>
          <w:tcPr>
            <w:tcW w:w="997" w:type="dxa"/>
            <w:shd w:val="clear" w:color="auto" w:fill="auto"/>
            <w:vAlign w:val="center"/>
          </w:tcPr>
          <w:p w:rsidR="008B07E9" w:rsidRDefault="008B07E9"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dic-2</w:t>
            </w:r>
            <w:r w:rsidR="00C22CD0">
              <w:rPr>
                <w:rFonts w:ascii="Arial Narrow" w:hAnsi="Arial Narrow" w:cs="Arial"/>
                <w:kern w:val="0"/>
                <w:sz w:val="18"/>
                <w:szCs w:val="18"/>
                <w:u w:val="single"/>
              </w:rPr>
              <w:t>2</w:t>
            </w:r>
          </w:p>
          <w:p w:rsidR="008B07E9" w:rsidRPr="008814F3" w:rsidRDefault="00C22CD0"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nov-22</w:t>
            </w:r>
          </w:p>
        </w:tc>
        <w:tc>
          <w:tcPr>
            <w:tcW w:w="996" w:type="dxa"/>
            <w:shd w:val="clear" w:color="auto" w:fill="auto"/>
            <w:vAlign w:val="center"/>
          </w:tcPr>
          <w:p w:rsidR="008B07E9" w:rsidRDefault="00C22CD0"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dic-23</w:t>
            </w:r>
          </w:p>
          <w:p w:rsidR="008B07E9" w:rsidRPr="008814F3" w:rsidRDefault="00C22CD0"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dic-22</w:t>
            </w:r>
          </w:p>
        </w:tc>
        <w:tc>
          <w:tcPr>
            <w:tcW w:w="886" w:type="dxa"/>
            <w:shd w:val="clear" w:color="auto" w:fill="auto"/>
            <w:vAlign w:val="center"/>
          </w:tcPr>
          <w:p w:rsidR="008B07E9" w:rsidRDefault="00C22CD0"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nov-23</w:t>
            </w:r>
          </w:p>
          <w:p w:rsidR="008B07E9" w:rsidRPr="008814F3" w:rsidRDefault="00C22CD0"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nov-22</w:t>
            </w:r>
          </w:p>
        </w:tc>
        <w:tc>
          <w:tcPr>
            <w:tcW w:w="1002" w:type="dxa"/>
            <w:vMerge/>
            <w:shd w:val="clear" w:color="auto" w:fill="auto"/>
            <w:vAlign w:val="center"/>
          </w:tcPr>
          <w:p w:rsidR="008B07E9" w:rsidRPr="00C8504B" w:rsidRDefault="008B07E9" w:rsidP="008B07E9">
            <w:pPr>
              <w:spacing w:before="40" w:after="20"/>
              <w:ind w:left="-46" w:right="57"/>
              <w:jc w:val="right"/>
              <w:rPr>
                <w:rFonts w:ascii="Arial Narrow" w:hAnsi="Arial Narrow" w:cs="Arial"/>
                <w:b/>
                <w:bCs/>
                <w:snapToGrid w:val="0"/>
                <w:sz w:val="18"/>
                <w:szCs w:val="18"/>
              </w:rPr>
            </w:pPr>
          </w:p>
        </w:tc>
        <w:tc>
          <w:tcPr>
            <w:tcW w:w="872" w:type="dxa"/>
            <w:vAlign w:val="center"/>
          </w:tcPr>
          <w:p w:rsidR="008B07E9" w:rsidRDefault="008B07E9"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202</w:t>
            </w:r>
            <w:r w:rsidR="00C22CD0">
              <w:rPr>
                <w:rFonts w:ascii="Arial Narrow" w:hAnsi="Arial Narrow" w:cs="Arial"/>
                <w:kern w:val="0"/>
                <w:sz w:val="18"/>
                <w:szCs w:val="18"/>
                <w:u w:val="single"/>
              </w:rPr>
              <w:t>3</w:t>
            </w:r>
          </w:p>
          <w:p w:rsidR="008B07E9" w:rsidRPr="008814F3" w:rsidRDefault="008B07E9" w:rsidP="00C22CD0">
            <w:pPr>
              <w:widowControl/>
              <w:overflowPunct/>
              <w:autoSpaceDE/>
              <w:autoSpaceDN/>
              <w:adjustRightInd/>
              <w:spacing w:before="0" w:after="0"/>
              <w:ind w:right="57"/>
              <w:jc w:val="right"/>
              <w:rPr>
                <w:rFonts w:ascii="Arial Narrow" w:hAnsi="Arial Narrow" w:cs="Arial"/>
                <w:b/>
                <w:bCs/>
                <w:kern w:val="0"/>
                <w:sz w:val="18"/>
                <w:szCs w:val="18"/>
              </w:rPr>
            </w:pPr>
            <w:r>
              <w:rPr>
                <w:rFonts w:ascii="Arial Narrow" w:hAnsi="Arial Narrow" w:cs="Arial"/>
                <w:kern w:val="0"/>
                <w:sz w:val="18"/>
                <w:szCs w:val="18"/>
              </w:rPr>
              <w:t>202</w:t>
            </w:r>
            <w:r w:rsidR="00C22CD0">
              <w:rPr>
                <w:rFonts w:ascii="Arial Narrow" w:hAnsi="Arial Narrow" w:cs="Arial"/>
                <w:kern w:val="0"/>
                <w:sz w:val="18"/>
                <w:szCs w:val="18"/>
              </w:rPr>
              <w:t>2</w:t>
            </w:r>
          </w:p>
        </w:tc>
        <w:tc>
          <w:tcPr>
            <w:tcW w:w="872" w:type="dxa"/>
            <w:vAlign w:val="center"/>
          </w:tcPr>
          <w:p w:rsidR="008B07E9" w:rsidRDefault="008B07E9"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202</w:t>
            </w:r>
            <w:r w:rsidR="00C22CD0">
              <w:rPr>
                <w:rFonts w:ascii="Arial Narrow" w:hAnsi="Arial Narrow" w:cs="Arial"/>
                <w:kern w:val="0"/>
                <w:sz w:val="18"/>
                <w:szCs w:val="18"/>
                <w:u w:val="single"/>
              </w:rPr>
              <w:t>2</w:t>
            </w:r>
          </w:p>
          <w:p w:rsidR="008B07E9" w:rsidRPr="008814F3" w:rsidRDefault="008B07E9" w:rsidP="00C22CD0">
            <w:pPr>
              <w:widowControl/>
              <w:overflowPunct/>
              <w:autoSpaceDE/>
              <w:autoSpaceDN/>
              <w:adjustRightInd/>
              <w:spacing w:before="0" w:after="0"/>
              <w:ind w:right="57"/>
              <w:jc w:val="right"/>
              <w:rPr>
                <w:rFonts w:ascii="Arial Narrow" w:hAnsi="Arial Narrow" w:cs="Arial"/>
                <w:b/>
                <w:bCs/>
                <w:kern w:val="0"/>
                <w:sz w:val="18"/>
                <w:szCs w:val="18"/>
              </w:rPr>
            </w:pPr>
            <w:r>
              <w:rPr>
                <w:rFonts w:ascii="Arial Narrow" w:hAnsi="Arial Narrow" w:cs="Arial"/>
                <w:kern w:val="0"/>
                <w:sz w:val="18"/>
                <w:szCs w:val="18"/>
              </w:rPr>
              <w:t>202</w:t>
            </w:r>
            <w:r w:rsidR="00C22CD0">
              <w:rPr>
                <w:rFonts w:ascii="Arial Narrow" w:hAnsi="Arial Narrow" w:cs="Arial"/>
                <w:kern w:val="0"/>
                <w:sz w:val="18"/>
                <w:szCs w:val="18"/>
              </w:rPr>
              <w:t>1</w:t>
            </w:r>
          </w:p>
        </w:tc>
      </w:tr>
      <w:tr w:rsidR="00FA2D5B" w:rsidRPr="00C8504B" w:rsidTr="00596941">
        <w:trPr>
          <w:trHeight w:val="255"/>
        </w:trPr>
        <w:tc>
          <w:tcPr>
            <w:tcW w:w="2403" w:type="dxa"/>
            <w:vAlign w:val="center"/>
          </w:tcPr>
          <w:p w:rsidR="00FA2D5B" w:rsidRPr="00C8504B" w:rsidRDefault="00FA2D5B" w:rsidP="00FA2D5B">
            <w:pPr>
              <w:spacing w:before="40" w:after="20"/>
              <w:ind w:left="-57"/>
              <w:rPr>
                <w:rFonts w:ascii="Arial Narrow" w:hAnsi="Arial Narrow" w:cs="Arial"/>
                <w:sz w:val="18"/>
                <w:szCs w:val="18"/>
              </w:rPr>
            </w:pPr>
            <w:r w:rsidRPr="00C8504B">
              <w:rPr>
                <w:rFonts w:ascii="Arial Narrow" w:hAnsi="Arial Narrow" w:cs="Arial"/>
                <w:sz w:val="18"/>
                <w:szCs w:val="18"/>
              </w:rPr>
              <w:t>Beni non regolamentati</w:t>
            </w:r>
          </w:p>
        </w:tc>
        <w:tc>
          <w:tcPr>
            <w:tcW w:w="1172" w:type="dxa"/>
            <w:shd w:val="clear" w:color="auto" w:fill="D9D9D9"/>
            <w:vAlign w:val="bottom"/>
          </w:tcPr>
          <w:p w:rsidR="00FA2D5B" w:rsidRPr="005600D2" w:rsidRDefault="00FA2D5B" w:rsidP="00FA2D5B">
            <w:pPr>
              <w:spacing w:before="40" w:after="20"/>
              <w:ind w:left="-57" w:right="57"/>
              <w:jc w:val="right"/>
              <w:rPr>
                <w:rFonts w:ascii="Arial Narrow" w:hAnsi="Arial Narrow" w:cs="Arial"/>
                <w:sz w:val="18"/>
                <w:szCs w:val="18"/>
              </w:rPr>
            </w:pPr>
            <w:r w:rsidRPr="005600D2">
              <w:rPr>
                <w:rFonts w:ascii="Arial Narrow" w:hAnsi="Arial Narrow" w:cs="Arial"/>
                <w:sz w:val="18"/>
                <w:szCs w:val="18"/>
              </w:rPr>
              <w:t>536.943</w:t>
            </w:r>
          </w:p>
        </w:tc>
        <w:tc>
          <w:tcPr>
            <w:tcW w:w="1005" w:type="dxa"/>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0,0</w:t>
            </w:r>
          </w:p>
        </w:tc>
        <w:tc>
          <w:tcPr>
            <w:tcW w:w="997" w:type="dxa"/>
            <w:shd w:val="clear" w:color="auto" w:fill="D9D9D9"/>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-0,4</w:t>
            </w:r>
          </w:p>
        </w:tc>
        <w:tc>
          <w:tcPr>
            <w:tcW w:w="996" w:type="dxa"/>
            <w:shd w:val="clear" w:color="auto" w:fill="auto"/>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-0,2</w:t>
            </w:r>
          </w:p>
        </w:tc>
        <w:tc>
          <w:tcPr>
            <w:tcW w:w="886" w:type="dxa"/>
            <w:shd w:val="clear" w:color="auto" w:fill="D9D9D9"/>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-0,6</w:t>
            </w:r>
          </w:p>
        </w:tc>
        <w:tc>
          <w:tcPr>
            <w:tcW w:w="1002" w:type="dxa"/>
            <w:shd w:val="clear" w:color="auto" w:fill="auto"/>
            <w:vAlign w:val="bottom"/>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-0,157</w:t>
            </w:r>
          </w:p>
        </w:tc>
        <w:tc>
          <w:tcPr>
            <w:tcW w:w="872" w:type="dxa"/>
            <w:shd w:val="clear" w:color="auto" w:fill="D9D9D9" w:themeFill="background1" w:themeFillShade="D9"/>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+7,4</w:t>
            </w:r>
          </w:p>
        </w:tc>
        <w:tc>
          <w:tcPr>
            <w:tcW w:w="872" w:type="dxa"/>
            <w:vAlign w:val="center"/>
          </w:tcPr>
          <w:p w:rsidR="00FA2D5B" w:rsidRPr="009D5308" w:rsidRDefault="00FA2D5B" w:rsidP="00FA2D5B">
            <w:pPr>
              <w:spacing w:before="40" w:after="20"/>
              <w:ind w:left="-57" w:right="57"/>
              <w:jc w:val="right"/>
              <w:rPr>
                <w:rFonts w:ascii="Arial Narrow" w:hAnsi="Arial Narrow" w:cs="Arial"/>
                <w:sz w:val="18"/>
                <w:szCs w:val="18"/>
              </w:rPr>
            </w:pPr>
            <w:r>
              <w:rPr>
                <w:rFonts w:ascii="Arial Narrow" w:hAnsi="Arial Narrow" w:cs="Arial"/>
                <w:sz w:val="18"/>
                <w:szCs w:val="18"/>
              </w:rPr>
              <w:t>+10,2</w:t>
            </w:r>
          </w:p>
        </w:tc>
      </w:tr>
      <w:tr w:rsidR="00FA2D5B" w:rsidRPr="00C8504B" w:rsidTr="00596941">
        <w:trPr>
          <w:trHeight w:val="255"/>
        </w:trPr>
        <w:tc>
          <w:tcPr>
            <w:tcW w:w="2403" w:type="dxa"/>
            <w:vAlign w:val="center"/>
          </w:tcPr>
          <w:p w:rsidR="00FA2D5B" w:rsidRPr="00C8504B" w:rsidRDefault="00FA2D5B" w:rsidP="00FA2D5B">
            <w:pPr>
              <w:spacing w:before="40" w:after="20"/>
              <w:ind w:left="-57"/>
              <w:rPr>
                <w:rFonts w:ascii="Arial Narrow" w:hAnsi="Arial Narrow" w:cs="Arial"/>
                <w:sz w:val="18"/>
                <w:szCs w:val="18"/>
              </w:rPr>
            </w:pPr>
            <w:r w:rsidRPr="00C8504B">
              <w:rPr>
                <w:rFonts w:ascii="Arial Narrow" w:hAnsi="Arial Narrow" w:cs="Arial"/>
                <w:sz w:val="18"/>
                <w:szCs w:val="18"/>
              </w:rPr>
              <w:t>Beni regolamentati, di cui:</w:t>
            </w:r>
          </w:p>
        </w:tc>
        <w:tc>
          <w:tcPr>
            <w:tcW w:w="1172" w:type="dxa"/>
            <w:shd w:val="clear" w:color="auto" w:fill="D9D9D9"/>
            <w:vAlign w:val="bottom"/>
          </w:tcPr>
          <w:p w:rsidR="00FA2D5B" w:rsidRPr="005600D2" w:rsidRDefault="00FA2D5B" w:rsidP="00FA2D5B">
            <w:pPr>
              <w:spacing w:before="40" w:after="20"/>
              <w:ind w:left="-57" w:right="57"/>
              <w:jc w:val="right"/>
              <w:rPr>
                <w:rFonts w:ascii="Arial Narrow" w:hAnsi="Arial Narrow" w:cs="Arial"/>
                <w:sz w:val="18"/>
                <w:szCs w:val="18"/>
              </w:rPr>
            </w:pPr>
            <w:r w:rsidRPr="005600D2">
              <w:rPr>
                <w:rFonts w:ascii="Arial Narrow" w:hAnsi="Arial Narrow" w:cs="Arial"/>
                <w:sz w:val="18"/>
                <w:szCs w:val="18"/>
              </w:rPr>
              <w:t>39.243</w:t>
            </w:r>
          </w:p>
        </w:tc>
        <w:tc>
          <w:tcPr>
            <w:tcW w:w="1005" w:type="dxa"/>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-1,1</w:t>
            </w:r>
          </w:p>
        </w:tc>
        <w:tc>
          <w:tcPr>
            <w:tcW w:w="997" w:type="dxa"/>
            <w:shd w:val="clear" w:color="auto" w:fill="D9D9D9"/>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+4,1</w:t>
            </w:r>
          </w:p>
        </w:tc>
        <w:tc>
          <w:tcPr>
            <w:tcW w:w="996" w:type="dxa"/>
            <w:shd w:val="clear" w:color="auto" w:fill="auto"/>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-17,7</w:t>
            </w:r>
          </w:p>
        </w:tc>
        <w:tc>
          <w:tcPr>
            <w:tcW w:w="886" w:type="dxa"/>
            <w:shd w:val="clear" w:color="auto" w:fill="D9D9D9"/>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-13,3</w:t>
            </w:r>
          </w:p>
        </w:tc>
        <w:tc>
          <w:tcPr>
            <w:tcW w:w="1002" w:type="dxa"/>
            <w:shd w:val="clear" w:color="auto" w:fill="auto"/>
            <w:vAlign w:val="bottom"/>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-0,693</w:t>
            </w:r>
          </w:p>
        </w:tc>
        <w:tc>
          <w:tcPr>
            <w:tcW w:w="872" w:type="dxa"/>
            <w:shd w:val="clear" w:color="auto" w:fill="D9D9D9" w:themeFill="background1" w:themeFillShade="D9"/>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-8,6</w:t>
            </w:r>
          </w:p>
        </w:tc>
        <w:tc>
          <w:tcPr>
            <w:tcW w:w="872" w:type="dxa"/>
            <w:vAlign w:val="center"/>
          </w:tcPr>
          <w:p w:rsidR="00FA2D5B" w:rsidRPr="009D5308" w:rsidRDefault="00FA2D5B" w:rsidP="00FA2D5B">
            <w:pPr>
              <w:spacing w:before="40" w:after="20"/>
              <w:ind w:left="-57" w:right="57"/>
              <w:jc w:val="right"/>
              <w:rPr>
                <w:rFonts w:ascii="Arial Narrow" w:hAnsi="Arial Narrow" w:cs="Arial"/>
                <w:sz w:val="18"/>
                <w:szCs w:val="18"/>
              </w:rPr>
            </w:pPr>
            <w:r>
              <w:rPr>
                <w:rFonts w:ascii="Arial Narrow" w:hAnsi="Arial Narrow" w:cs="Arial"/>
                <w:sz w:val="18"/>
                <w:szCs w:val="18"/>
              </w:rPr>
              <w:t>+28,9</w:t>
            </w:r>
          </w:p>
        </w:tc>
      </w:tr>
      <w:tr w:rsidR="00FA2D5B" w:rsidRPr="00C8504B" w:rsidTr="00596941">
        <w:trPr>
          <w:trHeight w:val="255"/>
        </w:trPr>
        <w:tc>
          <w:tcPr>
            <w:tcW w:w="2403" w:type="dxa"/>
            <w:vAlign w:val="center"/>
          </w:tcPr>
          <w:p w:rsidR="00FA2D5B" w:rsidRPr="00C8504B" w:rsidRDefault="00FA2D5B" w:rsidP="00FA2D5B">
            <w:pPr>
              <w:tabs>
                <w:tab w:val="left" w:pos="307"/>
              </w:tabs>
              <w:spacing w:before="40" w:after="20"/>
              <w:rPr>
                <w:rFonts w:ascii="Arial Narrow" w:hAnsi="Arial Narrow" w:cs="Arial"/>
                <w:sz w:val="18"/>
                <w:szCs w:val="18"/>
              </w:rPr>
            </w:pPr>
            <w:r w:rsidRPr="00C8504B">
              <w:rPr>
                <w:rFonts w:ascii="Arial Narrow" w:hAnsi="Arial Narrow" w:cs="Arial"/>
                <w:sz w:val="18"/>
                <w:szCs w:val="18"/>
              </w:rPr>
              <w:t xml:space="preserve">   Energetici regolamentati </w:t>
            </w:r>
          </w:p>
        </w:tc>
        <w:tc>
          <w:tcPr>
            <w:tcW w:w="1172" w:type="dxa"/>
            <w:shd w:val="clear" w:color="auto" w:fill="D9D9D9"/>
            <w:vAlign w:val="bottom"/>
          </w:tcPr>
          <w:p w:rsidR="00FA2D5B" w:rsidRPr="005600D2" w:rsidRDefault="00FA2D5B" w:rsidP="00FA2D5B">
            <w:pPr>
              <w:spacing w:before="40" w:after="20"/>
              <w:ind w:left="-57" w:right="57"/>
              <w:jc w:val="right"/>
              <w:rPr>
                <w:rFonts w:ascii="Arial Narrow" w:hAnsi="Arial Narrow" w:cs="Arial"/>
                <w:sz w:val="18"/>
                <w:szCs w:val="18"/>
              </w:rPr>
            </w:pPr>
            <w:r w:rsidRPr="005600D2">
              <w:rPr>
                <w:rFonts w:ascii="Arial Narrow" w:hAnsi="Arial Narrow" w:cs="Arial"/>
                <w:sz w:val="18"/>
                <w:szCs w:val="18"/>
              </w:rPr>
              <w:t>17.949</w:t>
            </w:r>
          </w:p>
        </w:tc>
        <w:tc>
          <w:tcPr>
            <w:tcW w:w="1005" w:type="dxa"/>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-3,2</w:t>
            </w:r>
          </w:p>
        </w:tc>
        <w:tc>
          <w:tcPr>
            <w:tcW w:w="997" w:type="dxa"/>
            <w:shd w:val="clear" w:color="auto" w:fill="D9D9D9"/>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+7,8</w:t>
            </w:r>
          </w:p>
        </w:tc>
        <w:tc>
          <w:tcPr>
            <w:tcW w:w="996" w:type="dxa"/>
            <w:shd w:val="clear" w:color="auto" w:fill="auto"/>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-41,6</w:t>
            </w:r>
          </w:p>
        </w:tc>
        <w:tc>
          <w:tcPr>
            <w:tcW w:w="886" w:type="dxa"/>
            <w:shd w:val="clear" w:color="auto" w:fill="D9D9D9"/>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-34,9</w:t>
            </w:r>
          </w:p>
        </w:tc>
        <w:tc>
          <w:tcPr>
            <w:tcW w:w="1002" w:type="dxa"/>
            <w:shd w:val="clear" w:color="auto" w:fill="auto"/>
            <w:vAlign w:val="bottom"/>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-0,746</w:t>
            </w:r>
          </w:p>
        </w:tc>
        <w:tc>
          <w:tcPr>
            <w:tcW w:w="872" w:type="dxa"/>
            <w:shd w:val="clear" w:color="auto" w:fill="D9D9D9" w:themeFill="background1" w:themeFillShade="D9"/>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-27,8</w:t>
            </w:r>
          </w:p>
        </w:tc>
        <w:tc>
          <w:tcPr>
            <w:tcW w:w="872" w:type="dxa"/>
            <w:vAlign w:val="center"/>
          </w:tcPr>
          <w:p w:rsidR="00FA2D5B" w:rsidRPr="009D5308" w:rsidRDefault="00FA2D5B" w:rsidP="00FA2D5B">
            <w:pPr>
              <w:spacing w:before="40" w:after="20"/>
              <w:ind w:left="-57" w:right="57"/>
              <w:jc w:val="right"/>
              <w:rPr>
                <w:rFonts w:ascii="Arial Narrow" w:hAnsi="Arial Narrow" w:cs="Arial"/>
                <w:sz w:val="18"/>
                <w:szCs w:val="18"/>
              </w:rPr>
            </w:pPr>
            <w:r>
              <w:rPr>
                <w:rFonts w:ascii="Arial Narrow" w:hAnsi="Arial Narrow" w:cs="Arial"/>
                <w:sz w:val="18"/>
                <w:szCs w:val="18"/>
              </w:rPr>
              <w:t>+65,6</w:t>
            </w:r>
          </w:p>
        </w:tc>
      </w:tr>
      <w:tr w:rsidR="00FA2D5B" w:rsidRPr="00C8504B" w:rsidTr="00596941">
        <w:trPr>
          <w:trHeight w:val="255"/>
        </w:trPr>
        <w:tc>
          <w:tcPr>
            <w:tcW w:w="2403" w:type="dxa"/>
            <w:vAlign w:val="center"/>
          </w:tcPr>
          <w:p w:rsidR="00FA2D5B" w:rsidRPr="00C8504B" w:rsidRDefault="00FA2D5B" w:rsidP="00FA2D5B">
            <w:pPr>
              <w:spacing w:before="40" w:after="20"/>
              <w:rPr>
                <w:rFonts w:ascii="Arial Narrow" w:hAnsi="Arial Narrow" w:cs="Arial"/>
                <w:sz w:val="18"/>
                <w:szCs w:val="18"/>
              </w:rPr>
            </w:pPr>
            <w:r w:rsidRPr="00C8504B">
              <w:rPr>
                <w:rFonts w:ascii="Arial Narrow" w:hAnsi="Arial Narrow" w:cs="Arial"/>
                <w:sz w:val="18"/>
                <w:szCs w:val="18"/>
              </w:rPr>
              <w:t xml:space="preserve">   Altri beni regolamentati</w:t>
            </w:r>
          </w:p>
        </w:tc>
        <w:tc>
          <w:tcPr>
            <w:tcW w:w="1172" w:type="dxa"/>
            <w:shd w:val="clear" w:color="auto" w:fill="D9D9D9"/>
            <w:vAlign w:val="bottom"/>
          </w:tcPr>
          <w:p w:rsidR="00FA2D5B" w:rsidRPr="005600D2" w:rsidRDefault="00FA2D5B" w:rsidP="00FA2D5B">
            <w:pPr>
              <w:spacing w:before="40" w:after="20"/>
              <w:ind w:left="-57" w:right="57"/>
              <w:jc w:val="right"/>
              <w:rPr>
                <w:rFonts w:ascii="Arial Narrow" w:hAnsi="Arial Narrow" w:cs="Arial"/>
                <w:sz w:val="18"/>
                <w:szCs w:val="18"/>
              </w:rPr>
            </w:pPr>
            <w:r w:rsidRPr="005600D2">
              <w:rPr>
                <w:rFonts w:ascii="Arial Narrow" w:hAnsi="Arial Narrow" w:cs="Arial"/>
                <w:sz w:val="18"/>
                <w:szCs w:val="18"/>
              </w:rPr>
              <w:t>21.294</w:t>
            </w:r>
          </w:p>
        </w:tc>
        <w:tc>
          <w:tcPr>
            <w:tcW w:w="1005" w:type="dxa"/>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0,0</w:t>
            </w:r>
          </w:p>
        </w:tc>
        <w:tc>
          <w:tcPr>
            <w:tcW w:w="997" w:type="dxa"/>
            <w:shd w:val="clear" w:color="auto" w:fill="D9D9D9"/>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+0,1</w:t>
            </w:r>
          </w:p>
        </w:tc>
        <w:tc>
          <w:tcPr>
            <w:tcW w:w="996" w:type="dxa"/>
            <w:shd w:val="clear" w:color="auto" w:fill="auto"/>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+2,5</w:t>
            </w:r>
          </w:p>
        </w:tc>
        <w:tc>
          <w:tcPr>
            <w:tcW w:w="886" w:type="dxa"/>
            <w:shd w:val="clear" w:color="auto" w:fill="D9D9D9"/>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+2,6</w:t>
            </w:r>
          </w:p>
        </w:tc>
        <w:tc>
          <w:tcPr>
            <w:tcW w:w="1002" w:type="dxa"/>
            <w:shd w:val="clear" w:color="auto" w:fill="auto"/>
            <w:vAlign w:val="bottom"/>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0,053</w:t>
            </w:r>
          </w:p>
        </w:tc>
        <w:tc>
          <w:tcPr>
            <w:tcW w:w="872" w:type="dxa"/>
            <w:shd w:val="clear" w:color="auto" w:fill="D9D9D9" w:themeFill="background1" w:themeFillShade="D9"/>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+2,1</w:t>
            </w:r>
          </w:p>
        </w:tc>
        <w:tc>
          <w:tcPr>
            <w:tcW w:w="872" w:type="dxa"/>
            <w:vAlign w:val="center"/>
          </w:tcPr>
          <w:p w:rsidR="00FA2D5B" w:rsidRPr="009D5308" w:rsidRDefault="00FA2D5B" w:rsidP="00FA2D5B">
            <w:pPr>
              <w:spacing w:before="40" w:after="20"/>
              <w:ind w:left="-57" w:right="57"/>
              <w:jc w:val="right"/>
              <w:rPr>
                <w:rFonts w:ascii="Arial Narrow" w:hAnsi="Arial Narrow" w:cs="Arial"/>
                <w:sz w:val="18"/>
                <w:szCs w:val="18"/>
              </w:rPr>
            </w:pPr>
            <w:r>
              <w:rPr>
                <w:rFonts w:ascii="Arial Narrow" w:hAnsi="Arial Narrow" w:cs="Arial"/>
                <w:sz w:val="18"/>
                <w:szCs w:val="18"/>
              </w:rPr>
              <w:t>+0,3</w:t>
            </w:r>
          </w:p>
        </w:tc>
      </w:tr>
      <w:tr w:rsidR="00FA2D5B" w:rsidRPr="00C8504B" w:rsidTr="00596941">
        <w:trPr>
          <w:trHeight w:val="255"/>
        </w:trPr>
        <w:tc>
          <w:tcPr>
            <w:tcW w:w="2403" w:type="dxa"/>
            <w:shd w:val="clear" w:color="auto" w:fill="808080"/>
            <w:vAlign w:val="center"/>
          </w:tcPr>
          <w:p w:rsidR="00FA2D5B" w:rsidRPr="00C8504B" w:rsidRDefault="00FA2D5B" w:rsidP="00FA2D5B">
            <w:pPr>
              <w:spacing w:before="40" w:after="20"/>
              <w:rPr>
                <w:rFonts w:ascii="Arial Narrow" w:hAnsi="Arial Narrow" w:cs="Arial"/>
                <w:b/>
                <w:color w:val="FFFFFF"/>
                <w:sz w:val="18"/>
                <w:szCs w:val="18"/>
              </w:rPr>
            </w:pPr>
            <w:r w:rsidRPr="00C8504B">
              <w:rPr>
                <w:rFonts w:ascii="Arial Narrow" w:hAnsi="Arial Narrow" w:cs="Arial"/>
                <w:b/>
                <w:color w:val="FFFFFF"/>
                <w:sz w:val="18"/>
                <w:szCs w:val="18"/>
              </w:rPr>
              <w:t>Beni</w:t>
            </w:r>
          </w:p>
        </w:tc>
        <w:tc>
          <w:tcPr>
            <w:tcW w:w="1172" w:type="dxa"/>
            <w:shd w:val="clear" w:color="auto" w:fill="808080"/>
            <w:vAlign w:val="bottom"/>
          </w:tcPr>
          <w:p w:rsidR="00FA2D5B" w:rsidRPr="005600D2" w:rsidRDefault="00FA2D5B" w:rsidP="00FA2D5B">
            <w:pPr>
              <w:spacing w:before="40" w:after="20"/>
              <w:ind w:left="-57" w:right="57"/>
              <w:jc w:val="right"/>
              <w:rPr>
                <w:rFonts w:ascii="Arial Narrow" w:hAnsi="Arial Narrow" w:cs="Arial"/>
                <w:b/>
                <w:sz w:val="18"/>
                <w:szCs w:val="18"/>
              </w:rPr>
            </w:pPr>
            <w:r w:rsidRPr="005600D2">
              <w:rPr>
                <w:rFonts w:ascii="Arial Narrow" w:hAnsi="Arial Narrow" w:cs="Arial"/>
                <w:b/>
                <w:color w:val="FFFFFF" w:themeColor="background1"/>
                <w:sz w:val="18"/>
                <w:szCs w:val="18"/>
              </w:rPr>
              <w:t>576.186</w:t>
            </w:r>
          </w:p>
        </w:tc>
        <w:tc>
          <w:tcPr>
            <w:tcW w:w="1005" w:type="dxa"/>
            <w:shd w:val="clear" w:color="auto" w:fill="808080"/>
            <w:vAlign w:val="center"/>
          </w:tcPr>
          <w:p w:rsidR="00FA2D5B" w:rsidRPr="00FA2D5B" w:rsidRDefault="00FA2D5B" w:rsidP="00FA2D5B">
            <w:pPr>
              <w:spacing w:before="40" w:after="20"/>
              <w:ind w:left="-57" w:right="57"/>
              <w:jc w:val="right"/>
              <w:rPr>
                <w:rFonts w:ascii="Arial Narrow" w:hAnsi="Arial Narrow" w:cs="Arial"/>
                <w:b/>
                <w:color w:val="FFFFFF" w:themeColor="background1"/>
                <w:sz w:val="18"/>
                <w:szCs w:val="18"/>
              </w:rPr>
            </w:pPr>
            <w:r w:rsidRPr="00FA2D5B">
              <w:rPr>
                <w:rFonts w:ascii="Arial Narrow" w:hAnsi="Arial Narrow" w:cs="Arial"/>
                <w:b/>
                <w:color w:val="FFFFFF" w:themeColor="background1"/>
                <w:sz w:val="18"/>
                <w:szCs w:val="18"/>
              </w:rPr>
              <w:t>-0,1</w:t>
            </w:r>
          </w:p>
        </w:tc>
        <w:tc>
          <w:tcPr>
            <w:tcW w:w="997" w:type="dxa"/>
            <w:shd w:val="clear" w:color="auto" w:fill="808080"/>
            <w:vAlign w:val="center"/>
          </w:tcPr>
          <w:p w:rsidR="00FA2D5B" w:rsidRPr="00FA2D5B" w:rsidRDefault="00FA2D5B" w:rsidP="00FA2D5B">
            <w:pPr>
              <w:spacing w:before="40" w:after="20"/>
              <w:ind w:left="-57" w:right="57"/>
              <w:jc w:val="right"/>
              <w:rPr>
                <w:rFonts w:ascii="Arial Narrow" w:hAnsi="Arial Narrow" w:cs="Arial"/>
                <w:b/>
                <w:color w:val="FFFFFF" w:themeColor="background1"/>
                <w:sz w:val="18"/>
                <w:szCs w:val="18"/>
              </w:rPr>
            </w:pPr>
            <w:r w:rsidRPr="00FA2D5B">
              <w:rPr>
                <w:rFonts w:ascii="Arial Narrow" w:hAnsi="Arial Narrow" w:cs="Arial"/>
                <w:b/>
                <w:color w:val="FFFFFF" w:themeColor="background1"/>
                <w:sz w:val="18"/>
                <w:szCs w:val="18"/>
              </w:rPr>
              <w:t>0,0</w:t>
            </w:r>
          </w:p>
        </w:tc>
        <w:tc>
          <w:tcPr>
            <w:tcW w:w="996" w:type="dxa"/>
            <w:shd w:val="clear" w:color="auto" w:fill="808080"/>
            <w:vAlign w:val="center"/>
          </w:tcPr>
          <w:p w:rsidR="00FA2D5B" w:rsidRPr="00FA2D5B" w:rsidRDefault="00FA2D5B" w:rsidP="00FA2D5B">
            <w:pPr>
              <w:spacing w:before="40" w:after="20"/>
              <w:ind w:left="-57" w:right="57"/>
              <w:jc w:val="right"/>
              <w:rPr>
                <w:rFonts w:ascii="Arial Narrow" w:hAnsi="Arial Narrow" w:cs="Arial"/>
                <w:b/>
                <w:color w:val="FFFFFF" w:themeColor="background1"/>
                <w:sz w:val="18"/>
                <w:szCs w:val="18"/>
              </w:rPr>
            </w:pPr>
            <w:r w:rsidRPr="00FA2D5B">
              <w:rPr>
                <w:rFonts w:ascii="Arial Narrow" w:hAnsi="Arial Narrow" w:cs="Arial"/>
                <w:b/>
                <w:color w:val="FFFFFF" w:themeColor="background1"/>
                <w:sz w:val="18"/>
                <w:szCs w:val="18"/>
              </w:rPr>
              <w:t>-1,5</w:t>
            </w:r>
          </w:p>
        </w:tc>
        <w:tc>
          <w:tcPr>
            <w:tcW w:w="886" w:type="dxa"/>
            <w:shd w:val="clear" w:color="auto" w:fill="808080"/>
            <w:vAlign w:val="center"/>
          </w:tcPr>
          <w:p w:rsidR="00FA2D5B" w:rsidRPr="00FA2D5B" w:rsidRDefault="00FA2D5B" w:rsidP="00FA2D5B">
            <w:pPr>
              <w:spacing w:before="40" w:after="20"/>
              <w:ind w:left="-57" w:right="57"/>
              <w:jc w:val="right"/>
              <w:rPr>
                <w:rFonts w:ascii="Arial Narrow" w:hAnsi="Arial Narrow" w:cs="Arial"/>
                <w:b/>
                <w:color w:val="FFFFFF" w:themeColor="background1"/>
                <w:sz w:val="18"/>
                <w:szCs w:val="18"/>
              </w:rPr>
            </w:pPr>
            <w:r w:rsidRPr="00FA2D5B">
              <w:rPr>
                <w:rFonts w:ascii="Arial Narrow" w:hAnsi="Arial Narrow" w:cs="Arial"/>
                <w:b/>
                <w:color w:val="FFFFFF" w:themeColor="background1"/>
                <w:sz w:val="18"/>
                <w:szCs w:val="18"/>
              </w:rPr>
              <w:t>-1,4</w:t>
            </w:r>
          </w:p>
        </w:tc>
        <w:tc>
          <w:tcPr>
            <w:tcW w:w="1002" w:type="dxa"/>
            <w:shd w:val="clear" w:color="auto" w:fill="808080"/>
            <w:vAlign w:val="bottom"/>
          </w:tcPr>
          <w:p w:rsidR="00FA2D5B" w:rsidRPr="00FA2D5B" w:rsidRDefault="00FA2D5B" w:rsidP="00FA2D5B">
            <w:pPr>
              <w:spacing w:before="40" w:after="20"/>
              <w:ind w:left="-57" w:right="57"/>
              <w:jc w:val="right"/>
              <w:rPr>
                <w:rFonts w:ascii="Arial Narrow" w:hAnsi="Arial Narrow" w:cs="Arial"/>
                <w:b/>
                <w:color w:val="FFFFFF" w:themeColor="background1"/>
                <w:sz w:val="18"/>
                <w:szCs w:val="18"/>
              </w:rPr>
            </w:pPr>
            <w:r w:rsidRPr="00FA2D5B">
              <w:rPr>
                <w:rFonts w:ascii="Arial Narrow" w:hAnsi="Arial Narrow" w:cs="Arial"/>
                <w:b/>
                <w:color w:val="FFFFFF" w:themeColor="background1"/>
                <w:sz w:val="18"/>
                <w:szCs w:val="18"/>
              </w:rPr>
              <w:t>-0,850</w:t>
            </w:r>
          </w:p>
        </w:tc>
        <w:tc>
          <w:tcPr>
            <w:tcW w:w="872" w:type="dxa"/>
            <w:shd w:val="clear" w:color="auto" w:fill="808080"/>
            <w:vAlign w:val="center"/>
          </w:tcPr>
          <w:p w:rsidR="00FA2D5B" w:rsidRPr="00FA2D5B" w:rsidRDefault="00FA2D5B" w:rsidP="00FA2D5B">
            <w:pPr>
              <w:spacing w:before="40" w:after="20"/>
              <w:ind w:left="-57" w:right="57"/>
              <w:jc w:val="right"/>
              <w:rPr>
                <w:rFonts w:ascii="Arial Narrow" w:hAnsi="Arial Narrow" w:cs="Arial"/>
                <w:b/>
                <w:color w:val="FFFFFF" w:themeColor="background1"/>
                <w:sz w:val="18"/>
                <w:szCs w:val="18"/>
              </w:rPr>
            </w:pPr>
            <w:r w:rsidRPr="00FA2D5B">
              <w:rPr>
                <w:rFonts w:ascii="Arial Narrow" w:hAnsi="Arial Narrow" w:cs="Arial"/>
                <w:b/>
                <w:color w:val="FFFFFF" w:themeColor="background1"/>
                <w:sz w:val="18"/>
                <w:szCs w:val="18"/>
              </w:rPr>
              <w:t>+6,4</w:t>
            </w:r>
          </w:p>
        </w:tc>
        <w:tc>
          <w:tcPr>
            <w:tcW w:w="872" w:type="dxa"/>
            <w:shd w:val="clear" w:color="auto" w:fill="808080"/>
            <w:vAlign w:val="center"/>
          </w:tcPr>
          <w:p w:rsidR="00FA2D5B" w:rsidRPr="00D62F36" w:rsidRDefault="00FA2D5B" w:rsidP="00FA2D5B">
            <w:pPr>
              <w:spacing w:before="40" w:after="20"/>
              <w:ind w:left="-57" w:right="57"/>
              <w:jc w:val="right"/>
              <w:rPr>
                <w:rFonts w:ascii="Arial Narrow" w:hAnsi="Arial Narrow" w:cs="Arial"/>
                <w:b/>
                <w:color w:val="FFFFFF" w:themeColor="background1"/>
                <w:sz w:val="18"/>
                <w:szCs w:val="18"/>
              </w:rPr>
            </w:pPr>
            <w:r>
              <w:rPr>
                <w:rFonts w:ascii="Arial Narrow" w:hAnsi="Arial Narrow" w:cs="Arial"/>
                <w:b/>
                <w:color w:val="FFFFFF" w:themeColor="background1"/>
                <w:sz w:val="18"/>
                <w:szCs w:val="18"/>
              </w:rPr>
              <w:t>+11,9</w:t>
            </w:r>
          </w:p>
        </w:tc>
      </w:tr>
      <w:tr w:rsidR="00FA2D5B" w:rsidRPr="00C8504B" w:rsidTr="00596941">
        <w:trPr>
          <w:trHeight w:val="255"/>
        </w:trPr>
        <w:tc>
          <w:tcPr>
            <w:tcW w:w="2403" w:type="dxa"/>
            <w:vAlign w:val="center"/>
          </w:tcPr>
          <w:p w:rsidR="00FA2D5B" w:rsidRPr="00C8504B" w:rsidRDefault="00FA2D5B" w:rsidP="00FA2D5B">
            <w:pPr>
              <w:spacing w:before="40" w:after="20"/>
              <w:ind w:left="-57"/>
              <w:rPr>
                <w:rFonts w:ascii="Arial Narrow" w:hAnsi="Arial Narrow" w:cs="Arial"/>
                <w:sz w:val="18"/>
                <w:szCs w:val="18"/>
              </w:rPr>
            </w:pPr>
            <w:r w:rsidRPr="00C8504B">
              <w:rPr>
                <w:rFonts w:ascii="Arial Narrow" w:hAnsi="Arial Narrow" w:cs="Arial"/>
                <w:sz w:val="18"/>
                <w:szCs w:val="18"/>
              </w:rPr>
              <w:t>Servizi non regolamentati</w:t>
            </w:r>
          </w:p>
        </w:tc>
        <w:tc>
          <w:tcPr>
            <w:tcW w:w="1172" w:type="dxa"/>
            <w:shd w:val="clear" w:color="auto" w:fill="D9D9D9"/>
            <w:vAlign w:val="bottom"/>
          </w:tcPr>
          <w:p w:rsidR="00FA2D5B" w:rsidRPr="005600D2" w:rsidRDefault="00FA2D5B" w:rsidP="00FA2D5B">
            <w:pPr>
              <w:spacing w:before="40" w:after="20"/>
              <w:ind w:left="-57" w:right="57"/>
              <w:jc w:val="right"/>
              <w:rPr>
                <w:rFonts w:ascii="Arial Narrow" w:hAnsi="Arial Narrow" w:cs="Arial"/>
                <w:sz w:val="18"/>
                <w:szCs w:val="18"/>
              </w:rPr>
            </w:pPr>
            <w:r w:rsidRPr="005600D2">
              <w:rPr>
                <w:rFonts w:ascii="Arial Narrow" w:hAnsi="Arial Narrow" w:cs="Arial"/>
                <w:sz w:val="18"/>
                <w:szCs w:val="18"/>
              </w:rPr>
              <w:t>372.279</w:t>
            </w:r>
          </w:p>
        </w:tc>
        <w:tc>
          <w:tcPr>
            <w:tcW w:w="1005" w:type="dxa"/>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+0,5</w:t>
            </w:r>
          </w:p>
        </w:tc>
        <w:tc>
          <w:tcPr>
            <w:tcW w:w="997" w:type="dxa"/>
            <w:shd w:val="clear" w:color="auto" w:fill="D9D9D9"/>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+0,8</w:t>
            </w:r>
          </w:p>
        </w:tc>
        <w:tc>
          <w:tcPr>
            <w:tcW w:w="996" w:type="dxa"/>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+3,5</w:t>
            </w:r>
          </w:p>
        </w:tc>
        <w:tc>
          <w:tcPr>
            <w:tcW w:w="886" w:type="dxa"/>
            <w:shd w:val="clear" w:color="auto" w:fill="D9D9D9"/>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+3,8</w:t>
            </w:r>
          </w:p>
        </w:tc>
        <w:tc>
          <w:tcPr>
            <w:tcW w:w="1002" w:type="dxa"/>
            <w:shd w:val="clear" w:color="auto" w:fill="auto"/>
            <w:vAlign w:val="bottom"/>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1,307</w:t>
            </w:r>
          </w:p>
        </w:tc>
        <w:tc>
          <w:tcPr>
            <w:tcW w:w="872" w:type="dxa"/>
            <w:shd w:val="clear" w:color="auto" w:fill="D9D9D9" w:themeFill="background1" w:themeFillShade="D9"/>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+4,5</w:t>
            </w:r>
          </w:p>
        </w:tc>
        <w:tc>
          <w:tcPr>
            <w:tcW w:w="872" w:type="dxa"/>
            <w:vAlign w:val="center"/>
          </w:tcPr>
          <w:p w:rsidR="00FA2D5B" w:rsidRPr="001630C6" w:rsidRDefault="00FA2D5B" w:rsidP="00FA2D5B">
            <w:pPr>
              <w:spacing w:before="40" w:after="20"/>
              <w:ind w:left="-57" w:right="57"/>
              <w:jc w:val="right"/>
              <w:rPr>
                <w:rFonts w:ascii="Arial Narrow" w:hAnsi="Arial Narrow" w:cs="Arial"/>
                <w:sz w:val="18"/>
                <w:szCs w:val="18"/>
              </w:rPr>
            </w:pPr>
            <w:r>
              <w:rPr>
                <w:rFonts w:ascii="Arial Narrow" w:hAnsi="Arial Narrow" w:cs="Arial"/>
                <w:sz w:val="18"/>
                <w:szCs w:val="18"/>
              </w:rPr>
              <w:t>+3,3</w:t>
            </w:r>
          </w:p>
        </w:tc>
      </w:tr>
      <w:tr w:rsidR="00FA2D5B" w:rsidRPr="00C8504B" w:rsidTr="00596941">
        <w:trPr>
          <w:trHeight w:val="255"/>
        </w:trPr>
        <w:tc>
          <w:tcPr>
            <w:tcW w:w="2403" w:type="dxa"/>
            <w:vAlign w:val="center"/>
          </w:tcPr>
          <w:p w:rsidR="00FA2D5B" w:rsidRPr="00C8504B" w:rsidRDefault="00FA2D5B" w:rsidP="00FA2D5B">
            <w:pPr>
              <w:spacing w:before="40" w:after="20"/>
              <w:ind w:left="-57"/>
              <w:rPr>
                <w:rFonts w:ascii="Arial Narrow" w:hAnsi="Arial Narrow" w:cs="Arial"/>
                <w:sz w:val="18"/>
                <w:szCs w:val="18"/>
              </w:rPr>
            </w:pPr>
            <w:r w:rsidRPr="00C8504B">
              <w:rPr>
                <w:rFonts w:ascii="Arial Narrow" w:hAnsi="Arial Narrow" w:cs="Arial"/>
                <w:sz w:val="18"/>
                <w:szCs w:val="18"/>
              </w:rPr>
              <w:t>Servizi regolamentati</w:t>
            </w:r>
          </w:p>
        </w:tc>
        <w:tc>
          <w:tcPr>
            <w:tcW w:w="1172" w:type="dxa"/>
            <w:shd w:val="clear" w:color="auto" w:fill="D9D9D9"/>
            <w:vAlign w:val="bottom"/>
          </w:tcPr>
          <w:p w:rsidR="00FA2D5B" w:rsidRPr="005600D2" w:rsidRDefault="00FA2D5B" w:rsidP="00FA2D5B">
            <w:pPr>
              <w:spacing w:before="40" w:after="20"/>
              <w:ind w:left="-57" w:right="57"/>
              <w:jc w:val="right"/>
              <w:rPr>
                <w:rFonts w:ascii="Arial Narrow" w:hAnsi="Arial Narrow" w:cs="Arial"/>
                <w:sz w:val="18"/>
                <w:szCs w:val="18"/>
              </w:rPr>
            </w:pPr>
            <w:r w:rsidRPr="005600D2">
              <w:rPr>
                <w:rFonts w:ascii="Arial Narrow" w:hAnsi="Arial Narrow" w:cs="Arial"/>
                <w:sz w:val="18"/>
                <w:szCs w:val="18"/>
              </w:rPr>
              <w:t>51.535</w:t>
            </w:r>
          </w:p>
        </w:tc>
        <w:tc>
          <w:tcPr>
            <w:tcW w:w="1005" w:type="dxa"/>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0,0</w:t>
            </w:r>
          </w:p>
        </w:tc>
        <w:tc>
          <w:tcPr>
            <w:tcW w:w="997" w:type="dxa"/>
            <w:shd w:val="clear" w:color="auto" w:fill="D9D9D9"/>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0,0</w:t>
            </w:r>
          </w:p>
        </w:tc>
        <w:tc>
          <w:tcPr>
            <w:tcW w:w="996" w:type="dxa"/>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+1,8</w:t>
            </w:r>
          </w:p>
        </w:tc>
        <w:tc>
          <w:tcPr>
            <w:tcW w:w="886" w:type="dxa"/>
            <w:shd w:val="clear" w:color="auto" w:fill="D9D9D9"/>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+1,8</w:t>
            </w:r>
          </w:p>
        </w:tc>
        <w:tc>
          <w:tcPr>
            <w:tcW w:w="1002" w:type="dxa"/>
            <w:shd w:val="clear" w:color="auto" w:fill="auto"/>
            <w:vAlign w:val="bottom"/>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0,098</w:t>
            </w:r>
          </w:p>
        </w:tc>
        <w:tc>
          <w:tcPr>
            <w:tcW w:w="872" w:type="dxa"/>
            <w:shd w:val="clear" w:color="auto" w:fill="D9D9D9" w:themeFill="background1" w:themeFillShade="D9"/>
            <w:vAlign w:val="center"/>
          </w:tcPr>
          <w:p w:rsidR="00FA2D5B" w:rsidRPr="00FA2D5B" w:rsidRDefault="00FA2D5B" w:rsidP="00FA2D5B">
            <w:pPr>
              <w:spacing w:before="40" w:after="20"/>
              <w:ind w:left="-57" w:right="57"/>
              <w:jc w:val="right"/>
              <w:rPr>
                <w:rFonts w:ascii="Arial Narrow" w:hAnsi="Arial Narrow" w:cs="Arial"/>
                <w:sz w:val="18"/>
                <w:szCs w:val="18"/>
              </w:rPr>
            </w:pPr>
            <w:r w:rsidRPr="00FA2D5B">
              <w:rPr>
                <w:rFonts w:ascii="Arial Narrow" w:hAnsi="Arial Narrow" w:cs="Arial"/>
                <w:sz w:val="18"/>
                <w:szCs w:val="18"/>
              </w:rPr>
              <w:t>+1,3</w:t>
            </w:r>
          </w:p>
        </w:tc>
        <w:tc>
          <w:tcPr>
            <w:tcW w:w="872" w:type="dxa"/>
            <w:vAlign w:val="center"/>
          </w:tcPr>
          <w:p w:rsidR="00FA2D5B" w:rsidRPr="001630C6" w:rsidRDefault="00FA2D5B" w:rsidP="00FA2D5B">
            <w:pPr>
              <w:spacing w:before="40" w:after="20"/>
              <w:ind w:left="-57" w:right="57"/>
              <w:jc w:val="right"/>
              <w:rPr>
                <w:rFonts w:ascii="Arial Narrow" w:hAnsi="Arial Narrow" w:cs="Arial"/>
                <w:sz w:val="18"/>
                <w:szCs w:val="18"/>
              </w:rPr>
            </w:pPr>
            <w:r>
              <w:rPr>
                <w:rFonts w:ascii="Arial Narrow" w:hAnsi="Arial Narrow" w:cs="Arial"/>
                <w:sz w:val="18"/>
                <w:szCs w:val="18"/>
              </w:rPr>
              <w:t>+1,7</w:t>
            </w:r>
          </w:p>
        </w:tc>
      </w:tr>
      <w:tr w:rsidR="00FA2D5B" w:rsidRPr="00C8504B" w:rsidTr="00596941">
        <w:trPr>
          <w:trHeight w:val="255"/>
        </w:trPr>
        <w:tc>
          <w:tcPr>
            <w:tcW w:w="2403" w:type="dxa"/>
            <w:shd w:val="clear" w:color="auto" w:fill="808080"/>
            <w:vAlign w:val="center"/>
          </w:tcPr>
          <w:p w:rsidR="00FA2D5B" w:rsidRPr="00C8504B" w:rsidRDefault="00FA2D5B" w:rsidP="00FA2D5B">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Servizi</w:t>
            </w:r>
          </w:p>
        </w:tc>
        <w:tc>
          <w:tcPr>
            <w:tcW w:w="1172" w:type="dxa"/>
            <w:shd w:val="clear" w:color="auto" w:fill="808080"/>
            <w:vAlign w:val="bottom"/>
          </w:tcPr>
          <w:p w:rsidR="00FA2D5B" w:rsidRPr="005600D2" w:rsidRDefault="00FA2D5B" w:rsidP="00FA2D5B">
            <w:pPr>
              <w:spacing w:before="40" w:after="20"/>
              <w:ind w:left="-57" w:right="57"/>
              <w:jc w:val="right"/>
              <w:rPr>
                <w:rFonts w:ascii="Arial Narrow" w:hAnsi="Arial Narrow" w:cs="Arial"/>
                <w:b/>
                <w:sz w:val="18"/>
                <w:szCs w:val="18"/>
              </w:rPr>
            </w:pPr>
            <w:r w:rsidRPr="005600D2">
              <w:rPr>
                <w:rFonts w:ascii="Arial Narrow" w:hAnsi="Arial Narrow" w:cs="Arial"/>
                <w:b/>
                <w:color w:val="FFFFFF" w:themeColor="background1"/>
                <w:sz w:val="18"/>
                <w:szCs w:val="18"/>
              </w:rPr>
              <w:t>423.814</w:t>
            </w:r>
          </w:p>
        </w:tc>
        <w:tc>
          <w:tcPr>
            <w:tcW w:w="1005" w:type="dxa"/>
            <w:shd w:val="clear" w:color="auto" w:fill="808080"/>
            <w:vAlign w:val="center"/>
          </w:tcPr>
          <w:p w:rsidR="00FA2D5B" w:rsidRPr="00FA2D5B" w:rsidRDefault="00FA2D5B" w:rsidP="00FA2D5B">
            <w:pPr>
              <w:spacing w:before="40" w:after="20"/>
              <w:ind w:left="-57" w:right="57"/>
              <w:jc w:val="right"/>
              <w:rPr>
                <w:rFonts w:ascii="Arial Narrow" w:hAnsi="Arial Narrow" w:cs="Arial"/>
                <w:b/>
                <w:color w:val="FFFFFF" w:themeColor="background1"/>
                <w:sz w:val="18"/>
                <w:szCs w:val="18"/>
              </w:rPr>
            </w:pPr>
            <w:r w:rsidRPr="00FA2D5B">
              <w:rPr>
                <w:rFonts w:ascii="Arial Narrow" w:hAnsi="Arial Narrow" w:cs="Arial"/>
                <w:b/>
                <w:color w:val="FFFFFF" w:themeColor="background1"/>
                <w:sz w:val="18"/>
                <w:szCs w:val="18"/>
              </w:rPr>
              <w:t>+0,4</w:t>
            </w:r>
          </w:p>
        </w:tc>
        <w:tc>
          <w:tcPr>
            <w:tcW w:w="997" w:type="dxa"/>
            <w:shd w:val="clear" w:color="auto" w:fill="808080"/>
            <w:vAlign w:val="center"/>
          </w:tcPr>
          <w:p w:rsidR="00FA2D5B" w:rsidRPr="00FA2D5B" w:rsidRDefault="00FA2D5B" w:rsidP="00FA2D5B">
            <w:pPr>
              <w:spacing w:before="40" w:after="20"/>
              <w:ind w:left="-57" w:right="57"/>
              <w:jc w:val="right"/>
              <w:rPr>
                <w:rFonts w:ascii="Arial Narrow" w:hAnsi="Arial Narrow" w:cs="Arial"/>
                <w:b/>
                <w:color w:val="FFFFFF" w:themeColor="background1"/>
                <w:sz w:val="18"/>
                <w:szCs w:val="18"/>
              </w:rPr>
            </w:pPr>
            <w:r w:rsidRPr="00FA2D5B">
              <w:rPr>
                <w:rFonts w:ascii="Arial Narrow" w:hAnsi="Arial Narrow" w:cs="Arial"/>
                <w:b/>
                <w:color w:val="FFFFFF" w:themeColor="background1"/>
                <w:sz w:val="18"/>
                <w:szCs w:val="18"/>
              </w:rPr>
              <w:t>+0,7</w:t>
            </w:r>
          </w:p>
        </w:tc>
        <w:tc>
          <w:tcPr>
            <w:tcW w:w="996" w:type="dxa"/>
            <w:shd w:val="clear" w:color="auto" w:fill="808080"/>
            <w:vAlign w:val="center"/>
          </w:tcPr>
          <w:p w:rsidR="00FA2D5B" w:rsidRPr="00FA2D5B" w:rsidRDefault="00FA2D5B" w:rsidP="00FA2D5B">
            <w:pPr>
              <w:spacing w:before="40" w:after="20"/>
              <w:ind w:left="-57" w:right="57"/>
              <w:jc w:val="right"/>
              <w:rPr>
                <w:rFonts w:ascii="Arial Narrow" w:hAnsi="Arial Narrow" w:cs="Arial"/>
                <w:b/>
                <w:color w:val="FFFFFF" w:themeColor="background1"/>
                <w:sz w:val="18"/>
                <w:szCs w:val="18"/>
              </w:rPr>
            </w:pPr>
            <w:r w:rsidRPr="00FA2D5B">
              <w:rPr>
                <w:rFonts w:ascii="Arial Narrow" w:hAnsi="Arial Narrow" w:cs="Arial"/>
                <w:b/>
                <w:color w:val="FFFFFF" w:themeColor="background1"/>
                <w:sz w:val="18"/>
                <w:szCs w:val="18"/>
              </w:rPr>
              <w:t>+3,4</w:t>
            </w:r>
          </w:p>
        </w:tc>
        <w:tc>
          <w:tcPr>
            <w:tcW w:w="886" w:type="dxa"/>
            <w:shd w:val="clear" w:color="auto" w:fill="808080"/>
            <w:vAlign w:val="center"/>
          </w:tcPr>
          <w:p w:rsidR="00FA2D5B" w:rsidRPr="00FA2D5B" w:rsidRDefault="00FA2D5B" w:rsidP="00FA2D5B">
            <w:pPr>
              <w:spacing w:before="40" w:after="20"/>
              <w:ind w:left="-57" w:right="57"/>
              <w:jc w:val="right"/>
              <w:rPr>
                <w:rFonts w:ascii="Arial Narrow" w:hAnsi="Arial Narrow" w:cs="Arial"/>
                <w:b/>
                <w:color w:val="FFFFFF" w:themeColor="background1"/>
                <w:sz w:val="18"/>
                <w:szCs w:val="18"/>
              </w:rPr>
            </w:pPr>
            <w:r w:rsidRPr="00FA2D5B">
              <w:rPr>
                <w:rFonts w:ascii="Arial Narrow" w:hAnsi="Arial Narrow" w:cs="Arial"/>
                <w:b/>
                <w:color w:val="FFFFFF" w:themeColor="background1"/>
                <w:sz w:val="18"/>
                <w:szCs w:val="18"/>
              </w:rPr>
              <w:t>+3,7</w:t>
            </w:r>
          </w:p>
        </w:tc>
        <w:tc>
          <w:tcPr>
            <w:tcW w:w="1002" w:type="dxa"/>
            <w:shd w:val="clear" w:color="auto" w:fill="808080"/>
            <w:vAlign w:val="bottom"/>
          </w:tcPr>
          <w:p w:rsidR="00FA2D5B" w:rsidRPr="00FA2D5B" w:rsidRDefault="00FA2D5B" w:rsidP="00FA2D5B">
            <w:pPr>
              <w:spacing w:before="40" w:after="20"/>
              <w:ind w:left="-57" w:right="57"/>
              <w:jc w:val="right"/>
              <w:rPr>
                <w:rFonts w:ascii="Arial Narrow" w:hAnsi="Arial Narrow" w:cs="Arial"/>
                <w:b/>
                <w:color w:val="FFFFFF" w:themeColor="background1"/>
                <w:sz w:val="18"/>
                <w:szCs w:val="18"/>
              </w:rPr>
            </w:pPr>
            <w:r w:rsidRPr="00FA2D5B">
              <w:rPr>
                <w:rFonts w:ascii="Arial Narrow" w:hAnsi="Arial Narrow" w:cs="Arial"/>
                <w:b/>
                <w:color w:val="FFFFFF" w:themeColor="background1"/>
                <w:sz w:val="18"/>
                <w:szCs w:val="18"/>
              </w:rPr>
              <w:t>1,405</w:t>
            </w:r>
          </w:p>
        </w:tc>
        <w:tc>
          <w:tcPr>
            <w:tcW w:w="872" w:type="dxa"/>
            <w:shd w:val="clear" w:color="auto" w:fill="808080"/>
            <w:vAlign w:val="center"/>
          </w:tcPr>
          <w:p w:rsidR="00FA2D5B" w:rsidRPr="00FA2D5B" w:rsidRDefault="00FA2D5B" w:rsidP="00FA2D5B">
            <w:pPr>
              <w:spacing w:before="40" w:after="20"/>
              <w:ind w:left="-57" w:right="57"/>
              <w:jc w:val="right"/>
              <w:rPr>
                <w:rFonts w:ascii="Arial Narrow" w:hAnsi="Arial Narrow" w:cs="Arial"/>
                <w:b/>
                <w:color w:val="FFFFFF" w:themeColor="background1"/>
                <w:sz w:val="18"/>
                <w:szCs w:val="18"/>
              </w:rPr>
            </w:pPr>
            <w:r w:rsidRPr="00FA2D5B">
              <w:rPr>
                <w:rFonts w:ascii="Arial Narrow" w:hAnsi="Arial Narrow" w:cs="Arial"/>
                <w:b/>
                <w:color w:val="FFFFFF" w:themeColor="background1"/>
                <w:sz w:val="18"/>
                <w:szCs w:val="18"/>
              </w:rPr>
              <w:t>+4,2</w:t>
            </w:r>
          </w:p>
        </w:tc>
        <w:tc>
          <w:tcPr>
            <w:tcW w:w="872" w:type="dxa"/>
            <w:shd w:val="clear" w:color="auto" w:fill="808080"/>
            <w:vAlign w:val="center"/>
          </w:tcPr>
          <w:p w:rsidR="00FA2D5B" w:rsidRPr="00D62F36" w:rsidRDefault="00FA2D5B" w:rsidP="00FA2D5B">
            <w:pPr>
              <w:spacing w:before="40" w:after="20"/>
              <w:ind w:left="-57" w:right="57"/>
              <w:jc w:val="right"/>
              <w:rPr>
                <w:rFonts w:ascii="Arial Narrow" w:hAnsi="Arial Narrow" w:cs="Arial"/>
                <w:b/>
                <w:color w:val="FFFFFF" w:themeColor="background1"/>
                <w:sz w:val="18"/>
                <w:szCs w:val="18"/>
              </w:rPr>
            </w:pPr>
            <w:r>
              <w:rPr>
                <w:rFonts w:ascii="Arial Narrow" w:hAnsi="Arial Narrow" w:cs="Arial"/>
                <w:b/>
                <w:color w:val="FFFFFF" w:themeColor="background1"/>
                <w:sz w:val="18"/>
                <w:szCs w:val="18"/>
              </w:rPr>
              <w:t>+3,0</w:t>
            </w:r>
          </w:p>
        </w:tc>
      </w:tr>
      <w:tr w:rsidR="00FA2D5B" w:rsidRPr="00C8504B" w:rsidTr="00596941">
        <w:trPr>
          <w:trHeight w:val="255"/>
        </w:trPr>
        <w:tc>
          <w:tcPr>
            <w:tcW w:w="2403" w:type="dxa"/>
            <w:shd w:val="clear" w:color="auto" w:fill="E42618"/>
            <w:vAlign w:val="center"/>
          </w:tcPr>
          <w:p w:rsidR="00FA2D5B" w:rsidRPr="00C8504B" w:rsidRDefault="00FA2D5B" w:rsidP="00FA2D5B">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1172" w:type="dxa"/>
            <w:shd w:val="clear" w:color="auto" w:fill="E42618"/>
            <w:vAlign w:val="bottom"/>
          </w:tcPr>
          <w:p w:rsidR="00FA2D5B" w:rsidRPr="005600D2" w:rsidRDefault="00FA2D5B" w:rsidP="00FA2D5B">
            <w:pPr>
              <w:spacing w:before="40" w:after="20"/>
              <w:ind w:left="-57" w:right="57"/>
              <w:jc w:val="right"/>
              <w:rPr>
                <w:rFonts w:ascii="Arial Narrow" w:hAnsi="Arial Narrow" w:cs="Arial"/>
                <w:b/>
                <w:sz w:val="18"/>
                <w:szCs w:val="18"/>
              </w:rPr>
            </w:pPr>
            <w:r w:rsidRPr="005600D2">
              <w:rPr>
                <w:rFonts w:ascii="Arial Narrow" w:hAnsi="Arial Narrow" w:cs="Arial"/>
                <w:b/>
                <w:color w:val="FFFFFF" w:themeColor="background1"/>
                <w:sz w:val="18"/>
                <w:szCs w:val="18"/>
              </w:rPr>
              <w:t>1.000.000</w:t>
            </w:r>
          </w:p>
        </w:tc>
        <w:tc>
          <w:tcPr>
            <w:tcW w:w="1005" w:type="dxa"/>
            <w:shd w:val="clear" w:color="auto" w:fill="E42618"/>
            <w:vAlign w:val="center"/>
          </w:tcPr>
          <w:p w:rsidR="00FA2D5B" w:rsidRPr="00FA2D5B" w:rsidRDefault="00FA2D5B" w:rsidP="00FA2D5B">
            <w:pPr>
              <w:spacing w:before="40" w:after="20"/>
              <w:ind w:left="-57" w:right="57"/>
              <w:jc w:val="right"/>
              <w:rPr>
                <w:rFonts w:ascii="Arial Narrow" w:hAnsi="Arial Narrow" w:cs="Arial"/>
                <w:b/>
                <w:color w:val="FFFFFF" w:themeColor="background1"/>
                <w:sz w:val="18"/>
                <w:szCs w:val="18"/>
              </w:rPr>
            </w:pPr>
            <w:r w:rsidRPr="00FA2D5B">
              <w:rPr>
                <w:rFonts w:ascii="Arial Narrow" w:hAnsi="Arial Narrow" w:cs="Arial"/>
                <w:b/>
                <w:color w:val="FFFFFF" w:themeColor="background1"/>
                <w:sz w:val="18"/>
                <w:szCs w:val="18"/>
              </w:rPr>
              <w:t>+0,2</w:t>
            </w:r>
          </w:p>
        </w:tc>
        <w:tc>
          <w:tcPr>
            <w:tcW w:w="997" w:type="dxa"/>
            <w:shd w:val="clear" w:color="auto" w:fill="E42618"/>
            <w:vAlign w:val="center"/>
          </w:tcPr>
          <w:p w:rsidR="00FA2D5B" w:rsidRPr="00FA2D5B" w:rsidRDefault="00FA2D5B" w:rsidP="00FA2D5B">
            <w:pPr>
              <w:spacing w:before="40" w:after="20"/>
              <w:ind w:left="-57" w:right="57"/>
              <w:jc w:val="right"/>
              <w:rPr>
                <w:rFonts w:ascii="Arial Narrow" w:hAnsi="Arial Narrow" w:cs="Arial"/>
                <w:b/>
                <w:color w:val="FFFFFF" w:themeColor="background1"/>
                <w:sz w:val="18"/>
                <w:szCs w:val="18"/>
              </w:rPr>
            </w:pPr>
            <w:r w:rsidRPr="00FA2D5B">
              <w:rPr>
                <w:rFonts w:ascii="Arial Narrow" w:hAnsi="Arial Narrow" w:cs="Arial"/>
                <w:b/>
                <w:color w:val="FFFFFF" w:themeColor="background1"/>
                <w:sz w:val="18"/>
                <w:szCs w:val="18"/>
              </w:rPr>
              <w:t>+0,3</w:t>
            </w:r>
          </w:p>
        </w:tc>
        <w:tc>
          <w:tcPr>
            <w:tcW w:w="996" w:type="dxa"/>
            <w:shd w:val="clear" w:color="auto" w:fill="E42618"/>
            <w:vAlign w:val="center"/>
          </w:tcPr>
          <w:p w:rsidR="00FA2D5B" w:rsidRPr="00FA2D5B" w:rsidRDefault="00FA2D5B" w:rsidP="00FA2D5B">
            <w:pPr>
              <w:spacing w:before="40" w:after="20"/>
              <w:ind w:left="-57" w:right="57"/>
              <w:jc w:val="right"/>
              <w:rPr>
                <w:rFonts w:ascii="Arial Narrow" w:hAnsi="Arial Narrow" w:cs="Arial"/>
                <w:b/>
                <w:color w:val="FFFFFF" w:themeColor="background1"/>
                <w:sz w:val="18"/>
                <w:szCs w:val="18"/>
              </w:rPr>
            </w:pPr>
            <w:r w:rsidRPr="00FA2D5B">
              <w:rPr>
                <w:rFonts w:ascii="Arial Narrow" w:hAnsi="Arial Narrow" w:cs="Arial"/>
                <w:b/>
                <w:color w:val="FFFFFF" w:themeColor="background1"/>
                <w:sz w:val="18"/>
                <w:szCs w:val="18"/>
              </w:rPr>
              <w:t>+0,6</w:t>
            </w:r>
          </w:p>
        </w:tc>
        <w:tc>
          <w:tcPr>
            <w:tcW w:w="886" w:type="dxa"/>
            <w:shd w:val="clear" w:color="auto" w:fill="E42618"/>
            <w:vAlign w:val="center"/>
          </w:tcPr>
          <w:p w:rsidR="00FA2D5B" w:rsidRPr="00FA2D5B" w:rsidRDefault="00FA2D5B" w:rsidP="00FA2D5B">
            <w:pPr>
              <w:spacing w:before="40" w:after="20"/>
              <w:ind w:left="-57" w:right="57"/>
              <w:jc w:val="right"/>
              <w:rPr>
                <w:rFonts w:ascii="Arial Narrow" w:hAnsi="Arial Narrow" w:cs="Arial"/>
                <w:b/>
                <w:color w:val="FFFFFF" w:themeColor="background1"/>
                <w:sz w:val="18"/>
                <w:szCs w:val="18"/>
              </w:rPr>
            </w:pPr>
            <w:r w:rsidRPr="00FA2D5B">
              <w:rPr>
                <w:rFonts w:ascii="Arial Narrow" w:hAnsi="Arial Narrow" w:cs="Arial"/>
                <w:b/>
                <w:color w:val="FFFFFF" w:themeColor="background1"/>
                <w:sz w:val="18"/>
                <w:szCs w:val="18"/>
              </w:rPr>
              <w:t>+0,7</w:t>
            </w:r>
          </w:p>
        </w:tc>
        <w:tc>
          <w:tcPr>
            <w:tcW w:w="1002" w:type="dxa"/>
            <w:shd w:val="clear" w:color="auto" w:fill="E42618"/>
            <w:vAlign w:val="bottom"/>
          </w:tcPr>
          <w:p w:rsidR="00FA2D5B" w:rsidRPr="00FA2D5B" w:rsidRDefault="00FA2D5B" w:rsidP="00FA2D5B">
            <w:pPr>
              <w:spacing w:before="40" w:after="20"/>
              <w:ind w:left="-57" w:right="57"/>
              <w:jc w:val="right"/>
              <w:rPr>
                <w:rFonts w:ascii="Arial Narrow" w:hAnsi="Arial Narrow" w:cs="Arial"/>
                <w:b/>
                <w:color w:val="FFFFFF" w:themeColor="background1"/>
                <w:sz w:val="18"/>
                <w:szCs w:val="18"/>
              </w:rPr>
            </w:pPr>
          </w:p>
        </w:tc>
        <w:tc>
          <w:tcPr>
            <w:tcW w:w="872" w:type="dxa"/>
            <w:shd w:val="clear" w:color="auto" w:fill="E42618"/>
            <w:vAlign w:val="center"/>
          </w:tcPr>
          <w:p w:rsidR="00FA2D5B" w:rsidRPr="00FA2D5B" w:rsidRDefault="00FA2D5B" w:rsidP="00FA2D5B">
            <w:pPr>
              <w:spacing w:before="40" w:after="20"/>
              <w:ind w:left="-57" w:right="57"/>
              <w:jc w:val="right"/>
              <w:rPr>
                <w:rFonts w:ascii="Arial Narrow" w:hAnsi="Arial Narrow" w:cs="Arial"/>
                <w:b/>
                <w:color w:val="FFFFFF" w:themeColor="background1"/>
                <w:sz w:val="18"/>
                <w:szCs w:val="18"/>
              </w:rPr>
            </w:pPr>
            <w:r w:rsidRPr="00FA2D5B">
              <w:rPr>
                <w:rFonts w:ascii="Arial Narrow" w:hAnsi="Arial Narrow" w:cs="Arial"/>
                <w:b/>
                <w:color w:val="FFFFFF" w:themeColor="background1"/>
                <w:sz w:val="18"/>
                <w:szCs w:val="18"/>
              </w:rPr>
              <w:t>+5,7</w:t>
            </w:r>
          </w:p>
        </w:tc>
        <w:tc>
          <w:tcPr>
            <w:tcW w:w="872" w:type="dxa"/>
            <w:shd w:val="clear" w:color="auto" w:fill="E42618"/>
            <w:vAlign w:val="center"/>
          </w:tcPr>
          <w:p w:rsidR="00FA2D5B" w:rsidRPr="00D62F36" w:rsidRDefault="00FA2D5B" w:rsidP="00FA2D5B">
            <w:pPr>
              <w:spacing w:before="40" w:after="20"/>
              <w:ind w:left="-57" w:right="57"/>
              <w:jc w:val="right"/>
              <w:rPr>
                <w:rFonts w:ascii="Arial Narrow" w:hAnsi="Arial Narrow" w:cs="Arial"/>
                <w:b/>
                <w:color w:val="FFFFFF" w:themeColor="background1"/>
                <w:sz w:val="18"/>
                <w:szCs w:val="18"/>
              </w:rPr>
            </w:pPr>
            <w:r>
              <w:rPr>
                <w:rFonts w:ascii="Arial Narrow" w:hAnsi="Arial Narrow" w:cs="Arial"/>
                <w:b/>
                <w:color w:val="FFFFFF" w:themeColor="background1"/>
                <w:sz w:val="18"/>
                <w:szCs w:val="18"/>
              </w:rPr>
              <w:t>+8,1</w:t>
            </w:r>
          </w:p>
        </w:tc>
      </w:tr>
    </w:tbl>
    <w:p w:rsidR="00943B38" w:rsidRDefault="00943B38" w:rsidP="00572D6D">
      <w:pPr>
        <w:spacing w:before="0" w:after="120"/>
        <w:rPr>
          <w:szCs w:val="26"/>
        </w:rPr>
      </w:pPr>
    </w:p>
    <w:p w:rsidR="00F24676" w:rsidRPr="00C8504B" w:rsidRDefault="00F24676" w:rsidP="00F24676">
      <w:pPr>
        <w:pStyle w:val="001TitoloBolocco"/>
        <w:spacing w:after="120" w:line="240" w:lineRule="auto"/>
        <w:rPr>
          <w:szCs w:val="26"/>
        </w:rPr>
      </w:pPr>
      <w:r w:rsidRPr="00C8504B">
        <w:rPr>
          <w:szCs w:val="26"/>
        </w:rPr>
        <w:t>I prodotti per frequenza di acquisto</w:t>
      </w:r>
    </w:p>
    <w:p w:rsidR="00B87271" w:rsidRPr="00C8504B" w:rsidRDefault="00B87271" w:rsidP="00A6652B">
      <w:pPr>
        <w:pStyle w:val="Corpotesto"/>
        <w:spacing w:after="120" w:line="240" w:lineRule="auto"/>
        <w:jc w:val="both"/>
        <w:rPr>
          <w:rFonts w:ascii="Arial Narrow" w:hAnsi="Arial Narrow" w:cs="Arial"/>
          <w:b/>
          <w:color w:val="E42618"/>
          <w:kern w:val="0"/>
          <w:sz w:val="22"/>
          <w:szCs w:val="22"/>
        </w:rPr>
      </w:pPr>
    </w:p>
    <w:p w:rsidR="00A6652B" w:rsidRPr="00C8504B" w:rsidRDefault="00A6652B" w:rsidP="00A6652B">
      <w:pPr>
        <w:pStyle w:val="Corpotesto"/>
        <w:spacing w:after="120" w:line="240" w:lineRule="auto"/>
        <w:jc w:val="both"/>
        <w:rPr>
          <w:rFonts w:ascii="Arial Narrow" w:hAnsi="Arial Narrow" w:cs="Arial"/>
          <w:color w:val="5F5F5F"/>
        </w:rPr>
      </w:pPr>
      <w:r w:rsidRPr="00C8504B">
        <w:rPr>
          <w:rFonts w:ascii="Arial Narrow" w:hAnsi="Arial Narrow" w:cs="Arial"/>
          <w:b/>
          <w:color w:val="E42618"/>
          <w:kern w:val="0"/>
          <w:sz w:val="22"/>
          <w:szCs w:val="22"/>
        </w:rPr>
        <w:t xml:space="preserve">PROSPETTO </w:t>
      </w:r>
      <w:r w:rsidR="00E74721" w:rsidRPr="00C8504B">
        <w:rPr>
          <w:rFonts w:ascii="Arial Narrow" w:hAnsi="Arial Narrow" w:cs="Arial"/>
          <w:b/>
          <w:color w:val="E42618"/>
          <w:kern w:val="0"/>
          <w:sz w:val="22"/>
          <w:szCs w:val="22"/>
        </w:rPr>
        <w:t>5</w:t>
      </w:r>
      <w:r w:rsidRPr="00C8504B">
        <w:rPr>
          <w:rFonts w:ascii="Arial Narrow" w:hAnsi="Arial Narrow" w:cs="Arial"/>
          <w:b/>
          <w:color w:val="E42618"/>
          <w:kern w:val="0"/>
          <w:sz w:val="22"/>
          <w:szCs w:val="22"/>
        </w:rPr>
        <w:t>.</w:t>
      </w:r>
      <w:r w:rsidRPr="00C8504B">
        <w:rPr>
          <w:rFonts w:ascii="Arial Narrow" w:hAnsi="Arial Narrow" w:cs="Arial"/>
          <w:b/>
          <w:color w:val="5F5F5F"/>
        </w:rPr>
        <w:t xml:space="preserve"> </w:t>
      </w:r>
      <w:r w:rsidRPr="00C8504B">
        <w:rPr>
          <w:rFonts w:ascii="Arial Narrow" w:hAnsi="Arial Narrow" w:cs="Calibri"/>
          <w:b/>
          <w:bCs/>
          <w:color w:val="5F5F5F"/>
          <w:kern w:val="0"/>
          <w:sz w:val="22"/>
          <w:szCs w:val="22"/>
        </w:rPr>
        <w:t>INDICI DEI PREZZI AL CONSUMO NIC PER PRODOTTI A DIVERSA FREQUENZA DI ACQUISTO</w:t>
      </w:r>
      <w:r w:rsidR="002E7E19">
        <w:rPr>
          <w:rFonts w:ascii="Arial Narrow" w:hAnsi="Arial Narrow" w:cs="Calibri"/>
          <w:b/>
          <w:bCs/>
          <w:color w:val="5F5F5F"/>
          <w:kern w:val="0"/>
          <w:sz w:val="22"/>
          <w:szCs w:val="22"/>
        </w:rPr>
        <w:t xml:space="preserve"> </w:t>
      </w:r>
      <w:r w:rsidR="002E7E19" w:rsidRPr="00656FD7">
        <w:rPr>
          <w:rFonts w:ascii="Arial Narrow" w:hAnsi="Arial Narrow" w:cs="Calibri"/>
          <w:b/>
          <w:bCs/>
          <w:color w:val="808080" w:themeColor="background1" w:themeShade="80"/>
          <w:kern w:val="0"/>
          <w:sz w:val="22"/>
          <w:szCs w:val="22"/>
          <w:vertAlign w:val="superscript"/>
        </w:rPr>
        <w:t>(a)</w:t>
      </w:r>
      <w:r w:rsidRPr="00C8504B">
        <w:rPr>
          <w:rFonts w:ascii="Arial Narrow" w:hAnsi="Arial Narrow" w:cs="Arial"/>
          <w:b/>
          <w:color w:val="5F5F5F"/>
          <w:sz w:val="22"/>
          <w:szCs w:val="22"/>
        </w:rPr>
        <w:br/>
      </w:r>
      <w:r w:rsidR="00F5157D" w:rsidRPr="00F5157D">
        <w:rPr>
          <w:rFonts w:ascii="Arial Narrow" w:hAnsi="Arial Narrow" w:cs="Arial"/>
          <w:color w:val="5F5F5F"/>
        </w:rPr>
        <w:t xml:space="preserve">Dicembre </w:t>
      </w:r>
      <w:r w:rsidR="00245281">
        <w:rPr>
          <w:rFonts w:ascii="Arial Narrow" w:hAnsi="Arial Narrow" w:cs="Arial"/>
          <w:color w:val="5F5F5F"/>
        </w:rPr>
        <w:t>2023</w:t>
      </w:r>
      <w:r w:rsidRPr="00C8504B">
        <w:rPr>
          <w:rFonts w:ascii="Arial Narrow" w:hAnsi="Arial Narrow" w:cs="Arial"/>
          <w:color w:val="5F5F5F"/>
        </w:rPr>
        <w:t xml:space="preserve">, pesi, variazioni percentuali </w:t>
      </w:r>
      <w:r w:rsidR="009E7068" w:rsidRPr="00C8504B">
        <w:rPr>
          <w:rFonts w:ascii="Arial Narrow" w:hAnsi="Arial Narrow" w:cs="Arial"/>
          <w:color w:val="5F5F5F"/>
        </w:rPr>
        <w:t>congiunturali</w:t>
      </w:r>
      <w:r w:rsidR="00625F9C" w:rsidRPr="00C8504B">
        <w:rPr>
          <w:rFonts w:ascii="Arial Narrow" w:hAnsi="Arial Narrow" w:cs="Arial"/>
          <w:color w:val="5F5F5F"/>
        </w:rPr>
        <w:t xml:space="preserve"> e tendenziali </w:t>
      </w:r>
      <w:r w:rsidRPr="00C8504B">
        <w:rPr>
          <w:rFonts w:ascii="Arial Narrow" w:hAnsi="Arial Narrow" w:cs="Arial"/>
          <w:color w:val="5F5F5F"/>
        </w:rPr>
        <w:t>e contributi alla variazione tendenziale dell’</w:t>
      </w:r>
      <w:r w:rsidR="007758FD" w:rsidRPr="00C8504B">
        <w:rPr>
          <w:rFonts w:ascii="Arial Narrow" w:hAnsi="Arial Narrow" w:cs="Arial"/>
          <w:color w:val="5F5F5F"/>
        </w:rPr>
        <w:t xml:space="preserve">indice generale </w:t>
      </w:r>
      <w:r w:rsidR="00D95F90">
        <w:rPr>
          <w:rFonts w:ascii="Arial Narrow" w:hAnsi="Arial Narrow" w:cs="Arial"/>
          <w:color w:val="5F5F5F"/>
        </w:rPr>
        <w:t xml:space="preserve">                       </w:t>
      </w:r>
      <w:r w:rsidR="007758FD" w:rsidRPr="00C8504B">
        <w:rPr>
          <w:rFonts w:ascii="Arial Narrow" w:hAnsi="Arial Narrow" w:cs="Arial"/>
          <w:color w:val="5F5F5F"/>
        </w:rPr>
        <w:t>(base 2015=100)</w:t>
      </w:r>
    </w:p>
    <w:tbl>
      <w:tblPr>
        <w:tblW w:w="10205" w:type="dxa"/>
        <w:tblInd w:w="70" w:type="dxa"/>
        <w:tblBorders>
          <w:top w:val="single" w:sz="4" w:space="0" w:color="auto"/>
          <w:bottom w:val="single" w:sz="4" w:space="0" w:color="auto"/>
          <w:insideH w:val="single" w:sz="4" w:space="0" w:color="auto"/>
        </w:tblBorders>
        <w:tblCellMar>
          <w:left w:w="70" w:type="dxa"/>
          <w:right w:w="0" w:type="dxa"/>
        </w:tblCellMar>
        <w:tblLook w:val="0000" w:firstRow="0" w:lastRow="0" w:firstColumn="0" w:lastColumn="0" w:noHBand="0" w:noVBand="0"/>
      </w:tblPr>
      <w:tblGrid>
        <w:gridCol w:w="1994"/>
        <w:gridCol w:w="1298"/>
        <w:gridCol w:w="1027"/>
        <w:gridCol w:w="1017"/>
        <w:gridCol w:w="1009"/>
        <w:gridCol w:w="1007"/>
        <w:gridCol w:w="1033"/>
        <w:gridCol w:w="910"/>
        <w:gridCol w:w="910"/>
      </w:tblGrid>
      <w:tr w:rsidR="00BA6AB7" w:rsidRPr="00C8504B" w:rsidTr="00BA6AB7">
        <w:trPr>
          <w:trHeight w:val="347"/>
        </w:trPr>
        <w:tc>
          <w:tcPr>
            <w:tcW w:w="1994" w:type="dxa"/>
            <w:vMerge w:val="restart"/>
            <w:vAlign w:val="center"/>
          </w:tcPr>
          <w:p w:rsidR="00BA6AB7" w:rsidRPr="00C8504B" w:rsidRDefault="00BA6AB7" w:rsidP="001E0205">
            <w:pPr>
              <w:spacing w:before="40" w:after="20"/>
              <w:ind w:left="-57"/>
              <w:rPr>
                <w:rFonts w:ascii="Arial Narrow" w:hAnsi="Arial Narrow" w:cs="Arial"/>
                <w:sz w:val="18"/>
                <w:szCs w:val="18"/>
              </w:rPr>
            </w:pPr>
            <w:r w:rsidRPr="00C8504B">
              <w:rPr>
                <w:rFonts w:ascii="Arial Narrow" w:hAnsi="Arial Narrow" w:cs="Arial"/>
                <w:b/>
                <w:bCs/>
                <w:sz w:val="18"/>
                <w:szCs w:val="18"/>
              </w:rPr>
              <w:t>TIPOLOGIE DI PRODOTTO</w:t>
            </w:r>
          </w:p>
        </w:tc>
        <w:tc>
          <w:tcPr>
            <w:tcW w:w="1298" w:type="dxa"/>
            <w:vMerge w:val="restart"/>
            <w:shd w:val="clear" w:color="auto" w:fill="D9D9D9"/>
            <w:vAlign w:val="center"/>
          </w:tcPr>
          <w:p w:rsidR="00BA6AB7" w:rsidRPr="00C8504B" w:rsidRDefault="00BA6AB7" w:rsidP="00C17464">
            <w:pPr>
              <w:spacing w:before="40" w:after="20"/>
              <w:ind w:right="57"/>
              <w:jc w:val="right"/>
              <w:rPr>
                <w:rFonts w:ascii="Arial Narrow" w:hAnsi="Arial Narrow" w:cs="Arial"/>
                <w:sz w:val="18"/>
                <w:szCs w:val="18"/>
              </w:rPr>
            </w:pPr>
            <w:r w:rsidRPr="00C8504B">
              <w:rPr>
                <w:rFonts w:ascii="Arial Narrow" w:hAnsi="Arial Narrow" w:cs="Arial"/>
                <w:b/>
                <w:bCs/>
                <w:sz w:val="18"/>
                <w:szCs w:val="18"/>
              </w:rPr>
              <w:t>Pesi</w:t>
            </w:r>
          </w:p>
        </w:tc>
        <w:tc>
          <w:tcPr>
            <w:tcW w:w="2044" w:type="dxa"/>
            <w:gridSpan w:val="2"/>
            <w:vAlign w:val="center"/>
          </w:tcPr>
          <w:p w:rsidR="00BA6AB7" w:rsidRPr="00C8504B" w:rsidRDefault="00BA6AB7" w:rsidP="007758FD">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congiunturali</w:t>
            </w:r>
          </w:p>
        </w:tc>
        <w:tc>
          <w:tcPr>
            <w:tcW w:w="2016" w:type="dxa"/>
            <w:gridSpan w:val="2"/>
            <w:shd w:val="clear" w:color="auto" w:fill="D9D9D9"/>
            <w:vAlign w:val="center"/>
          </w:tcPr>
          <w:p w:rsidR="00BA6AB7" w:rsidRPr="00C8504B" w:rsidRDefault="00BA6AB7" w:rsidP="007758FD">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tendenziali</w:t>
            </w:r>
          </w:p>
        </w:tc>
        <w:tc>
          <w:tcPr>
            <w:tcW w:w="1033" w:type="dxa"/>
            <w:vMerge w:val="restart"/>
            <w:shd w:val="clear" w:color="auto" w:fill="auto"/>
            <w:vAlign w:val="center"/>
          </w:tcPr>
          <w:p w:rsidR="00BA6AB7" w:rsidRPr="00C8504B" w:rsidRDefault="00BA6AB7" w:rsidP="00245281">
            <w:pPr>
              <w:spacing w:before="40" w:after="20"/>
              <w:ind w:left="-46" w:right="57"/>
              <w:jc w:val="right"/>
              <w:rPr>
                <w:rFonts w:ascii="Arial Narrow" w:hAnsi="Arial Narrow" w:cs="Arial"/>
                <w:sz w:val="18"/>
                <w:szCs w:val="18"/>
                <w:highlight w:val="yellow"/>
              </w:rPr>
            </w:pPr>
            <w:r w:rsidRPr="00C8504B">
              <w:rPr>
                <w:rFonts w:ascii="Arial Narrow" w:hAnsi="Arial Narrow" w:cs="Arial"/>
                <w:b/>
                <w:bCs/>
                <w:snapToGrid w:val="0"/>
                <w:sz w:val="18"/>
                <w:szCs w:val="18"/>
              </w:rPr>
              <w:t>Contributo</w:t>
            </w:r>
            <w:r w:rsidRPr="00C8504B">
              <w:rPr>
                <w:rFonts w:ascii="Arial Narrow" w:hAnsi="Arial Narrow" w:cs="Arial"/>
                <w:b/>
                <w:bCs/>
                <w:snapToGrid w:val="0"/>
                <w:sz w:val="18"/>
                <w:szCs w:val="18"/>
              </w:rPr>
              <w:br/>
              <w:t xml:space="preserve"> variazione  su </w:t>
            </w:r>
            <w:r>
              <w:rPr>
                <w:rFonts w:ascii="Arial Narrow" w:hAnsi="Arial Narrow" w:cs="Arial"/>
                <w:b/>
                <w:bCs/>
                <w:snapToGrid w:val="0"/>
                <w:sz w:val="18"/>
                <w:szCs w:val="18"/>
              </w:rPr>
              <w:t>dic</w:t>
            </w:r>
            <w:r w:rsidR="004D03D9">
              <w:rPr>
                <w:rFonts w:ascii="Arial Narrow" w:hAnsi="Arial Narrow" w:cs="Arial"/>
                <w:b/>
                <w:bCs/>
                <w:snapToGrid w:val="0"/>
                <w:sz w:val="18"/>
                <w:szCs w:val="18"/>
              </w:rPr>
              <w:t>-2</w:t>
            </w:r>
            <w:r w:rsidR="00245281">
              <w:rPr>
                <w:rFonts w:ascii="Arial Narrow" w:hAnsi="Arial Narrow" w:cs="Arial"/>
                <w:b/>
                <w:bCs/>
                <w:snapToGrid w:val="0"/>
                <w:sz w:val="18"/>
                <w:szCs w:val="18"/>
              </w:rPr>
              <w:t>2</w:t>
            </w:r>
          </w:p>
        </w:tc>
        <w:tc>
          <w:tcPr>
            <w:tcW w:w="1820" w:type="dxa"/>
            <w:gridSpan w:val="2"/>
            <w:shd w:val="clear" w:color="auto" w:fill="D9D9D9" w:themeFill="background1" w:themeFillShade="D9"/>
            <w:vAlign w:val="center"/>
          </w:tcPr>
          <w:p w:rsidR="00BA6AB7" w:rsidRPr="00790526" w:rsidRDefault="00BA6AB7" w:rsidP="00BA6AB7">
            <w:pPr>
              <w:spacing w:before="40" w:after="20"/>
              <w:ind w:left="-233" w:right="57" w:firstLine="187"/>
              <w:jc w:val="center"/>
              <w:rPr>
                <w:rFonts w:ascii="Arial Narrow" w:hAnsi="Arial Narrow" w:cs="Arial"/>
                <w:b/>
                <w:bCs/>
                <w:kern w:val="0"/>
                <w:sz w:val="18"/>
                <w:szCs w:val="18"/>
              </w:rPr>
            </w:pPr>
            <w:r>
              <w:rPr>
                <w:rFonts w:ascii="Arial Narrow" w:hAnsi="Arial Narrow" w:cs="Arial"/>
                <w:b/>
                <w:bCs/>
                <w:kern w:val="0"/>
                <w:sz w:val="18"/>
                <w:szCs w:val="18"/>
              </w:rPr>
              <w:t>V</w:t>
            </w:r>
            <w:r w:rsidRPr="00E35895">
              <w:rPr>
                <w:rFonts w:ascii="Arial Narrow" w:hAnsi="Arial Narrow" w:cs="Arial"/>
                <w:b/>
                <w:bCs/>
                <w:kern w:val="0"/>
                <w:sz w:val="18"/>
                <w:szCs w:val="18"/>
              </w:rPr>
              <w:t>ariazioni</w:t>
            </w:r>
            <w:r>
              <w:rPr>
                <w:rFonts w:ascii="Arial Narrow" w:hAnsi="Arial Narrow" w:cs="Arial"/>
                <w:b/>
                <w:bCs/>
                <w:kern w:val="0"/>
                <w:sz w:val="18"/>
                <w:szCs w:val="18"/>
              </w:rPr>
              <w:t xml:space="preserve"> </w:t>
            </w:r>
            <w:r w:rsidRPr="00E35895">
              <w:rPr>
                <w:rFonts w:ascii="Arial Narrow" w:hAnsi="Arial Narrow" w:cs="Arial"/>
                <w:b/>
                <w:bCs/>
                <w:kern w:val="0"/>
                <w:sz w:val="18"/>
                <w:szCs w:val="18"/>
              </w:rPr>
              <w:t>medi</w:t>
            </w:r>
            <w:r>
              <w:rPr>
                <w:rFonts w:ascii="Arial Narrow" w:hAnsi="Arial Narrow" w:cs="Arial"/>
                <w:b/>
                <w:bCs/>
                <w:kern w:val="0"/>
                <w:sz w:val="18"/>
                <w:szCs w:val="18"/>
              </w:rPr>
              <w:t>e</w:t>
            </w:r>
          </w:p>
        </w:tc>
      </w:tr>
      <w:tr w:rsidR="008B07E9" w:rsidRPr="00C8504B" w:rsidTr="00FF2F4C">
        <w:trPr>
          <w:trHeight w:val="346"/>
        </w:trPr>
        <w:tc>
          <w:tcPr>
            <w:tcW w:w="1994" w:type="dxa"/>
            <w:vMerge/>
            <w:vAlign w:val="center"/>
          </w:tcPr>
          <w:p w:rsidR="008B07E9" w:rsidRPr="00C8504B" w:rsidRDefault="008B07E9" w:rsidP="008B07E9">
            <w:pPr>
              <w:spacing w:before="40" w:after="20"/>
              <w:ind w:left="-57"/>
              <w:rPr>
                <w:rFonts w:ascii="Arial Narrow" w:hAnsi="Arial Narrow" w:cs="Arial"/>
                <w:b/>
                <w:bCs/>
                <w:sz w:val="18"/>
                <w:szCs w:val="18"/>
              </w:rPr>
            </w:pPr>
          </w:p>
        </w:tc>
        <w:tc>
          <w:tcPr>
            <w:tcW w:w="1298" w:type="dxa"/>
            <w:vMerge/>
            <w:shd w:val="clear" w:color="auto" w:fill="D9D9D9"/>
            <w:vAlign w:val="center"/>
          </w:tcPr>
          <w:p w:rsidR="008B07E9" w:rsidRPr="00C8504B" w:rsidRDefault="008B07E9" w:rsidP="008B07E9">
            <w:pPr>
              <w:spacing w:before="40" w:after="20"/>
              <w:ind w:right="57"/>
              <w:jc w:val="right"/>
              <w:rPr>
                <w:rFonts w:ascii="Arial Narrow" w:hAnsi="Arial Narrow" w:cs="Arial"/>
                <w:b/>
                <w:bCs/>
                <w:sz w:val="18"/>
                <w:szCs w:val="18"/>
              </w:rPr>
            </w:pPr>
          </w:p>
        </w:tc>
        <w:tc>
          <w:tcPr>
            <w:tcW w:w="1027" w:type="dxa"/>
            <w:vAlign w:val="center"/>
          </w:tcPr>
          <w:p w:rsidR="008B07E9" w:rsidRDefault="00245281"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dic-23</w:t>
            </w:r>
          </w:p>
          <w:p w:rsidR="008B07E9" w:rsidRPr="00E03E58" w:rsidRDefault="00245281" w:rsidP="008B07E9">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nov-23</w:t>
            </w:r>
          </w:p>
        </w:tc>
        <w:tc>
          <w:tcPr>
            <w:tcW w:w="1017" w:type="dxa"/>
            <w:vAlign w:val="center"/>
          </w:tcPr>
          <w:p w:rsidR="008B07E9" w:rsidRDefault="00245281"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dic-22</w:t>
            </w:r>
          </w:p>
          <w:p w:rsidR="008B07E9" w:rsidRPr="008814F3" w:rsidRDefault="00245281"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nov-22</w:t>
            </w:r>
          </w:p>
        </w:tc>
        <w:tc>
          <w:tcPr>
            <w:tcW w:w="1009" w:type="dxa"/>
            <w:vAlign w:val="center"/>
          </w:tcPr>
          <w:p w:rsidR="008B07E9" w:rsidRDefault="00245281"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dic-23</w:t>
            </w:r>
          </w:p>
          <w:p w:rsidR="008B07E9" w:rsidRPr="008814F3" w:rsidRDefault="00245281"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dic-22</w:t>
            </w:r>
          </w:p>
        </w:tc>
        <w:tc>
          <w:tcPr>
            <w:tcW w:w="1007" w:type="dxa"/>
            <w:vAlign w:val="center"/>
          </w:tcPr>
          <w:p w:rsidR="008B07E9" w:rsidRDefault="00245281"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nov-23</w:t>
            </w:r>
          </w:p>
          <w:p w:rsidR="008B07E9" w:rsidRPr="008814F3" w:rsidRDefault="00245281"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nov-22</w:t>
            </w:r>
          </w:p>
        </w:tc>
        <w:tc>
          <w:tcPr>
            <w:tcW w:w="1033" w:type="dxa"/>
            <w:vMerge/>
            <w:shd w:val="clear" w:color="auto" w:fill="auto"/>
            <w:vAlign w:val="center"/>
          </w:tcPr>
          <w:p w:rsidR="008B07E9" w:rsidRPr="00C8504B" w:rsidRDefault="008B07E9" w:rsidP="008B07E9">
            <w:pPr>
              <w:spacing w:before="40" w:after="20"/>
              <w:ind w:left="-46" w:right="57"/>
              <w:jc w:val="right"/>
              <w:rPr>
                <w:rFonts w:ascii="Arial Narrow" w:hAnsi="Arial Narrow" w:cs="Arial"/>
                <w:b/>
                <w:bCs/>
                <w:snapToGrid w:val="0"/>
                <w:sz w:val="18"/>
                <w:szCs w:val="18"/>
              </w:rPr>
            </w:pPr>
          </w:p>
        </w:tc>
        <w:tc>
          <w:tcPr>
            <w:tcW w:w="910" w:type="dxa"/>
            <w:vAlign w:val="center"/>
          </w:tcPr>
          <w:p w:rsidR="008B07E9" w:rsidRDefault="008B07E9"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202</w:t>
            </w:r>
            <w:r w:rsidR="00245281">
              <w:rPr>
                <w:rFonts w:ascii="Arial Narrow" w:hAnsi="Arial Narrow" w:cs="Arial"/>
                <w:kern w:val="0"/>
                <w:sz w:val="18"/>
                <w:szCs w:val="18"/>
                <w:u w:val="single"/>
              </w:rPr>
              <w:t>3</w:t>
            </w:r>
          </w:p>
          <w:p w:rsidR="008B07E9" w:rsidRPr="008814F3" w:rsidRDefault="008B07E9" w:rsidP="00245281">
            <w:pPr>
              <w:widowControl/>
              <w:overflowPunct/>
              <w:autoSpaceDE/>
              <w:autoSpaceDN/>
              <w:adjustRightInd/>
              <w:spacing w:before="0" w:after="0"/>
              <w:ind w:right="57"/>
              <w:jc w:val="right"/>
              <w:rPr>
                <w:rFonts w:ascii="Arial Narrow" w:hAnsi="Arial Narrow" w:cs="Arial"/>
                <w:b/>
                <w:bCs/>
                <w:kern w:val="0"/>
                <w:sz w:val="18"/>
                <w:szCs w:val="18"/>
              </w:rPr>
            </w:pPr>
            <w:r>
              <w:rPr>
                <w:rFonts w:ascii="Arial Narrow" w:hAnsi="Arial Narrow" w:cs="Arial"/>
                <w:kern w:val="0"/>
                <w:sz w:val="18"/>
                <w:szCs w:val="18"/>
              </w:rPr>
              <w:t>202</w:t>
            </w:r>
            <w:r w:rsidR="00245281">
              <w:rPr>
                <w:rFonts w:ascii="Arial Narrow" w:hAnsi="Arial Narrow" w:cs="Arial"/>
                <w:kern w:val="0"/>
                <w:sz w:val="18"/>
                <w:szCs w:val="18"/>
              </w:rPr>
              <w:t>2</w:t>
            </w:r>
          </w:p>
        </w:tc>
        <w:tc>
          <w:tcPr>
            <w:tcW w:w="910" w:type="dxa"/>
            <w:vAlign w:val="center"/>
          </w:tcPr>
          <w:p w:rsidR="008B07E9" w:rsidRDefault="008B07E9"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202</w:t>
            </w:r>
            <w:r w:rsidR="00245281">
              <w:rPr>
                <w:rFonts w:ascii="Arial Narrow" w:hAnsi="Arial Narrow" w:cs="Arial"/>
                <w:kern w:val="0"/>
                <w:sz w:val="18"/>
                <w:szCs w:val="18"/>
                <w:u w:val="single"/>
              </w:rPr>
              <w:t>2</w:t>
            </w:r>
          </w:p>
          <w:p w:rsidR="008B07E9" w:rsidRPr="008814F3" w:rsidRDefault="008B07E9" w:rsidP="00245281">
            <w:pPr>
              <w:widowControl/>
              <w:overflowPunct/>
              <w:autoSpaceDE/>
              <w:autoSpaceDN/>
              <w:adjustRightInd/>
              <w:spacing w:before="0" w:after="0"/>
              <w:ind w:right="57"/>
              <w:jc w:val="right"/>
              <w:rPr>
                <w:rFonts w:ascii="Arial Narrow" w:hAnsi="Arial Narrow" w:cs="Arial"/>
                <w:b/>
                <w:bCs/>
                <w:kern w:val="0"/>
                <w:sz w:val="18"/>
                <w:szCs w:val="18"/>
              </w:rPr>
            </w:pPr>
            <w:r>
              <w:rPr>
                <w:rFonts w:ascii="Arial Narrow" w:hAnsi="Arial Narrow" w:cs="Arial"/>
                <w:kern w:val="0"/>
                <w:sz w:val="18"/>
                <w:szCs w:val="18"/>
              </w:rPr>
              <w:t>202</w:t>
            </w:r>
            <w:r w:rsidR="00245281">
              <w:rPr>
                <w:rFonts w:ascii="Arial Narrow" w:hAnsi="Arial Narrow" w:cs="Arial"/>
                <w:kern w:val="0"/>
                <w:sz w:val="18"/>
                <w:szCs w:val="18"/>
              </w:rPr>
              <w:t>1</w:t>
            </w:r>
          </w:p>
        </w:tc>
      </w:tr>
      <w:tr w:rsidR="00434EDE" w:rsidRPr="00C8504B" w:rsidTr="00596941">
        <w:trPr>
          <w:trHeight w:val="255"/>
        </w:trPr>
        <w:tc>
          <w:tcPr>
            <w:tcW w:w="1994" w:type="dxa"/>
            <w:vAlign w:val="center"/>
          </w:tcPr>
          <w:p w:rsidR="00434EDE" w:rsidRPr="00C8504B" w:rsidRDefault="00434EDE" w:rsidP="00434EDE">
            <w:pPr>
              <w:spacing w:before="40" w:after="20"/>
              <w:ind w:left="-57"/>
              <w:rPr>
                <w:rFonts w:ascii="Arial Narrow" w:hAnsi="Arial Narrow" w:cs="Arial"/>
                <w:sz w:val="18"/>
                <w:szCs w:val="18"/>
              </w:rPr>
            </w:pPr>
            <w:r w:rsidRPr="00C8504B">
              <w:rPr>
                <w:rFonts w:ascii="Arial Narrow" w:hAnsi="Arial Narrow" w:cs="Arial"/>
                <w:sz w:val="18"/>
                <w:szCs w:val="18"/>
              </w:rPr>
              <w:t>Alta frequenza</w:t>
            </w:r>
          </w:p>
        </w:tc>
        <w:tc>
          <w:tcPr>
            <w:tcW w:w="1298" w:type="dxa"/>
            <w:shd w:val="clear" w:color="auto" w:fill="D9D9D9"/>
            <w:vAlign w:val="bottom"/>
          </w:tcPr>
          <w:p w:rsidR="00434EDE" w:rsidRPr="005600D2" w:rsidRDefault="00434EDE" w:rsidP="00434EDE">
            <w:pPr>
              <w:spacing w:before="40" w:after="20"/>
              <w:ind w:left="-57" w:right="57"/>
              <w:jc w:val="right"/>
              <w:rPr>
                <w:rFonts w:ascii="Arial Narrow" w:hAnsi="Arial Narrow" w:cs="Arial"/>
                <w:sz w:val="18"/>
                <w:szCs w:val="18"/>
              </w:rPr>
            </w:pPr>
            <w:r w:rsidRPr="005600D2">
              <w:rPr>
                <w:rFonts w:ascii="Arial Narrow" w:hAnsi="Arial Narrow" w:cs="Arial"/>
                <w:sz w:val="18"/>
                <w:szCs w:val="18"/>
              </w:rPr>
              <w:t>400.828</w:t>
            </w:r>
          </w:p>
        </w:tc>
        <w:tc>
          <w:tcPr>
            <w:tcW w:w="1027" w:type="dxa"/>
            <w:vAlign w:val="center"/>
          </w:tcPr>
          <w:p w:rsidR="00434EDE" w:rsidRPr="00434EDE" w:rsidRDefault="00434EDE" w:rsidP="00434EDE">
            <w:pPr>
              <w:spacing w:before="40" w:after="20"/>
              <w:ind w:left="-57" w:right="57"/>
              <w:jc w:val="right"/>
              <w:rPr>
                <w:rFonts w:ascii="Arial Narrow" w:hAnsi="Arial Narrow" w:cs="Arial"/>
                <w:sz w:val="18"/>
                <w:szCs w:val="18"/>
              </w:rPr>
            </w:pPr>
            <w:r w:rsidRPr="00434EDE">
              <w:rPr>
                <w:rFonts w:ascii="Arial Narrow" w:hAnsi="Arial Narrow" w:cs="Arial"/>
                <w:sz w:val="18"/>
                <w:szCs w:val="18"/>
              </w:rPr>
              <w:t>-0,2</w:t>
            </w:r>
          </w:p>
        </w:tc>
        <w:tc>
          <w:tcPr>
            <w:tcW w:w="1017" w:type="dxa"/>
            <w:shd w:val="clear" w:color="auto" w:fill="D9D9D9" w:themeFill="background1" w:themeFillShade="D9"/>
            <w:vAlign w:val="center"/>
          </w:tcPr>
          <w:p w:rsidR="00434EDE" w:rsidRPr="00434EDE" w:rsidRDefault="00434EDE" w:rsidP="00434EDE">
            <w:pPr>
              <w:spacing w:before="40" w:after="20"/>
              <w:ind w:left="-57" w:right="57"/>
              <w:jc w:val="right"/>
              <w:rPr>
                <w:rFonts w:ascii="Arial Narrow" w:hAnsi="Arial Narrow" w:cs="Arial"/>
                <w:sz w:val="18"/>
                <w:szCs w:val="18"/>
              </w:rPr>
            </w:pPr>
            <w:r w:rsidRPr="00434EDE">
              <w:rPr>
                <w:rFonts w:ascii="Arial Narrow" w:hAnsi="Arial Narrow" w:cs="Arial"/>
                <w:sz w:val="18"/>
                <w:szCs w:val="18"/>
              </w:rPr>
              <w:t>0,0</w:t>
            </w:r>
          </w:p>
        </w:tc>
        <w:tc>
          <w:tcPr>
            <w:tcW w:w="1009" w:type="dxa"/>
            <w:vAlign w:val="center"/>
          </w:tcPr>
          <w:p w:rsidR="00434EDE" w:rsidRPr="00434EDE" w:rsidRDefault="00434EDE" w:rsidP="00434EDE">
            <w:pPr>
              <w:spacing w:before="40" w:after="20"/>
              <w:ind w:left="-57" w:right="57"/>
              <w:jc w:val="right"/>
              <w:rPr>
                <w:rFonts w:ascii="Arial Narrow" w:hAnsi="Arial Narrow" w:cs="Arial"/>
                <w:sz w:val="18"/>
                <w:szCs w:val="18"/>
              </w:rPr>
            </w:pPr>
            <w:r w:rsidRPr="00434EDE">
              <w:rPr>
                <w:rFonts w:ascii="Arial Narrow" w:hAnsi="Arial Narrow" w:cs="Arial"/>
                <w:sz w:val="18"/>
                <w:szCs w:val="18"/>
              </w:rPr>
              <w:t>+4,4</w:t>
            </w:r>
          </w:p>
        </w:tc>
        <w:tc>
          <w:tcPr>
            <w:tcW w:w="1007" w:type="dxa"/>
            <w:shd w:val="clear" w:color="auto" w:fill="D9D9D9"/>
            <w:vAlign w:val="center"/>
          </w:tcPr>
          <w:p w:rsidR="00434EDE" w:rsidRPr="00434EDE" w:rsidRDefault="00434EDE" w:rsidP="00434EDE">
            <w:pPr>
              <w:spacing w:before="40" w:after="20"/>
              <w:ind w:left="-57" w:right="57"/>
              <w:jc w:val="right"/>
              <w:rPr>
                <w:rFonts w:ascii="Arial Narrow" w:hAnsi="Arial Narrow" w:cs="Arial"/>
                <w:sz w:val="18"/>
                <w:szCs w:val="18"/>
              </w:rPr>
            </w:pPr>
            <w:r w:rsidRPr="00434EDE">
              <w:rPr>
                <w:rFonts w:ascii="Arial Narrow" w:hAnsi="Arial Narrow" w:cs="Arial"/>
                <w:sz w:val="18"/>
                <w:szCs w:val="18"/>
              </w:rPr>
              <w:t>+4,6</w:t>
            </w:r>
          </w:p>
        </w:tc>
        <w:tc>
          <w:tcPr>
            <w:tcW w:w="1033" w:type="dxa"/>
            <w:shd w:val="clear" w:color="auto" w:fill="auto"/>
            <w:vAlign w:val="bottom"/>
          </w:tcPr>
          <w:p w:rsidR="00434EDE" w:rsidRPr="00434EDE" w:rsidRDefault="00434EDE" w:rsidP="00434EDE">
            <w:pPr>
              <w:spacing w:before="40" w:after="20"/>
              <w:ind w:left="-57" w:right="57"/>
              <w:jc w:val="right"/>
              <w:rPr>
                <w:rFonts w:ascii="Arial Narrow" w:hAnsi="Arial Narrow" w:cs="Arial"/>
                <w:sz w:val="18"/>
                <w:szCs w:val="18"/>
              </w:rPr>
            </w:pPr>
            <w:r w:rsidRPr="00434EDE">
              <w:rPr>
                <w:rFonts w:ascii="Arial Narrow" w:hAnsi="Arial Narrow" w:cs="Arial"/>
                <w:sz w:val="18"/>
                <w:szCs w:val="18"/>
              </w:rPr>
              <w:t>1,769</w:t>
            </w:r>
          </w:p>
        </w:tc>
        <w:tc>
          <w:tcPr>
            <w:tcW w:w="910" w:type="dxa"/>
            <w:shd w:val="clear" w:color="auto" w:fill="D9D9D9" w:themeFill="background1" w:themeFillShade="D9"/>
            <w:vAlign w:val="center"/>
          </w:tcPr>
          <w:p w:rsidR="00434EDE" w:rsidRPr="00434EDE" w:rsidRDefault="00434EDE" w:rsidP="00434EDE">
            <w:pPr>
              <w:spacing w:before="40" w:after="20"/>
              <w:ind w:left="-57" w:right="57"/>
              <w:jc w:val="right"/>
              <w:rPr>
                <w:rFonts w:ascii="Arial Narrow" w:hAnsi="Arial Narrow" w:cs="Arial"/>
                <w:sz w:val="18"/>
                <w:szCs w:val="18"/>
              </w:rPr>
            </w:pPr>
            <w:r w:rsidRPr="00434EDE">
              <w:rPr>
                <w:rFonts w:ascii="Arial Narrow" w:hAnsi="Arial Narrow" w:cs="Arial"/>
                <w:sz w:val="18"/>
                <w:szCs w:val="18"/>
              </w:rPr>
              <w:t>+6,7</w:t>
            </w:r>
          </w:p>
        </w:tc>
        <w:tc>
          <w:tcPr>
            <w:tcW w:w="910" w:type="dxa"/>
            <w:vAlign w:val="center"/>
          </w:tcPr>
          <w:p w:rsidR="00434EDE" w:rsidRPr="00356D88" w:rsidRDefault="00434EDE" w:rsidP="00434EDE">
            <w:pPr>
              <w:spacing w:before="40" w:after="20"/>
              <w:ind w:left="-57" w:right="57"/>
              <w:jc w:val="right"/>
              <w:rPr>
                <w:rFonts w:ascii="Arial Narrow" w:hAnsi="Arial Narrow" w:cs="Arial"/>
                <w:sz w:val="18"/>
                <w:szCs w:val="18"/>
              </w:rPr>
            </w:pPr>
            <w:r w:rsidRPr="00356D88">
              <w:rPr>
                <w:rFonts w:ascii="Arial Narrow" w:hAnsi="Arial Narrow" w:cs="Arial"/>
                <w:sz w:val="18"/>
                <w:szCs w:val="18"/>
              </w:rPr>
              <w:t>+7,3</w:t>
            </w:r>
          </w:p>
        </w:tc>
      </w:tr>
      <w:tr w:rsidR="00434EDE" w:rsidRPr="00C8504B" w:rsidTr="00596941">
        <w:trPr>
          <w:trHeight w:val="255"/>
        </w:trPr>
        <w:tc>
          <w:tcPr>
            <w:tcW w:w="1994" w:type="dxa"/>
            <w:vAlign w:val="center"/>
          </w:tcPr>
          <w:p w:rsidR="00434EDE" w:rsidRPr="00C8504B" w:rsidRDefault="00434EDE" w:rsidP="00434EDE">
            <w:pPr>
              <w:spacing w:before="40" w:after="20"/>
              <w:ind w:left="-57"/>
              <w:rPr>
                <w:rFonts w:ascii="Arial Narrow" w:hAnsi="Arial Narrow" w:cs="Arial"/>
                <w:sz w:val="18"/>
                <w:szCs w:val="18"/>
              </w:rPr>
            </w:pPr>
            <w:r w:rsidRPr="00C8504B">
              <w:rPr>
                <w:rFonts w:ascii="Arial Narrow" w:hAnsi="Arial Narrow" w:cs="Arial"/>
                <w:sz w:val="18"/>
                <w:szCs w:val="18"/>
              </w:rPr>
              <w:t xml:space="preserve">Media frequenza </w:t>
            </w:r>
          </w:p>
        </w:tc>
        <w:tc>
          <w:tcPr>
            <w:tcW w:w="1298" w:type="dxa"/>
            <w:shd w:val="clear" w:color="auto" w:fill="D9D9D9"/>
            <w:vAlign w:val="bottom"/>
          </w:tcPr>
          <w:p w:rsidR="00434EDE" w:rsidRPr="005600D2" w:rsidRDefault="00434EDE" w:rsidP="00434EDE">
            <w:pPr>
              <w:spacing w:before="40" w:after="20"/>
              <w:ind w:left="-57" w:right="57"/>
              <w:jc w:val="right"/>
              <w:rPr>
                <w:rFonts w:ascii="Arial Narrow" w:hAnsi="Arial Narrow" w:cs="Arial"/>
                <w:sz w:val="18"/>
                <w:szCs w:val="18"/>
              </w:rPr>
            </w:pPr>
            <w:r w:rsidRPr="005600D2">
              <w:rPr>
                <w:rFonts w:ascii="Arial Narrow" w:hAnsi="Arial Narrow" w:cs="Arial"/>
                <w:sz w:val="18"/>
                <w:szCs w:val="18"/>
              </w:rPr>
              <w:t>401.642</w:t>
            </w:r>
          </w:p>
        </w:tc>
        <w:tc>
          <w:tcPr>
            <w:tcW w:w="1027" w:type="dxa"/>
            <w:vAlign w:val="center"/>
          </w:tcPr>
          <w:p w:rsidR="00434EDE" w:rsidRPr="00434EDE" w:rsidRDefault="00434EDE" w:rsidP="00434EDE">
            <w:pPr>
              <w:spacing w:before="40" w:after="20"/>
              <w:ind w:left="-57" w:right="57"/>
              <w:jc w:val="right"/>
              <w:rPr>
                <w:rFonts w:ascii="Arial Narrow" w:hAnsi="Arial Narrow" w:cs="Arial"/>
                <w:sz w:val="18"/>
                <w:szCs w:val="18"/>
              </w:rPr>
            </w:pPr>
            <w:r w:rsidRPr="00434EDE">
              <w:rPr>
                <w:rFonts w:ascii="Arial Narrow" w:hAnsi="Arial Narrow" w:cs="Arial"/>
                <w:sz w:val="18"/>
                <w:szCs w:val="18"/>
              </w:rPr>
              <w:t>+0,3</w:t>
            </w:r>
          </w:p>
        </w:tc>
        <w:tc>
          <w:tcPr>
            <w:tcW w:w="1017" w:type="dxa"/>
            <w:shd w:val="clear" w:color="auto" w:fill="D9D9D9"/>
            <w:vAlign w:val="center"/>
          </w:tcPr>
          <w:p w:rsidR="00434EDE" w:rsidRPr="00434EDE" w:rsidRDefault="00434EDE" w:rsidP="00434EDE">
            <w:pPr>
              <w:spacing w:before="40" w:after="20"/>
              <w:ind w:left="-57" w:right="57"/>
              <w:jc w:val="right"/>
              <w:rPr>
                <w:rFonts w:ascii="Arial Narrow" w:hAnsi="Arial Narrow" w:cs="Arial"/>
                <w:sz w:val="18"/>
                <w:szCs w:val="18"/>
              </w:rPr>
            </w:pPr>
            <w:r w:rsidRPr="00434EDE">
              <w:rPr>
                <w:rFonts w:ascii="Arial Narrow" w:hAnsi="Arial Narrow" w:cs="Arial"/>
                <w:sz w:val="18"/>
                <w:szCs w:val="18"/>
              </w:rPr>
              <w:t>+0,3</w:t>
            </w:r>
          </w:p>
        </w:tc>
        <w:tc>
          <w:tcPr>
            <w:tcW w:w="1009" w:type="dxa"/>
            <w:vAlign w:val="center"/>
          </w:tcPr>
          <w:p w:rsidR="00434EDE" w:rsidRPr="00434EDE" w:rsidRDefault="00434EDE" w:rsidP="00434EDE">
            <w:pPr>
              <w:spacing w:before="40" w:after="20"/>
              <w:ind w:left="-57" w:right="57"/>
              <w:jc w:val="right"/>
              <w:rPr>
                <w:rFonts w:ascii="Arial Narrow" w:hAnsi="Arial Narrow" w:cs="Arial"/>
                <w:sz w:val="18"/>
                <w:szCs w:val="18"/>
              </w:rPr>
            </w:pPr>
            <w:r w:rsidRPr="00434EDE">
              <w:rPr>
                <w:rFonts w:ascii="Arial Narrow" w:hAnsi="Arial Narrow" w:cs="Arial"/>
                <w:sz w:val="18"/>
                <w:szCs w:val="18"/>
              </w:rPr>
              <w:t>-3,9</w:t>
            </w:r>
          </w:p>
        </w:tc>
        <w:tc>
          <w:tcPr>
            <w:tcW w:w="1007" w:type="dxa"/>
            <w:shd w:val="clear" w:color="auto" w:fill="D9D9D9"/>
            <w:vAlign w:val="center"/>
          </w:tcPr>
          <w:p w:rsidR="00434EDE" w:rsidRPr="00434EDE" w:rsidRDefault="00434EDE" w:rsidP="00434EDE">
            <w:pPr>
              <w:spacing w:before="40" w:after="20"/>
              <w:ind w:left="-57" w:right="57"/>
              <w:jc w:val="right"/>
              <w:rPr>
                <w:rFonts w:ascii="Arial Narrow" w:hAnsi="Arial Narrow" w:cs="Arial"/>
                <w:sz w:val="18"/>
                <w:szCs w:val="18"/>
              </w:rPr>
            </w:pPr>
            <w:r w:rsidRPr="00434EDE">
              <w:rPr>
                <w:rFonts w:ascii="Arial Narrow" w:hAnsi="Arial Narrow" w:cs="Arial"/>
                <w:sz w:val="18"/>
                <w:szCs w:val="18"/>
              </w:rPr>
              <w:t>-4,0</w:t>
            </w:r>
          </w:p>
        </w:tc>
        <w:tc>
          <w:tcPr>
            <w:tcW w:w="1033" w:type="dxa"/>
            <w:shd w:val="clear" w:color="auto" w:fill="auto"/>
            <w:vAlign w:val="bottom"/>
          </w:tcPr>
          <w:p w:rsidR="00434EDE" w:rsidRPr="00434EDE" w:rsidRDefault="00434EDE" w:rsidP="00434EDE">
            <w:pPr>
              <w:spacing w:before="40" w:after="20"/>
              <w:ind w:left="-57" w:right="57"/>
              <w:jc w:val="right"/>
              <w:rPr>
                <w:rFonts w:ascii="Arial Narrow" w:hAnsi="Arial Narrow" w:cs="Arial"/>
                <w:sz w:val="18"/>
                <w:szCs w:val="18"/>
              </w:rPr>
            </w:pPr>
            <w:r w:rsidRPr="00434EDE">
              <w:rPr>
                <w:rFonts w:ascii="Arial Narrow" w:hAnsi="Arial Narrow" w:cs="Arial"/>
                <w:sz w:val="18"/>
                <w:szCs w:val="18"/>
              </w:rPr>
              <w:t>-1,567</w:t>
            </w:r>
          </w:p>
        </w:tc>
        <w:tc>
          <w:tcPr>
            <w:tcW w:w="910" w:type="dxa"/>
            <w:shd w:val="clear" w:color="auto" w:fill="D9D9D9" w:themeFill="background1" w:themeFillShade="D9"/>
            <w:vAlign w:val="center"/>
          </w:tcPr>
          <w:p w:rsidR="00434EDE" w:rsidRPr="00434EDE" w:rsidRDefault="00434EDE" w:rsidP="00434EDE">
            <w:pPr>
              <w:spacing w:before="40" w:after="20"/>
              <w:ind w:left="-57" w:right="57"/>
              <w:jc w:val="right"/>
              <w:rPr>
                <w:rFonts w:ascii="Arial Narrow" w:hAnsi="Arial Narrow" w:cs="Arial"/>
                <w:sz w:val="18"/>
                <w:szCs w:val="18"/>
              </w:rPr>
            </w:pPr>
            <w:r w:rsidRPr="00434EDE">
              <w:rPr>
                <w:rFonts w:ascii="Arial Narrow" w:hAnsi="Arial Narrow" w:cs="Arial"/>
                <w:sz w:val="18"/>
                <w:szCs w:val="18"/>
              </w:rPr>
              <w:t>+5,4</w:t>
            </w:r>
          </w:p>
        </w:tc>
        <w:tc>
          <w:tcPr>
            <w:tcW w:w="910" w:type="dxa"/>
            <w:vAlign w:val="center"/>
          </w:tcPr>
          <w:p w:rsidR="00434EDE" w:rsidRPr="00356D88" w:rsidRDefault="00434EDE" w:rsidP="00434EDE">
            <w:pPr>
              <w:spacing w:before="40" w:after="20"/>
              <w:ind w:left="-57" w:right="57"/>
              <w:jc w:val="right"/>
              <w:rPr>
                <w:rFonts w:ascii="Arial Narrow" w:hAnsi="Arial Narrow" w:cs="Arial"/>
                <w:sz w:val="18"/>
                <w:szCs w:val="18"/>
              </w:rPr>
            </w:pPr>
            <w:r w:rsidRPr="00356D88">
              <w:rPr>
                <w:rFonts w:ascii="Arial Narrow" w:hAnsi="Arial Narrow" w:cs="Arial"/>
                <w:sz w:val="18"/>
                <w:szCs w:val="18"/>
              </w:rPr>
              <w:t>+11,8</w:t>
            </w:r>
          </w:p>
        </w:tc>
      </w:tr>
      <w:tr w:rsidR="00434EDE" w:rsidRPr="00C8504B" w:rsidTr="00596941">
        <w:trPr>
          <w:trHeight w:val="255"/>
        </w:trPr>
        <w:tc>
          <w:tcPr>
            <w:tcW w:w="1994" w:type="dxa"/>
            <w:vAlign w:val="center"/>
          </w:tcPr>
          <w:p w:rsidR="00434EDE" w:rsidRPr="00C8504B" w:rsidRDefault="00434EDE" w:rsidP="00434EDE">
            <w:pPr>
              <w:spacing w:before="40" w:after="20"/>
              <w:ind w:left="-57"/>
              <w:rPr>
                <w:rFonts w:ascii="Arial Narrow" w:hAnsi="Arial Narrow" w:cs="Arial"/>
                <w:sz w:val="18"/>
                <w:szCs w:val="18"/>
              </w:rPr>
            </w:pPr>
            <w:r w:rsidRPr="00C8504B">
              <w:rPr>
                <w:rFonts w:ascii="Arial Narrow" w:hAnsi="Arial Narrow" w:cs="Arial"/>
                <w:sz w:val="18"/>
                <w:szCs w:val="18"/>
              </w:rPr>
              <w:t xml:space="preserve">Bassa frequenza </w:t>
            </w:r>
          </w:p>
        </w:tc>
        <w:tc>
          <w:tcPr>
            <w:tcW w:w="1298" w:type="dxa"/>
            <w:shd w:val="clear" w:color="auto" w:fill="D9D9D9"/>
            <w:vAlign w:val="bottom"/>
          </w:tcPr>
          <w:p w:rsidR="00434EDE" w:rsidRPr="005600D2" w:rsidRDefault="00434EDE" w:rsidP="00434EDE">
            <w:pPr>
              <w:spacing w:before="40" w:after="20"/>
              <w:ind w:left="-57" w:right="57"/>
              <w:jc w:val="right"/>
              <w:rPr>
                <w:rFonts w:ascii="Arial Narrow" w:hAnsi="Arial Narrow" w:cs="Arial"/>
                <w:sz w:val="18"/>
                <w:szCs w:val="18"/>
              </w:rPr>
            </w:pPr>
            <w:r w:rsidRPr="005600D2">
              <w:rPr>
                <w:rFonts w:ascii="Arial Narrow" w:hAnsi="Arial Narrow" w:cs="Arial"/>
                <w:sz w:val="18"/>
                <w:szCs w:val="18"/>
              </w:rPr>
              <w:t>197.530</w:t>
            </w:r>
          </w:p>
        </w:tc>
        <w:tc>
          <w:tcPr>
            <w:tcW w:w="1027" w:type="dxa"/>
            <w:vAlign w:val="center"/>
          </w:tcPr>
          <w:p w:rsidR="00434EDE" w:rsidRPr="00434EDE" w:rsidRDefault="00434EDE" w:rsidP="00434EDE">
            <w:pPr>
              <w:spacing w:before="40" w:after="20"/>
              <w:ind w:left="-57" w:right="57"/>
              <w:jc w:val="right"/>
              <w:rPr>
                <w:rFonts w:ascii="Arial Narrow" w:hAnsi="Arial Narrow" w:cs="Arial"/>
                <w:sz w:val="18"/>
                <w:szCs w:val="18"/>
              </w:rPr>
            </w:pPr>
            <w:r w:rsidRPr="00434EDE">
              <w:rPr>
                <w:rFonts w:ascii="Arial Narrow" w:hAnsi="Arial Narrow" w:cs="Arial"/>
                <w:sz w:val="18"/>
                <w:szCs w:val="18"/>
              </w:rPr>
              <w:t>+0,3</w:t>
            </w:r>
          </w:p>
        </w:tc>
        <w:tc>
          <w:tcPr>
            <w:tcW w:w="1017" w:type="dxa"/>
            <w:shd w:val="clear" w:color="auto" w:fill="D9D9D9"/>
            <w:vAlign w:val="center"/>
          </w:tcPr>
          <w:p w:rsidR="00434EDE" w:rsidRPr="00434EDE" w:rsidRDefault="00434EDE" w:rsidP="00434EDE">
            <w:pPr>
              <w:spacing w:before="40" w:after="20"/>
              <w:ind w:left="-57" w:right="57"/>
              <w:jc w:val="right"/>
              <w:rPr>
                <w:rFonts w:ascii="Arial Narrow" w:hAnsi="Arial Narrow" w:cs="Arial"/>
                <w:sz w:val="18"/>
                <w:szCs w:val="18"/>
              </w:rPr>
            </w:pPr>
            <w:r w:rsidRPr="00434EDE">
              <w:rPr>
                <w:rFonts w:ascii="Arial Narrow" w:hAnsi="Arial Narrow" w:cs="Arial"/>
                <w:sz w:val="18"/>
                <w:szCs w:val="18"/>
              </w:rPr>
              <w:t>+0,7</w:t>
            </w:r>
          </w:p>
        </w:tc>
        <w:tc>
          <w:tcPr>
            <w:tcW w:w="1009" w:type="dxa"/>
            <w:vAlign w:val="center"/>
          </w:tcPr>
          <w:p w:rsidR="00434EDE" w:rsidRPr="00434EDE" w:rsidRDefault="00434EDE" w:rsidP="00434EDE">
            <w:pPr>
              <w:spacing w:before="40" w:after="20"/>
              <w:ind w:left="-57" w:right="57"/>
              <w:jc w:val="right"/>
              <w:rPr>
                <w:rFonts w:ascii="Arial Narrow" w:hAnsi="Arial Narrow" w:cs="Arial"/>
                <w:sz w:val="18"/>
                <w:szCs w:val="18"/>
              </w:rPr>
            </w:pPr>
            <w:r w:rsidRPr="00434EDE">
              <w:rPr>
                <w:rFonts w:ascii="Arial Narrow" w:hAnsi="Arial Narrow" w:cs="Arial"/>
                <w:sz w:val="18"/>
                <w:szCs w:val="18"/>
              </w:rPr>
              <w:t>+1,8</w:t>
            </w:r>
          </w:p>
        </w:tc>
        <w:tc>
          <w:tcPr>
            <w:tcW w:w="1007" w:type="dxa"/>
            <w:shd w:val="clear" w:color="auto" w:fill="D9D9D9"/>
            <w:vAlign w:val="center"/>
          </w:tcPr>
          <w:p w:rsidR="00434EDE" w:rsidRPr="00434EDE" w:rsidRDefault="00434EDE" w:rsidP="00434EDE">
            <w:pPr>
              <w:spacing w:before="40" w:after="20"/>
              <w:ind w:left="-57" w:right="57"/>
              <w:jc w:val="right"/>
              <w:rPr>
                <w:rFonts w:ascii="Arial Narrow" w:hAnsi="Arial Narrow" w:cs="Arial"/>
                <w:sz w:val="18"/>
                <w:szCs w:val="18"/>
              </w:rPr>
            </w:pPr>
            <w:r w:rsidRPr="00434EDE">
              <w:rPr>
                <w:rFonts w:ascii="Arial Narrow" w:hAnsi="Arial Narrow" w:cs="Arial"/>
                <w:sz w:val="18"/>
                <w:szCs w:val="18"/>
              </w:rPr>
              <w:t>+2,2</w:t>
            </w:r>
          </w:p>
        </w:tc>
        <w:tc>
          <w:tcPr>
            <w:tcW w:w="1033" w:type="dxa"/>
            <w:shd w:val="clear" w:color="auto" w:fill="auto"/>
            <w:vAlign w:val="bottom"/>
          </w:tcPr>
          <w:p w:rsidR="00434EDE" w:rsidRPr="00434EDE" w:rsidRDefault="00434EDE" w:rsidP="00434EDE">
            <w:pPr>
              <w:spacing w:before="40" w:after="20"/>
              <w:ind w:left="-57" w:right="57"/>
              <w:jc w:val="right"/>
              <w:rPr>
                <w:rFonts w:ascii="Arial Narrow" w:hAnsi="Arial Narrow" w:cs="Arial"/>
                <w:sz w:val="18"/>
                <w:szCs w:val="18"/>
              </w:rPr>
            </w:pPr>
            <w:r w:rsidRPr="00434EDE">
              <w:rPr>
                <w:rFonts w:ascii="Arial Narrow" w:hAnsi="Arial Narrow" w:cs="Arial"/>
                <w:sz w:val="18"/>
                <w:szCs w:val="18"/>
              </w:rPr>
              <w:t>0,353</w:t>
            </w:r>
          </w:p>
        </w:tc>
        <w:tc>
          <w:tcPr>
            <w:tcW w:w="910" w:type="dxa"/>
            <w:shd w:val="clear" w:color="auto" w:fill="D9D9D9" w:themeFill="background1" w:themeFillShade="D9"/>
            <w:vAlign w:val="center"/>
          </w:tcPr>
          <w:p w:rsidR="00434EDE" w:rsidRPr="00434EDE" w:rsidRDefault="00434EDE" w:rsidP="00434EDE">
            <w:pPr>
              <w:spacing w:before="40" w:after="20"/>
              <w:ind w:left="-57" w:right="57"/>
              <w:jc w:val="right"/>
              <w:rPr>
                <w:rFonts w:ascii="Arial Narrow" w:hAnsi="Arial Narrow" w:cs="Arial"/>
                <w:sz w:val="18"/>
                <w:szCs w:val="18"/>
              </w:rPr>
            </w:pPr>
            <w:r w:rsidRPr="00434EDE">
              <w:rPr>
                <w:rFonts w:ascii="Arial Narrow" w:hAnsi="Arial Narrow" w:cs="Arial"/>
                <w:sz w:val="18"/>
                <w:szCs w:val="18"/>
              </w:rPr>
              <w:t>+3,7</w:t>
            </w:r>
          </w:p>
        </w:tc>
        <w:tc>
          <w:tcPr>
            <w:tcW w:w="910" w:type="dxa"/>
            <w:vAlign w:val="center"/>
          </w:tcPr>
          <w:p w:rsidR="00434EDE" w:rsidRPr="00356D88" w:rsidRDefault="00434EDE" w:rsidP="00434EDE">
            <w:pPr>
              <w:spacing w:before="40" w:after="20"/>
              <w:ind w:left="-57" w:right="57"/>
              <w:jc w:val="right"/>
              <w:rPr>
                <w:rFonts w:ascii="Arial Narrow" w:hAnsi="Arial Narrow" w:cs="Arial"/>
                <w:sz w:val="18"/>
                <w:szCs w:val="18"/>
              </w:rPr>
            </w:pPr>
            <w:r w:rsidRPr="00356D88">
              <w:rPr>
                <w:rFonts w:ascii="Arial Narrow" w:hAnsi="Arial Narrow" w:cs="Arial"/>
                <w:sz w:val="18"/>
                <w:szCs w:val="18"/>
              </w:rPr>
              <w:t>+3</w:t>
            </w:r>
            <w:r>
              <w:rPr>
                <w:rFonts w:ascii="Arial Narrow" w:hAnsi="Arial Narrow" w:cs="Arial"/>
                <w:sz w:val="18"/>
                <w:szCs w:val="18"/>
              </w:rPr>
              <w:t>,0</w:t>
            </w:r>
          </w:p>
        </w:tc>
      </w:tr>
      <w:tr w:rsidR="00434EDE" w:rsidRPr="00C8504B" w:rsidTr="00596941">
        <w:trPr>
          <w:trHeight w:val="108"/>
        </w:trPr>
        <w:tc>
          <w:tcPr>
            <w:tcW w:w="1994" w:type="dxa"/>
            <w:shd w:val="clear" w:color="auto" w:fill="E42618"/>
            <w:vAlign w:val="center"/>
          </w:tcPr>
          <w:p w:rsidR="00434EDE" w:rsidRPr="00C8504B" w:rsidRDefault="00434EDE" w:rsidP="00434EDE">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1298" w:type="dxa"/>
            <w:shd w:val="clear" w:color="auto" w:fill="E42618"/>
            <w:vAlign w:val="bottom"/>
          </w:tcPr>
          <w:p w:rsidR="00434EDE" w:rsidRPr="005600D2" w:rsidRDefault="00434EDE" w:rsidP="00434EDE">
            <w:pPr>
              <w:spacing w:before="40" w:after="20"/>
              <w:ind w:left="-57" w:right="57"/>
              <w:jc w:val="right"/>
              <w:rPr>
                <w:rFonts w:ascii="Arial Narrow" w:hAnsi="Arial Narrow" w:cs="Arial"/>
                <w:b/>
                <w:sz w:val="18"/>
                <w:szCs w:val="18"/>
              </w:rPr>
            </w:pPr>
            <w:r w:rsidRPr="005600D2">
              <w:rPr>
                <w:rFonts w:ascii="Arial Narrow" w:hAnsi="Arial Narrow" w:cs="Arial"/>
                <w:b/>
                <w:color w:val="FFFFFF" w:themeColor="background1"/>
                <w:sz w:val="18"/>
                <w:szCs w:val="18"/>
              </w:rPr>
              <w:t>1.000.000</w:t>
            </w:r>
          </w:p>
        </w:tc>
        <w:tc>
          <w:tcPr>
            <w:tcW w:w="1027" w:type="dxa"/>
            <w:shd w:val="clear" w:color="auto" w:fill="E42618"/>
            <w:vAlign w:val="center"/>
          </w:tcPr>
          <w:p w:rsidR="00434EDE" w:rsidRPr="00434EDE" w:rsidRDefault="00434EDE" w:rsidP="00434EDE">
            <w:pPr>
              <w:spacing w:before="40" w:after="20"/>
              <w:ind w:left="-57" w:right="57"/>
              <w:jc w:val="right"/>
              <w:rPr>
                <w:rFonts w:ascii="Arial Narrow" w:hAnsi="Arial Narrow" w:cs="Arial"/>
                <w:b/>
                <w:color w:val="FFFFFF" w:themeColor="background1"/>
                <w:sz w:val="18"/>
                <w:szCs w:val="18"/>
              </w:rPr>
            </w:pPr>
            <w:r w:rsidRPr="00434EDE">
              <w:rPr>
                <w:rFonts w:ascii="Arial Narrow" w:hAnsi="Arial Narrow" w:cs="Arial"/>
                <w:b/>
                <w:color w:val="FFFFFF" w:themeColor="background1"/>
                <w:sz w:val="18"/>
                <w:szCs w:val="18"/>
              </w:rPr>
              <w:t>+0,2</w:t>
            </w:r>
          </w:p>
        </w:tc>
        <w:tc>
          <w:tcPr>
            <w:tcW w:w="1017" w:type="dxa"/>
            <w:shd w:val="clear" w:color="auto" w:fill="E42618"/>
            <w:vAlign w:val="center"/>
          </w:tcPr>
          <w:p w:rsidR="00434EDE" w:rsidRPr="00434EDE" w:rsidRDefault="00434EDE" w:rsidP="00434EDE">
            <w:pPr>
              <w:spacing w:before="40" w:after="20"/>
              <w:ind w:left="-57" w:right="57"/>
              <w:jc w:val="right"/>
              <w:rPr>
                <w:rFonts w:ascii="Arial Narrow" w:hAnsi="Arial Narrow" w:cs="Arial"/>
                <w:b/>
                <w:color w:val="FFFFFF" w:themeColor="background1"/>
                <w:sz w:val="18"/>
                <w:szCs w:val="18"/>
              </w:rPr>
            </w:pPr>
            <w:r w:rsidRPr="00434EDE">
              <w:rPr>
                <w:rFonts w:ascii="Arial Narrow" w:hAnsi="Arial Narrow" w:cs="Arial"/>
                <w:b/>
                <w:color w:val="FFFFFF" w:themeColor="background1"/>
                <w:sz w:val="18"/>
                <w:szCs w:val="18"/>
              </w:rPr>
              <w:t>+0,3</w:t>
            </w:r>
          </w:p>
        </w:tc>
        <w:tc>
          <w:tcPr>
            <w:tcW w:w="1009" w:type="dxa"/>
            <w:shd w:val="clear" w:color="auto" w:fill="E42618"/>
            <w:vAlign w:val="center"/>
          </w:tcPr>
          <w:p w:rsidR="00434EDE" w:rsidRPr="00434EDE" w:rsidRDefault="00434EDE" w:rsidP="00434EDE">
            <w:pPr>
              <w:spacing w:before="40" w:after="20"/>
              <w:ind w:left="-57" w:right="57"/>
              <w:jc w:val="right"/>
              <w:rPr>
                <w:rFonts w:ascii="Arial Narrow" w:hAnsi="Arial Narrow" w:cs="Arial"/>
                <w:b/>
                <w:color w:val="FFFFFF" w:themeColor="background1"/>
                <w:sz w:val="18"/>
                <w:szCs w:val="18"/>
              </w:rPr>
            </w:pPr>
            <w:r w:rsidRPr="00434EDE">
              <w:rPr>
                <w:rFonts w:ascii="Arial Narrow" w:hAnsi="Arial Narrow" w:cs="Arial"/>
                <w:b/>
                <w:color w:val="FFFFFF" w:themeColor="background1"/>
                <w:sz w:val="18"/>
                <w:szCs w:val="18"/>
              </w:rPr>
              <w:t>+0,6</w:t>
            </w:r>
          </w:p>
        </w:tc>
        <w:tc>
          <w:tcPr>
            <w:tcW w:w="1007" w:type="dxa"/>
            <w:shd w:val="clear" w:color="auto" w:fill="E42618"/>
            <w:vAlign w:val="center"/>
          </w:tcPr>
          <w:p w:rsidR="00434EDE" w:rsidRPr="00434EDE" w:rsidRDefault="00434EDE" w:rsidP="00434EDE">
            <w:pPr>
              <w:spacing w:before="40" w:after="20"/>
              <w:ind w:left="-57" w:right="57"/>
              <w:jc w:val="right"/>
              <w:rPr>
                <w:rFonts w:ascii="Arial Narrow" w:hAnsi="Arial Narrow" w:cs="Arial"/>
                <w:b/>
                <w:color w:val="FFFFFF" w:themeColor="background1"/>
                <w:sz w:val="18"/>
                <w:szCs w:val="18"/>
              </w:rPr>
            </w:pPr>
            <w:r w:rsidRPr="00434EDE">
              <w:rPr>
                <w:rFonts w:ascii="Arial Narrow" w:hAnsi="Arial Narrow" w:cs="Arial"/>
                <w:b/>
                <w:color w:val="FFFFFF" w:themeColor="background1"/>
                <w:sz w:val="18"/>
                <w:szCs w:val="18"/>
              </w:rPr>
              <w:t>+0,7</w:t>
            </w:r>
          </w:p>
        </w:tc>
        <w:tc>
          <w:tcPr>
            <w:tcW w:w="1033" w:type="dxa"/>
            <w:shd w:val="clear" w:color="auto" w:fill="E42618"/>
            <w:vAlign w:val="bottom"/>
          </w:tcPr>
          <w:p w:rsidR="00434EDE" w:rsidRPr="00434EDE" w:rsidRDefault="00434EDE" w:rsidP="00434EDE">
            <w:pPr>
              <w:spacing w:before="40" w:after="20"/>
              <w:ind w:left="-57" w:right="57"/>
              <w:jc w:val="right"/>
              <w:rPr>
                <w:rFonts w:ascii="Arial Narrow" w:hAnsi="Arial Narrow" w:cs="Arial"/>
                <w:b/>
                <w:color w:val="FFFFFF" w:themeColor="background1"/>
                <w:sz w:val="18"/>
                <w:szCs w:val="18"/>
              </w:rPr>
            </w:pPr>
          </w:p>
        </w:tc>
        <w:tc>
          <w:tcPr>
            <w:tcW w:w="910" w:type="dxa"/>
            <w:shd w:val="clear" w:color="auto" w:fill="E42618"/>
            <w:vAlign w:val="center"/>
          </w:tcPr>
          <w:p w:rsidR="00434EDE" w:rsidRPr="00434EDE" w:rsidRDefault="00434EDE" w:rsidP="00434EDE">
            <w:pPr>
              <w:spacing w:before="40" w:after="20"/>
              <w:ind w:left="-57" w:right="57"/>
              <w:jc w:val="right"/>
              <w:rPr>
                <w:rFonts w:ascii="Arial Narrow" w:hAnsi="Arial Narrow" w:cs="Arial"/>
                <w:b/>
                <w:color w:val="FFFFFF" w:themeColor="background1"/>
                <w:sz w:val="18"/>
                <w:szCs w:val="18"/>
              </w:rPr>
            </w:pPr>
            <w:r w:rsidRPr="00434EDE">
              <w:rPr>
                <w:rFonts w:ascii="Arial Narrow" w:hAnsi="Arial Narrow" w:cs="Arial"/>
                <w:b/>
                <w:color w:val="FFFFFF" w:themeColor="background1"/>
                <w:sz w:val="18"/>
                <w:szCs w:val="18"/>
              </w:rPr>
              <w:t>+5,7</w:t>
            </w:r>
          </w:p>
        </w:tc>
        <w:tc>
          <w:tcPr>
            <w:tcW w:w="910" w:type="dxa"/>
            <w:shd w:val="clear" w:color="auto" w:fill="E42618"/>
            <w:vAlign w:val="center"/>
          </w:tcPr>
          <w:p w:rsidR="00434EDE" w:rsidRPr="004D03D9" w:rsidRDefault="00434EDE" w:rsidP="00434EDE">
            <w:pPr>
              <w:spacing w:before="40" w:after="20"/>
              <w:ind w:left="-57" w:right="57"/>
              <w:jc w:val="right"/>
              <w:rPr>
                <w:rFonts w:ascii="Arial Narrow" w:hAnsi="Arial Narrow" w:cs="Arial"/>
                <w:b/>
                <w:color w:val="FFFFFF" w:themeColor="background1"/>
                <w:sz w:val="18"/>
                <w:szCs w:val="18"/>
              </w:rPr>
            </w:pPr>
            <w:r>
              <w:rPr>
                <w:rFonts w:ascii="Arial Narrow" w:hAnsi="Arial Narrow" w:cs="Arial"/>
                <w:b/>
                <w:color w:val="FFFFFF" w:themeColor="background1"/>
                <w:sz w:val="18"/>
                <w:szCs w:val="18"/>
              </w:rPr>
              <w:t>+8,1</w:t>
            </w:r>
          </w:p>
        </w:tc>
      </w:tr>
    </w:tbl>
    <w:p w:rsidR="00A6652B" w:rsidRDefault="00A6652B" w:rsidP="00D77C5C">
      <w:pPr>
        <w:pStyle w:val="Corpodeltesto2"/>
        <w:tabs>
          <w:tab w:val="left" w:pos="0"/>
          <w:tab w:val="left" w:pos="6300"/>
        </w:tabs>
        <w:spacing w:line="240" w:lineRule="auto"/>
        <w:jc w:val="both"/>
        <w:rPr>
          <w:rFonts w:ascii="Arial" w:hAnsi="Arial" w:cs="Arial"/>
          <w:iCs/>
          <w:kern w:val="28"/>
          <w:sz w:val="21"/>
          <w:szCs w:val="21"/>
        </w:rPr>
      </w:pPr>
    </w:p>
    <w:p w:rsidR="0003751C" w:rsidRDefault="0003751C" w:rsidP="00D77C5C">
      <w:pPr>
        <w:pStyle w:val="Corpodeltesto2"/>
        <w:tabs>
          <w:tab w:val="left" w:pos="0"/>
          <w:tab w:val="left" w:pos="6300"/>
        </w:tabs>
        <w:spacing w:line="240" w:lineRule="auto"/>
        <w:jc w:val="both"/>
        <w:rPr>
          <w:rFonts w:ascii="Arial" w:hAnsi="Arial" w:cs="Arial"/>
          <w:iCs/>
          <w:kern w:val="28"/>
          <w:sz w:val="21"/>
          <w:szCs w:val="21"/>
        </w:rPr>
      </w:pPr>
    </w:p>
    <w:p w:rsidR="009B143B" w:rsidRDefault="009B143B">
      <w:pPr>
        <w:widowControl/>
        <w:overflowPunct/>
        <w:autoSpaceDE/>
        <w:autoSpaceDN/>
        <w:adjustRightInd/>
        <w:spacing w:before="0" w:after="0"/>
        <w:rPr>
          <w:rFonts w:ascii="Arial" w:hAnsi="Arial" w:cs="Arial"/>
          <w:iCs/>
          <w:sz w:val="21"/>
          <w:szCs w:val="21"/>
        </w:rPr>
      </w:pPr>
      <w:r>
        <w:rPr>
          <w:rFonts w:ascii="Arial" w:hAnsi="Arial" w:cs="Arial"/>
          <w:iCs/>
          <w:sz w:val="21"/>
          <w:szCs w:val="21"/>
        </w:rPr>
        <w:br w:type="page"/>
      </w:r>
    </w:p>
    <w:p w:rsidR="0087369D" w:rsidRPr="00C8504B" w:rsidRDefault="0087369D" w:rsidP="00D77C5C">
      <w:pPr>
        <w:pStyle w:val="Corpodeltesto2"/>
        <w:tabs>
          <w:tab w:val="left" w:pos="0"/>
          <w:tab w:val="left" w:pos="6300"/>
        </w:tabs>
        <w:spacing w:line="240" w:lineRule="auto"/>
        <w:jc w:val="both"/>
        <w:rPr>
          <w:rFonts w:ascii="Arial" w:hAnsi="Arial" w:cs="Arial"/>
          <w:iCs/>
          <w:kern w:val="28"/>
          <w:sz w:val="21"/>
          <w:szCs w:val="21"/>
        </w:rPr>
      </w:pPr>
    </w:p>
    <w:p w:rsidR="00A64388" w:rsidRPr="00C8504B" w:rsidRDefault="00A64388" w:rsidP="00BD0487">
      <w:pPr>
        <w:pStyle w:val="001TitoloBolocco"/>
        <w:spacing w:after="120" w:line="240" w:lineRule="auto"/>
        <w:rPr>
          <w:szCs w:val="26"/>
        </w:rPr>
      </w:pPr>
      <w:r w:rsidRPr="00C8504B">
        <w:rPr>
          <w:szCs w:val="26"/>
        </w:rPr>
        <w:t>I dati del territorio</w:t>
      </w:r>
    </w:p>
    <w:p w:rsidR="009477E4" w:rsidRPr="00603516" w:rsidRDefault="009477E4" w:rsidP="00911F21">
      <w:pPr>
        <w:tabs>
          <w:tab w:val="left" w:pos="2940"/>
        </w:tabs>
        <w:spacing w:before="0" w:after="120"/>
        <w:jc w:val="both"/>
        <w:rPr>
          <w:rFonts w:ascii="Arial" w:hAnsi="Arial" w:cs="Arial"/>
          <w:iCs/>
          <w:sz w:val="21"/>
          <w:szCs w:val="21"/>
        </w:rPr>
      </w:pPr>
      <w:r w:rsidRPr="00603516">
        <w:rPr>
          <w:rFonts w:ascii="Arial" w:hAnsi="Arial" w:cs="Arial"/>
          <w:iCs/>
          <w:sz w:val="21"/>
          <w:szCs w:val="21"/>
        </w:rPr>
        <w:t>A dicembre 202</w:t>
      </w:r>
      <w:r w:rsidR="001B7DF0">
        <w:rPr>
          <w:rFonts w:ascii="Arial" w:hAnsi="Arial" w:cs="Arial"/>
          <w:iCs/>
          <w:sz w:val="21"/>
          <w:szCs w:val="21"/>
        </w:rPr>
        <w:t>3</w:t>
      </w:r>
      <w:r w:rsidRPr="00603516">
        <w:rPr>
          <w:rFonts w:ascii="Arial" w:hAnsi="Arial" w:cs="Arial"/>
          <w:iCs/>
          <w:sz w:val="21"/>
          <w:szCs w:val="21"/>
        </w:rPr>
        <w:t xml:space="preserve">, </w:t>
      </w:r>
      <w:r w:rsidR="003346B6">
        <w:rPr>
          <w:rFonts w:ascii="Arial" w:hAnsi="Arial" w:cs="Arial"/>
          <w:iCs/>
          <w:sz w:val="21"/>
          <w:szCs w:val="21"/>
        </w:rPr>
        <w:t>considerando le cinque</w:t>
      </w:r>
      <w:r w:rsidR="003346B6" w:rsidRPr="00603516">
        <w:rPr>
          <w:rFonts w:ascii="Arial" w:hAnsi="Arial" w:cs="Arial"/>
          <w:iCs/>
          <w:sz w:val="21"/>
          <w:szCs w:val="21"/>
        </w:rPr>
        <w:t xml:space="preserve"> </w:t>
      </w:r>
      <w:r w:rsidRPr="00603516">
        <w:rPr>
          <w:rFonts w:ascii="Arial" w:hAnsi="Arial" w:cs="Arial"/>
          <w:iCs/>
          <w:sz w:val="21"/>
          <w:szCs w:val="21"/>
        </w:rPr>
        <w:t xml:space="preserve">ripartizioni geografiche (Figura 5), </w:t>
      </w:r>
      <w:r w:rsidR="00446E21" w:rsidRPr="00603516">
        <w:rPr>
          <w:rFonts w:ascii="Arial" w:hAnsi="Arial" w:cs="Arial"/>
          <w:iCs/>
          <w:sz w:val="21"/>
          <w:szCs w:val="21"/>
        </w:rPr>
        <w:t xml:space="preserve">l’inflazione </w:t>
      </w:r>
      <w:r w:rsidR="00446E21">
        <w:rPr>
          <w:rFonts w:ascii="Arial" w:hAnsi="Arial" w:cs="Arial"/>
          <w:iCs/>
          <w:sz w:val="21"/>
          <w:szCs w:val="21"/>
        </w:rPr>
        <w:t>si</w:t>
      </w:r>
      <w:r w:rsidR="00446E21" w:rsidRPr="00603516">
        <w:rPr>
          <w:rFonts w:ascii="Arial" w:hAnsi="Arial" w:cs="Arial"/>
          <w:iCs/>
          <w:sz w:val="21"/>
          <w:szCs w:val="21"/>
        </w:rPr>
        <w:t xml:space="preserve"> </w:t>
      </w:r>
      <w:r w:rsidR="009C4848">
        <w:rPr>
          <w:rFonts w:ascii="Arial" w:hAnsi="Arial" w:cs="Arial"/>
          <w:iCs/>
          <w:sz w:val="21"/>
          <w:szCs w:val="21"/>
        </w:rPr>
        <w:t>attesta</w:t>
      </w:r>
      <w:r w:rsidRPr="00603516">
        <w:rPr>
          <w:rFonts w:ascii="Arial" w:hAnsi="Arial" w:cs="Arial"/>
          <w:iCs/>
          <w:sz w:val="21"/>
          <w:szCs w:val="21"/>
        </w:rPr>
        <w:t xml:space="preserve"> al di sopra del dato nazionale </w:t>
      </w:r>
      <w:r w:rsidR="009C4848">
        <w:rPr>
          <w:rFonts w:ascii="Arial" w:hAnsi="Arial" w:cs="Arial"/>
          <w:iCs/>
          <w:sz w:val="21"/>
          <w:szCs w:val="21"/>
        </w:rPr>
        <w:t xml:space="preserve">nel Centro (stabile a +0,8%), nel Nord-Est (in accelerazione da +0,7% a +0,8%) e nel Nord-Ovest (in decelerazione da +0,8% a +0,7%), </w:t>
      </w:r>
      <w:r w:rsidRPr="00603516">
        <w:rPr>
          <w:rFonts w:ascii="Arial" w:hAnsi="Arial" w:cs="Arial"/>
          <w:iCs/>
          <w:sz w:val="21"/>
          <w:szCs w:val="21"/>
        </w:rPr>
        <w:t>mentre</w:t>
      </w:r>
      <w:r w:rsidR="009C4848">
        <w:rPr>
          <w:rFonts w:ascii="Arial" w:hAnsi="Arial" w:cs="Arial"/>
          <w:iCs/>
          <w:sz w:val="21"/>
          <w:szCs w:val="21"/>
        </w:rPr>
        <w:t xml:space="preserve"> risulta </w:t>
      </w:r>
      <w:r w:rsidR="00446E21">
        <w:rPr>
          <w:rFonts w:ascii="Arial" w:hAnsi="Arial" w:cs="Arial"/>
          <w:iCs/>
          <w:sz w:val="21"/>
          <w:szCs w:val="21"/>
        </w:rPr>
        <w:t xml:space="preserve">al di sotto </w:t>
      </w:r>
      <w:r w:rsidR="009C4848" w:rsidRPr="00603516">
        <w:rPr>
          <w:rFonts w:ascii="Arial" w:hAnsi="Arial" w:cs="Arial"/>
          <w:iCs/>
          <w:sz w:val="21"/>
          <w:szCs w:val="21"/>
        </w:rPr>
        <w:t>al Sud (</w:t>
      </w:r>
      <w:r w:rsidR="009C4848">
        <w:rPr>
          <w:rFonts w:ascii="Arial" w:hAnsi="Arial" w:cs="Arial"/>
          <w:iCs/>
          <w:sz w:val="21"/>
          <w:szCs w:val="21"/>
        </w:rPr>
        <w:t>in decelerazione da +0,6% a +0,3%) e</w:t>
      </w:r>
      <w:r w:rsidR="00603516" w:rsidRPr="00603516">
        <w:rPr>
          <w:rFonts w:ascii="Arial" w:hAnsi="Arial" w:cs="Arial"/>
          <w:iCs/>
          <w:sz w:val="21"/>
          <w:szCs w:val="21"/>
        </w:rPr>
        <w:t xml:space="preserve"> </w:t>
      </w:r>
      <w:r w:rsidR="009C4848" w:rsidRPr="00603516">
        <w:rPr>
          <w:rFonts w:ascii="Arial" w:hAnsi="Arial" w:cs="Arial"/>
          <w:iCs/>
          <w:sz w:val="21"/>
          <w:szCs w:val="21"/>
        </w:rPr>
        <w:t>nelle Isole (</w:t>
      </w:r>
      <w:r w:rsidR="009C4848">
        <w:rPr>
          <w:rFonts w:ascii="Arial" w:hAnsi="Arial" w:cs="Arial"/>
          <w:iCs/>
          <w:sz w:val="21"/>
          <w:szCs w:val="21"/>
        </w:rPr>
        <w:t>dove resta negativa ampliando la flessione da -0,2% a -0,6%).</w:t>
      </w:r>
    </w:p>
    <w:p w:rsidR="00911F21" w:rsidRDefault="00911F21" w:rsidP="00911F21">
      <w:pPr>
        <w:tabs>
          <w:tab w:val="left" w:pos="2940"/>
        </w:tabs>
        <w:spacing w:before="0" w:after="120"/>
        <w:jc w:val="both"/>
        <w:rPr>
          <w:rFonts w:ascii="Arial" w:hAnsi="Arial" w:cs="Arial"/>
          <w:iCs/>
          <w:sz w:val="21"/>
          <w:szCs w:val="21"/>
        </w:rPr>
      </w:pPr>
      <w:r w:rsidRPr="007577FA">
        <w:rPr>
          <w:rFonts w:ascii="Arial" w:hAnsi="Arial" w:cs="Arial"/>
          <w:iCs/>
          <w:sz w:val="21"/>
          <w:szCs w:val="21"/>
        </w:rPr>
        <w:t xml:space="preserve">Tra i capoluoghi delle regioni e delle province autonome e tra i comuni non capoluoghi di regione con più di 150mila abitanti </w:t>
      </w:r>
      <w:r w:rsidR="00013B35" w:rsidRPr="007577FA">
        <w:rPr>
          <w:rFonts w:ascii="Arial" w:hAnsi="Arial" w:cs="Arial"/>
          <w:iCs/>
          <w:sz w:val="21"/>
          <w:szCs w:val="21"/>
        </w:rPr>
        <w:t>(Figura 6)</w:t>
      </w:r>
      <w:r w:rsidR="003346B6">
        <w:rPr>
          <w:rFonts w:ascii="Arial" w:hAnsi="Arial" w:cs="Arial"/>
          <w:iCs/>
          <w:sz w:val="21"/>
          <w:szCs w:val="21"/>
        </w:rPr>
        <w:t>,</w:t>
      </w:r>
      <w:r w:rsidR="00013B35" w:rsidRPr="007577FA">
        <w:rPr>
          <w:rFonts w:ascii="Arial" w:hAnsi="Arial" w:cs="Arial"/>
          <w:iCs/>
          <w:sz w:val="21"/>
          <w:szCs w:val="21"/>
        </w:rPr>
        <w:t xml:space="preserve"> l’inflazione più elevata si osserva </w:t>
      </w:r>
      <w:r w:rsidRPr="007577FA">
        <w:rPr>
          <w:rFonts w:ascii="Arial" w:hAnsi="Arial" w:cs="Arial"/>
          <w:iCs/>
          <w:sz w:val="21"/>
          <w:szCs w:val="21"/>
        </w:rPr>
        <w:t xml:space="preserve">a </w:t>
      </w:r>
      <w:r w:rsidR="009E1862">
        <w:rPr>
          <w:rFonts w:ascii="Arial" w:hAnsi="Arial" w:cs="Arial"/>
          <w:iCs/>
          <w:sz w:val="21"/>
          <w:szCs w:val="21"/>
        </w:rPr>
        <w:t>Trieste</w:t>
      </w:r>
      <w:r w:rsidR="007577FA" w:rsidRPr="007577FA">
        <w:rPr>
          <w:rFonts w:ascii="Arial" w:hAnsi="Arial" w:cs="Arial"/>
          <w:iCs/>
          <w:sz w:val="21"/>
          <w:szCs w:val="21"/>
        </w:rPr>
        <w:t xml:space="preserve"> (+1,7%),</w:t>
      </w:r>
      <w:r w:rsidR="00013B35" w:rsidRPr="007577FA">
        <w:rPr>
          <w:rFonts w:ascii="Arial" w:hAnsi="Arial" w:cs="Arial"/>
          <w:iCs/>
          <w:sz w:val="21"/>
          <w:szCs w:val="21"/>
        </w:rPr>
        <w:t xml:space="preserve"> </w:t>
      </w:r>
      <w:r w:rsidR="009E1862">
        <w:rPr>
          <w:rFonts w:ascii="Arial" w:hAnsi="Arial" w:cs="Arial"/>
          <w:iCs/>
          <w:sz w:val="21"/>
          <w:szCs w:val="21"/>
        </w:rPr>
        <w:t>Bolzano</w:t>
      </w:r>
      <w:r w:rsidR="007577FA" w:rsidRPr="007577FA">
        <w:rPr>
          <w:rFonts w:ascii="Arial" w:hAnsi="Arial" w:cs="Arial"/>
          <w:iCs/>
          <w:sz w:val="21"/>
          <w:szCs w:val="21"/>
        </w:rPr>
        <w:t xml:space="preserve"> e </w:t>
      </w:r>
      <w:r w:rsidR="009E1862">
        <w:rPr>
          <w:rFonts w:ascii="Arial" w:hAnsi="Arial" w:cs="Arial"/>
          <w:iCs/>
          <w:sz w:val="21"/>
          <w:szCs w:val="21"/>
        </w:rPr>
        <w:t>Perugia</w:t>
      </w:r>
      <w:r w:rsidR="007577FA" w:rsidRPr="007577FA">
        <w:rPr>
          <w:rFonts w:ascii="Arial" w:hAnsi="Arial" w:cs="Arial"/>
          <w:iCs/>
          <w:sz w:val="21"/>
          <w:szCs w:val="21"/>
        </w:rPr>
        <w:t xml:space="preserve"> (+1,</w:t>
      </w:r>
      <w:r w:rsidR="009E1862">
        <w:rPr>
          <w:rFonts w:ascii="Arial" w:hAnsi="Arial" w:cs="Arial"/>
          <w:iCs/>
          <w:sz w:val="21"/>
          <w:szCs w:val="21"/>
        </w:rPr>
        <w:t>6</w:t>
      </w:r>
      <w:r w:rsidR="007577FA" w:rsidRPr="007577FA">
        <w:rPr>
          <w:rFonts w:ascii="Arial" w:hAnsi="Arial" w:cs="Arial"/>
          <w:iCs/>
          <w:sz w:val="21"/>
          <w:szCs w:val="21"/>
        </w:rPr>
        <w:t>%</w:t>
      </w:r>
      <w:r w:rsidR="009E1862">
        <w:rPr>
          <w:rFonts w:ascii="Arial" w:hAnsi="Arial" w:cs="Arial"/>
          <w:iCs/>
          <w:sz w:val="21"/>
          <w:szCs w:val="21"/>
        </w:rPr>
        <w:t xml:space="preserve"> entrambe</w:t>
      </w:r>
      <w:r w:rsidR="007577FA" w:rsidRPr="007577FA">
        <w:rPr>
          <w:rFonts w:ascii="Arial" w:hAnsi="Arial" w:cs="Arial"/>
          <w:iCs/>
          <w:sz w:val="21"/>
          <w:szCs w:val="21"/>
        </w:rPr>
        <w:t>)</w:t>
      </w:r>
      <w:r w:rsidR="00013B35" w:rsidRPr="007577FA">
        <w:rPr>
          <w:rFonts w:ascii="Arial" w:hAnsi="Arial" w:cs="Arial"/>
          <w:iCs/>
          <w:sz w:val="21"/>
          <w:szCs w:val="21"/>
        </w:rPr>
        <w:t xml:space="preserve">, mentre </w:t>
      </w:r>
      <w:r w:rsidR="009E1862">
        <w:rPr>
          <w:rFonts w:ascii="Arial" w:hAnsi="Arial" w:cs="Arial"/>
          <w:iCs/>
          <w:sz w:val="21"/>
          <w:szCs w:val="21"/>
        </w:rPr>
        <w:t>quella più contenuta si registra</w:t>
      </w:r>
      <w:r w:rsidR="00013B35" w:rsidRPr="007577FA">
        <w:rPr>
          <w:rFonts w:ascii="Arial" w:hAnsi="Arial" w:cs="Arial"/>
          <w:iCs/>
          <w:sz w:val="21"/>
          <w:szCs w:val="21"/>
        </w:rPr>
        <w:t xml:space="preserve"> </w:t>
      </w:r>
      <w:r w:rsidR="003C097F">
        <w:rPr>
          <w:rFonts w:ascii="Arial" w:hAnsi="Arial" w:cs="Arial"/>
          <w:iCs/>
          <w:sz w:val="21"/>
          <w:szCs w:val="21"/>
        </w:rPr>
        <w:t xml:space="preserve">a </w:t>
      </w:r>
      <w:r w:rsidR="009E1862">
        <w:rPr>
          <w:rFonts w:ascii="Arial" w:hAnsi="Arial" w:cs="Arial"/>
          <w:iCs/>
          <w:sz w:val="21"/>
          <w:szCs w:val="21"/>
        </w:rPr>
        <w:t>Catania (-0,9%) e a Campobasso (-1</w:t>
      </w:r>
      <w:r w:rsidR="003C097F" w:rsidRPr="007577FA">
        <w:rPr>
          <w:rFonts w:ascii="Arial" w:hAnsi="Arial" w:cs="Arial"/>
          <w:iCs/>
          <w:sz w:val="21"/>
          <w:szCs w:val="21"/>
        </w:rPr>
        <w:t>,2%)</w:t>
      </w:r>
      <w:r w:rsidR="003C097F">
        <w:rPr>
          <w:rFonts w:ascii="Arial" w:hAnsi="Arial" w:cs="Arial"/>
          <w:iCs/>
          <w:sz w:val="21"/>
          <w:szCs w:val="21"/>
        </w:rPr>
        <w:t>.</w:t>
      </w:r>
    </w:p>
    <w:p w:rsidR="0087369D" w:rsidRPr="00646810" w:rsidRDefault="0087369D" w:rsidP="0087369D">
      <w:pPr>
        <w:tabs>
          <w:tab w:val="left" w:pos="2940"/>
        </w:tabs>
        <w:spacing w:before="0" w:after="120"/>
        <w:jc w:val="both"/>
        <w:rPr>
          <w:rFonts w:ascii="Arial" w:hAnsi="Arial" w:cs="Arial"/>
          <w:iCs/>
          <w:sz w:val="21"/>
          <w:szCs w:val="21"/>
        </w:rPr>
      </w:pPr>
    </w:p>
    <w:p w:rsidR="009F6A3F" w:rsidRPr="00D162D7" w:rsidRDefault="00F53362" w:rsidP="009F6A3F">
      <w:pPr>
        <w:pStyle w:val="Titolo1"/>
        <w:rPr>
          <w:rFonts w:ascii="Arial Narrow" w:hAnsi="Arial Narrow" w:cs="Arial"/>
          <w:kern w:val="28"/>
          <w:sz w:val="20"/>
        </w:rPr>
      </w:pPr>
      <w:r w:rsidRPr="00CC2304">
        <w:rPr>
          <w:rFonts w:ascii="Arial Narrow" w:hAnsi="Arial Narrow" w:cs="Arial"/>
          <w:color w:val="E42618"/>
          <w:kern w:val="0"/>
          <w:sz w:val="22"/>
          <w:szCs w:val="22"/>
        </w:rPr>
        <w:t>FIGURA 5</w:t>
      </w:r>
      <w:r w:rsidR="009F6A3F" w:rsidRPr="00CC2304">
        <w:rPr>
          <w:rFonts w:ascii="Arial Narrow" w:hAnsi="Arial Narrow" w:cs="Arial"/>
          <w:color w:val="E42618"/>
          <w:kern w:val="0"/>
          <w:sz w:val="22"/>
          <w:szCs w:val="22"/>
        </w:rPr>
        <w:t>.</w:t>
      </w:r>
      <w:r w:rsidR="009F6A3F" w:rsidRPr="00CC2304">
        <w:rPr>
          <w:rFonts w:ascii="Arial Narrow" w:hAnsi="Arial Narrow" w:cs="Arial"/>
          <w:color w:val="5F5F5F"/>
          <w:sz w:val="20"/>
        </w:rPr>
        <w:t xml:space="preserve"> </w:t>
      </w:r>
      <w:r w:rsidR="009F6A3F" w:rsidRPr="00CC2304">
        <w:rPr>
          <w:rFonts w:ascii="Arial Narrow" w:hAnsi="Arial Narrow" w:cs="Calibri"/>
          <w:bCs/>
          <w:color w:val="5F5F5F"/>
          <w:kern w:val="0"/>
          <w:sz w:val="22"/>
          <w:szCs w:val="22"/>
        </w:rPr>
        <w:t>INDICI DEI PREZZI AL CONSUMO NIC PER REGIONE E RIPARTIZIONE GEOGRAFICA</w:t>
      </w:r>
      <w:r w:rsidR="009F6A3F" w:rsidRPr="00C8504B">
        <w:rPr>
          <w:rFonts w:ascii="Arial Narrow" w:hAnsi="Arial Narrow" w:cs="Arial"/>
          <w:color w:val="5F5F5F"/>
          <w:sz w:val="20"/>
        </w:rPr>
        <w:br/>
      </w:r>
      <w:r w:rsidR="00F5157D">
        <w:rPr>
          <w:rFonts w:ascii="Arial Narrow" w:hAnsi="Arial Narrow" w:cs="Arial"/>
          <w:b w:val="0"/>
          <w:color w:val="5F5F5F"/>
          <w:kern w:val="28"/>
          <w:sz w:val="20"/>
        </w:rPr>
        <w:t>Novembre</w:t>
      </w:r>
      <w:r w:rsidR="0047143B" w:rsidRPr="00C8504B">
        <w:rPr>
          <w:rFonts w:ascii="Arial Narrow" w:hAnsi="Arial Narrow" w:cs="Arial"/>
          <w:b w:val="0"/>
          <w:color w:val="5F5F5F"/>
          <w:kern w:val="28"/>
          <w:sz w:val="20"/>
        </w:rPr>
        <w:t xml:space="preserve"> - </w:t>
      </w:r>
      <w:r w:rsidR="00F5157D">
        <w:rPr>
          <w:rFonts w:ascii="Arial Narrow" w:hAnsi="Arial Narrow" w:cs="Arial"/>
          <w:b w:val="0"/>
          <w:color w:val="5F5F5F"/>
          <w:kern w:val="28"/>
          <w:sz w:val="20"/>
        </w:rPr>
        <w:t>d</w:t>
      </w:r>
      <w:r w:rsidR="00F5157D" w:rsidRPr="00F5157D">
        <w:rPr>
          <w:rFonts w:ascii="Arial Narrow" w:hAnsi="Arial Narrow" w:cs="Arial"/>
          <w:b w:val="0"/>
          <w:color w:val="5F5F5F"/>
          <w:kern w:val="28"/>
          <w:sz w:val="20"/>
        </w:rPr>
        <w:t>icembre</w:t>
      </w:r>
      <w:r w:rsidR="00BC7C6D" w:rsidRPr="00BC7C6D">
        <w:rPr>
          <w:rFonts w:ascii="Arial Narrow" w:hAnsi="Arial Narrow" w:cs="Arial"/>
          <w:b w:val="0"/>
          <w:color w:val="5F5F5F"/>
          <w:kern w:val="28"/>
          <w:sz w:val="20"/>
        </w:rPr>
        <w:t xml:space="preserve"> </w:t>
      </w:r>
      <w:r w:rsidR="008B07E9">
        <w:rPr>
          <w:rFonts w:ascii="Arial Narrow" w:hAnsi="Arial Narrow" w:cs="Arial"/>
          <w:b w:val="0"/>
          <w:color w:val="5F5F5F"/>
          <w:kern w:val="28"/>
          <w:sz w:val="20"/>
        </w:rPr>
        <w:t>202</w:t>
      </w:r>
      <w:r w:rsidR="00B60070">
        <w:rPr>
          <w:rFonts w:ascii="Arial Narrow" w:hAnsi="Arial Narrow" w:cs="Arial"/>
          <w:b w:val="0"/>
          <w:color w:val="5F5F5F"/>
          <w:kern w:val="28"/>
          <w:sz w:val="20"/>
        </w:rPr>
        <w:t>3</w:t>
      </w:r>
      <w:r w:rsidR="009F6A3F" w:rsidRPr="00C8504B">
        <w:rPr>
          <w:rFonts w:ascii="Arial Narrow" w:hAnsi="Arial Narrow" w:cs="Arial"/>
          <w:b w:val="0"/>
          <w:color w:val="5F5F5F"/>
          <w:kern w:val="28"/>
          <w:sz w:val="20"/>
        </w:rPr>
        <w:t xml:space="preserve">, variazioni percentuali tendenziali </w:t>
      </w:r>
      <w:r w:rsidR="0047143B" w:rsidRPr="00C8504B">
        <w:rPr>
          <w:rFonts w:ascii="Arial Narrow" w:hAnsi="Arial Narrow" w:cs="Arial"/>
          <w:b w:val="0"/>
          <w:color w:val="5F5F5F"/>
          <w:kern w:val="28"/>
          <w:sz w:val="20"/>
        </w:rPr>
        <w:t>(base 2015=100)</w:t>
      </w:r>
      <w:r w:rsidR="00060ABD" w:rsidRPr="00C8504B">
        <w:rPr>
          <w:rFonts w:ascii="Arial Narrow" w:hAnsi="Arial Narrow" w:cs="Arial"/>
          <w:b w:val="0"/>
          <w:color w:val="5F5F5F"/>
          <w:kern w:val="28"/>
          <w:sz w:val="20"/>
        </w:rPr>
        <w:t xml:space="preserve"> </w:t>
      </w:r>
    </w:p>
    <w:p w:rsidR="00CF57AA" w:rsidRPr="00C8504B" w:rsidRDefault="00355165" w:rsidP="009F6A3F">
      <w:pPr>
        <w:pStyle w:val="Corpodeltesto2"/>
        <w:tabs>
          <w:tab w:val="left" w:pos="0"/>
          <w:tab w:val="left" w:pos="6300"/>
        </w:tabs>
        <w:spacing w:line="240" w:lineRule="auto"/>
        <w:jc w:val="both"/>
        <w:rPr>
          <w:rFonts w:ascii="Arial" w:hAnsi="Arial" w:cs="Arial"/>
          <w:iCs/>
          <w:kern w:val="28"/>
          <w:sz w:val="21"/>
          <w:szCs w:val="21"/>
        </w:rPr>
      </w:pPr>
      <w:r>
        <w:rPr>
          <w:rFonts w:ascii="Arial" w:hAnsi="Arial" w:cs="Arial"/>
          <w:iCs/>
          <w:noProof/>
          <w:kern w:val="28"/>
          <w:sz w:val="21"/>
          <w:szCs w:val="21"/>
        </w:rPr>
        <w:drawing>
          <wp:inline distT="0" distB="0" distL="0" distR="0" wp14:anchorId="12320828">
            <wp:extent cx="6498590" cy="213360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98590" cy="2133600"/>
                    </a:xfrm>
                    <a:prstGeom prst="rect">
                      <a:avLst/>
                    </a:prstGeom>
                    <a:noFill/>
                  </pic:spPr>
                </pic:pic>
              </a:graphicData>
            </a:graphic>
          </wp:inline>
        </w:drawing>
      </w:r>
    </w:p>
    <w:p w:rsidR="00617E92" w:rsidRPr="00C8504B" w:rsidRDefault="00617E92" w:rsidP="009F6A3F">
      <w:pPr>
        <w:pStyle w:val="Corpodeltesto2"/>
        <w:tabs>
          <w:tab w:val="left" w:pos="0"/>
          <w:tab w:val="left" w:pos="6300"/>
        </w:tabs>
        <w:spacing w:line="240" w:lineRule="auto"/>
        <w:jc w:val="both"/>
        <w:rPr>
          <w:rFonts w:ascii="Arial" w:hAnsi="Arial" w:cs="Arial"/>
          <w:iCs/>
          <w:kern w:val="28"/>
          <w:sz w:val="21"/>
          <w:szCs w:val="21"/>
        </w:rPr>
      </w:pPr>
    </w:p>
    <w:p w:rsidR="00ED4CE5" w:rsidRPr="00C8504B" w:rsidRDefault="00ED4CE5" w:rsidP="00646810">
      <w:pPr>
        <w:spacing w:before="0" w:after="0"/>
        <w:jc w:val="both"/>
        <w:rPr>
          <w:rFonts w:ascii="Arial Narrow" w:hAnsi="Arial Narrow" w:cs="Calibri"/>
          <w:b/>
          <w:bCs/>
          <w:color w:val="5F5F5F"/>
          <w:kern w:val="0"/>
          <w:sz w:val="22"/>
          <w:szCs w:val="22"/>
          <w:vertAlign w:val="superscript"/>
        </w:rPr>
      </w:pPr>
      <w:r w:rsidRPr="00CC2304">
        <w:rPr>
          <w:rFonts w:ascii="Arial Narrow" w:hAnsi="Arial Narrow" w:cs="Arial"/>
          <w:b/>
          <w:color w:val="E42618"/>
          <w:kern w:val="0"/>
          <w:sz w:val="22"/>
          <w:szCs w:val="22"/>
        </w:rPr>
        <w:t xml:space="preserve">FIGURA </w:t>
      </w:r>
      <w:r w:rsidR="00F53362" w:rsidRPr="00CC2304">
        <w:rPr>
          <w:rFonts w:ascii="Arial Narrow" w:hAnsi="Arial Narrow" w:cs="Arial"/>
          <w:b/>
          <w:color w:val="E42618"/>
          <w:kern w:val="0"/>
          <w:sz w:val="22"/>
          <w:szCs w:val="22"/>
        </w:rPr>
        <w:t>6</w:t>
      </w:r>
      <w:r w:rsidRPr="00CC2304">
        <w:rPr>
          <w:b/>
          <w:color w:val="E42618"/>
        </w:rPr>
        <w:t>.</w:t>
      </w:r>
      <w:r w:rsidRPr="00CC2304">
        <w:t xml:space="preserve"> </w:t>
      </w:r>
      <w:r w:rsidRPr="00CC2304">
        <w:rPr>
          <w:rFonts w:ascii="Arial Narrow" w:hAnsi="Arial Narrow" w:cs="Calibri"/>
          <w:b/>
          <w:bCs/>
          <w:color w:val="5F5F5F"/>
          <w:kern w:val="0"/>
          <w:sz w:val="22"/>
          <w:szCs w:val="22"/>
        </w:rPr>
        <w:t>I</w:t>
      </w:r>
      <w:r w:rsidR="00DA7A68" w:rsidRPr="00CC2304">
        <w:rPr>
          <w:rFonts w:ascii="Arial Narrow" w:hAnsi="Arial Narrow" w:cs="Calibri"/>
          <w:b/>
          <w:bCs/>
          <w:color w:val="5F5F5F"/>
          <w:kern w:val="0"/>
          <w:sz w:val="22"/>
          <w:szCs w:val="22"/>
        </w:rPr>
        <w:t>NDICI DEI PREZZI AL CONSUMO NIC</w:t>
      </w:r>
      <w:r w:rsidR="0047143B" w:rsidRPr="00CC2304">
        <w:rPr>
          <w:rFonts w:ascii="Arial Narrow" w:hAnsi="Arial Narrow" w:cs="Calibri"/>
          <w:b/>
          <w:bCs/>
          <w:color w:val="5F5F5F"/>
          <w:kern w:val="0"/>
          <w:sz w:val="22"/>
          <w:szCs w:val="22"/>
        </w:rPr>
        <w:t xml:space="preserve"> PER CAPOLUOGO DI REGIONE, </w:t>
      </w:r>
      <w:r w:rsidRPr="00CC2304">
        <w:rPr>
          <w:rFonts w:ascii="Arial Narrow" w:hAnsi="Arial Narrow" w:cs="Calibri"/>
          <w:b/>
          <w:bCs/>
          <w:color w:val="5F5F5F"/>
          <w:kern w:val="0"/>
          <w:sz w:val="22"/>
          <w:szCs w:val="22"/>
        </w:rPr>
        <w:t xml:space="preserve">PROVINCIA AUTONOMA </w:t>
      </w:r>
      <w:r w:rsidR="00DE4758" w:rsidRPr="00CC2304">
        <w:rPr>
          <w:rFonts w:ascii="Arial Narrow" w:hAnsi="Arial Narrow" w:cs="Calibri"/>
          <w:b/>
          <w:bCs/>
          <w:color w:val="5F5F5F"/>
          <w:kern w:val="0"/>
          <w:sz w:val="22"/>
          <w:szCs w:val="22"/>
        </w:rPr>
        <w:t>E</w:t>
      </w:r>
      <w:r w:rsidR="00AD29B6" w:rsidRPr="00CC2304">
        <w:rPr>
          <w:rFonts w:ascii="Arial Narrow" w:hAnsi="Arial Narrow" w:cs="Calibri"/>
          <w:b/>
          <w:bCs/>
          <w:color w:val="5F5F5F"/>
          <w:kern w:val="0"/>
          <w:sz w:val="22"/>
          <w:szCs w:val="22"/>
        </w:rPr>
        <w:t xml:space="preserve"> </w:t>
      </w:r>
      <w:r w:rsidR="00DE4758" w:rsidRPr="00CC2304">
        <w:rPr>
          <w:rFonts w:ascii="Arial Narrow" w:hAnsi="Arial Narrow" w:cs="Calibri"/>
          <w:b/>
          <w:bCs/>
          <w:color w:val="5F5F5F"/>
          <w:kern w:val="0"/>
          <w:sz w:val="22"/>
          <w:szCs w:val="22"/>
        </w:rPr>
        <w:t>GRANDI</w:t>
      </w:r>
      <w:r w:rsidR="00DE4758" w:rsidRPr="00C8504B">
        <w:rPr>
          <w:rFonts w:ascii="Arial Narrow" w:hAnsi="Arial Narrow" w:cs="Calibri"/>
          <w:b/>
          <w:bCs/>
          <w:color w:val="5F5F5F"/>
          <w:kern w:val="0"/>
          <w:sz w:val="22"/>
          <w:szCs w:val="22"/>
        </w:rPr>
        <w:t xml:space="preserve"> </w:t>
      </w:r>
      <w:r w:rsidR="0047143B" w:rsidRPr="00C8504B">
        <w:rPr>
          <w:rFonts w:ascii="Arial Narrow" w:hAnsi="Arial Narrow" w:cs="Calibri"/>
          <w:b/>
          <w:bCs/>
          <w:color w:val="5F5F5F"/>
          <w:kern w:val="0"/>
          <w:sz w:val="22"/>
          <w:szCs w:val="22"/>
        </w:rPr>
        <w:t xml:space="preserve">COMUNI </w:t>
      </w:r>
      <w:r w:rsidR="00CC0849" w:rsidRPr="00C8504B">
        <w:rPr>
          <w:rFonts w:ascii="Arial Narrow" w:hAnsi="Arial Narrow" w:cs="Calibri"/>
          <w:b/>
          <w:bCs/>
          <w:color w:val="5F5F5F"/>
          <w:kern w:val="0"/>
          <w:sz w:val="22"/>
          <w:szCs w:val="22"/>
          <w:vertAlign w:val="superscript"/>
        </w:rPr>
        <w:t>(</w:t>
      </w:r>
      <w:r w:rsidR="008C79A8">
        <w:rPr>
          <w:rFonts w:ascii="Arial Narrow" w:hAnsi="Arial Narrow" w:cs="Calibri"/>
          <w:b/>
          <w:bCs/>
          <w:color w:val="5F5F5F"/>
          <w:kern w:val="0"/>
          <w:sz w:val="22"/>
          <w:szCs w:val="22"/>
          <w:vertAlign w:val="superscript"/>
        </w:rPr>
        <w:t>a</w:t>
      </w:r>
      <w:r w:rsidR="00CC0849" w:rsidRPr="00C8504B">
        <w:rPr>
          <w:rFonts w:ascii="Arial Narrow" w:hAnsi="Arial Narrow" w:cs="Calibri"/>
          <w:b/>
          <w:bCs/>
          <w:color w:val="5F5F5F"/>
          <w:kern w:val="0"/>
          <w:sz w:val="22"/>
          <w:szCs w:val="22"/>
          <w:vertAlign w:val="superscript"/>
        </w:rPr>
        <w:t>)</w:t>
      </w:r>
    </w:p>
    <w:p w:rsidR="00F24676" w:rsidRPr="00C8504B" w:rsidRDefault="00F5157D" w:rsidP="00ED4CE5">
      <w:pPr>
        <w:spacing w:before="0" w:after="120"/>
        <w:rPr>
          <w:rFonts w:ascii="Arial Narrow" w:hAnsi="Arial Narrow" w:cs="Arial"/>
          <w:color w:val="5F5F5F"/>
        </w:rPr>
      </w:pPr>
      <w:r w:rsidRPr="00F5157D">
        <w:rPr>
          <w:rFonts w:ascii="Arial Narrow" w:hAnsi="Arial Narrow" w:cs="Arial"/>
          <w:color w:val="5F5F5F"/>
        </w:rPr>
        <w:t xml:space="preserve">Dicembre </w:t>
      </w:r>
      <w:r w:rsidR="00F80832">
        <w:rPr>
          <w:rFonts w:ascii="Arial Narrow" w:hAnsi="Arial Narrow" w:cs="Arial"/>
          <w:color w:val="5F5F5F"/>
        </w:rPr>
        <w:t>202</w:t>
      </w:r>
      <w:r w:rsidR="00C73B31">
        <w:rPr>
          <w:rFonts w:ascii="Arial Narrow" w:hAnsi="Arial Narrow" w:cs="Arial"/>
          <w:color w:val="5F5F5F"/>
        </w:rPr>
        <w:t>3</w:t>
      </w:r>
      <w:r w:rsidR="00ED4CE5" w:rsidRPr="00C8504B">
        <w:rPr>
          <w:rFonts w:ascii="Arial Narrow" w:hAnsi="Arial Narrow" w:cs="Arial"/>
          <w:color w:val="5F5F5F"/>
        </w:rPr>
        <w:t>, graduatoria delle variazion</w:t>
      </w:r>
      <w:r w:rsidR="0047143B" w:rsidRPr="00C8504B">
        <w:rPr>
          <w:rFonts w:ascii="Arial Narrow" w:hAnsi="Arial Narrow" w:cs="Arial"/>
          <w:color w:val="5F5F5F"/>
        </w:rPr>
        <w:t>i percentuali tendenziali (base 2015=100)</w:t>
      </w:r>
    </w:p>
    <w:p w:rsidR="00617E92" w:rsidRPr="00C8504B" w:rsidRDefault="007A0FB2" w:rsidP="00E95076">
      <w:pPr>
        <w:pStyle w:val="00TitoGra1"/>
        <w:spacing w:after="120" w:line="240" w:lineRule="auto"/>
        <w:rPr>
          <w:rFonts w:ascii="Arial" w:hAnsi="Arial"/>
          <w:color w:val="auto"/>
          <w:sz w:val="21"/>
          <w:szCs w:val="21"/>
        </w:rPr>
      </w:pPr>
      <w:r>
        <w:rPr>
          <w:rFonts w:ascii="Arial" w:hAnsi="Arial"/>
          <w:noProof/>
          <w:color w:val="auto"/>
          <w:sz w:val="21"/>
          <w:szCs w:val="21"/>
        </w:rPr>
        <w:drawing>
          <wp:inline distT="0" distB="0" distL="0" distR="0" wp14:anchorId="50316719">
            <wp:extent cx="6663690" cy="2158365"/>
            <wp:effectExtent l="0" t="0" r="381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3690" cy="2158365"/>
                    </a:xfrm>
                    <a:prstGeom prst="rect">
                      <a:avLst/>
                    </a:prstGeom>
                    <a:noFill/>
                  </pic:spPr>
                </pic:pic>
              </a:graphicData>
            </a:graphic>
          </wp:inline>
        </w:drawing>
      </w:r>
    </w:p>
    <w:p w:rsidR="00CC0849" w:rsidRPr="008C79A8" w:rsidRDefault="00D3401E" w:rsidP="00D3401E">
      <w:pPr>
        <w:pStyle w:val="00TitoGra1"/>
        <w:numPr>
          <w:ilvl w:val="0"/>
          <w:numId w:val="13"/>
        </w:numPr>
        <w:spacing w:after="120" w:line="240" w:lineRule="auto"/>
        <w:ind w:left="284" w:hanging="284"/>
        <w:jc w:val="both"/>
        <w:rPr>
          <w:rFonts w:ascii="Arial" w:hAnsi="Arial"/>
          <w:b w:val="0"/>
          <w:color w:val="auto"/>
          <w:sz w:val="16"/>
          <w:szCs w:val="20"/>
        </w:rPr>
      </w:pPr>
      <w:r w:rsidRPr="008C79A8">
        <w:rPr>
          <w:rFonts w:ascii="Arial" w:hAnsi="Arial"/>
          <w:b w:val="0"/>
          <w:color w:val="auto"/>
          <w:sz w:val="16"/>
          <w:szCs w:val="20"/>
        </w:rPr>
        <w:t>I grandi comuni presenti nel grafico sono i comuni capoluogo di provincia con più di 150.000 abitanti.</w:t>
      </w:r>
    </w:p>
    <w:p w:rsidR="0087369D" w:rsidRDefault="00355165" w:rsidP="0003751C">
      <w:pPr>
        <w:pStyle w:val="Corpodeltesto2"/>
        <w:tabs>
          <w:tab w:val="left" w:pos="0"/>
          <w:tab w:val="left" w:pos="6300"/>
        </w:tabs>
        <w:spacing w:line="240" w:lineRule="auto"/>
        <w:jc w:val="both"/>
        <w:rPr>
          <w:rFonts w:ascii="Arial" w:hAnsi="Arial" w:cs="Arial"/>
          <w:iCs/>
          <w:kern w:val="28"/>
          <w:sz w:val="21"/>
          <w:szCs w:val="21"/>
        </w:rPr>
      </w:pPr>
      <w:r w:rsidRPr="00167DBC">
        <w:rPr>
          <w:rFonts w:ascii="Arial" w:hAnsi="Arial"/>
          <w:sz w:val="16"/>
        </w:rPr>
        <w:t>(i)  Dato imputato, perché non disponibili o non utilizzabili, con una quota di imputazioni superiore al 50% (in termini di prezzi mancanti e/o di peso).</w:t>
      </w:r>
    </w:p>
    <w:p w:rsidR="00446E21" w:rsidRDefault="00446E21" w:rsidP="0003751C">
      <w:pPr>
        <w:pStyle w:val="Corpodeltesto2"/>
        <w:tabs>
          <w:tab w:val="left" w:pos="0"/>
          <w:tab w:val="left" w:pos="6300"/>
        </w:tabs>
        <w:spacing w:line="240" w:lineRule="auto"/>
        <w:jc w:val="both"/>
        <w:rPr>
          <w:rFonts w:ascii="Arial" w:hAnsi="Arial" w:cs="Arial"/>
          <w:iCs/>
          <w:kern w:val="28"/>
          <w:sz w:val="21"/>
          <w:szCs w:val="21"/>
        </w:rPr>
      </w:pPr>
    </w:p>
    <w:p w:rsidR="00446E21" w:rsidRDefault="00446E21" w:rsidP="0003751C">
      <w:pPr>
        <w:pStyle w:val="Corpodeltesto2"/>
        <w:tabs>
          <w:tab w:val="left" w:pos="0"/>
          <w:tab w:val="left" w:pos="6300"/>
        </w:tabs>
        <w:spacing w:line="240" w:lineRule="auto"/>
        <w:jc w:val="both"/>
        <w:rPr>
          <w:rFonts w:ascii="Arial" w:hAnsi="Arial" w:cs="Arial"/>
          <w:iCs/>
          <w:kern w:val="28"/>
          <w:sz w:val="21"/>
          <w:szCs w:val="21"/>
        </w:rPr>
      </w:pPr>
    </w:p>
    <w:p w:rsidR="00446E21" w:rsidRDefault="00446E21" w:rsidP="0003751C">
      <w:pPr>
        <w:pStyle w:val="Corpodeltesto2"/>
        <w:tabs>
          <w:tab w:val="left" w:pos="0"/>
          <w:tab w:val="left" w:pos="6300"/>
        </w:tabs>
        <w:spacing w:line="240" w:lineRule="auto"/>
        <w:jc w:val="both"/>
        <w:rPr>
          <w:rFonts w:ascii="Arial" w:hAnsi="Arial" w:cs="Arial"/>
          <w:iCs/>
          <w:kern w:val="28"/>
          <w:sz w:val="21"/>
          <w:szCs w:val="21"/>
        </w:rPr>
      </w:pPr>
    </w:p>
    <w:p w:rsidR="00446E21" w:rsidRDefault="00446E21" w:rsidP="0003751C">
      <w:pPr>
        <w:pStyle w:val="Corpodeltesto2"/>
        <w:tabs>
          <w:tab w:val="left" w:pos="0"/>
          <w:tab w:val="left" w:pos="6300"/>
        </w:tabs>
        <w:spacing w:line="240" w:lineRule="auto"/>
        <w:jc w:val="both"/>
        <w:rPr>
          <w:rFonts w:ascii="Arial" w:hAnsi="Arial" w:cs="Arial"/>
          <w:iCs/>
          <w:kern w:val="28"/>
          <w:sz w:val="21"/>
          <w:szCs w:val="21"/>
        </w:rPr>
      </w:pPr>
    </w:p>
    <w:p w:rsidR="00430EE0" w:rsidRPr="00430EE0" w:rsidRDefault="00430EE0" w:rsidP="0003751C">
      <w:pPr>
        <w:pStyle w:val="Corpodeltesto2"/>
        <w:tabs>
          <w:tab w:val="left" w:pos="0"/>
          <w:tab w:val="left" w:pos="6300"/>
        </w:tabs>
        <w:spacing w:line="240" w:lineRule="auto"/>
        <w:jc w:val="both"/>
        <w:rPr>
          <w:rFonts w:ascii="Arial" w:hAnsi="Arial" w:cs="Arial"/>
          <w:iCs/>
          <w:kern w:val="28"/>
          <w:sz w:val="8"/>
          <w:szCs w:val="8"/>
        </w:rPr>
      </w:pPr>
    </w:p>
    <w:p w:rsidR="009B7B8D" w:rsidRPr="00C8504B" w:rsidRDefault="00D41D03" w:rsidP="009B7B8D">
      <w:pPr>
        <w:pStyle w:val="001TitoloBolocco"/>
        <w:spacing w:after="120" w:line="240" w:lineRule="auto"/>
        <w:rPr>
          <w:szCs w:val="26"/>
        </w:rPr>
      </w:pPr>
      <w:r w:rsidRPr="00013B35">
        <w:rPr>
          <w:szCs w:val="26"/>
        </w:rPr>
        <w:t xml:space="preserve">NIC: </w:t>
      </w:r>
      <w:r w:rsidR="009B7B8D" w:rsidRPr="00013B35">
        <w:rPr>
          <w:szCs w:val="26"/>
        </w:rPr>
        <w:t xml:space="preserve">Le </w:t>
      </w:r>
      <w:r w:rsidR="00446E21">
        <w:rPr>
          <w:szCs w:val="26"/>
        </w:rPr>
        <w:t>dinamiche nel 202</w:t>
      </w:r>
      <w:r w:rsidR="006C7AFE">
        <w:rPr>
          <w:szCs w:val="26"/>
        </w:rPr>
        <w:t>3</w:t>
      </w:r>
      <w:r w:rsidR="009B7B8D" w:rsidRPr="00013B35">
        <w:rPr>
          <w:szCs w:val="26"/>
        </w:rPr>
        <w:t xml:space="preserve"> e il trascinamento al 20</w:t>
      </w:r>
      <w:r w:rsidR="006C7AFE">
        <w:rPr>
          <w:szCs w:val="26"/>
        </w:rPr>
        <w:t>24</w:t>
      </w:r>
    </w:p>
    <w:p w:rsidR="00911F21" w:rsidRPr="003129B1" w:rsidRDefault="00911F21" w:rsidP="00FF11CD">
      <w:pPr>
        <w:tabs>
          <w:tab w:val="left" w:pos="2940"/>
        </w:tabs>
        <w:spacing w:before="0" w:after="60"/>
        <w:jc w:val="both"/>
        <w:rPr>
          <w:rFonts w:ascii="Arial" w:hAnsi="Arial" w:cs="Arial"/>
          <w:iCs/>
          <w:sz w:val="21"/>
          <w:szCs w:val="21"/>
        </w:rPr>
      </w:pPr>
      <w:r w:rsidRPr="00446E21">
        <w:rPr>
          <w:rFonts w:ascii="Arial" w:hAnsi="Arial" w:cs="Arial"/>
          <w:iCs/>
          <w:sz w:val="21"/>
          <w:szCs w:val="21"/>
        </w:rPr>
        <w:t xml:space="preserve">La variazione media annua dell’indice generale dei prezzi al consumo </w:t>
      </w:r>
      <w:r w:rsidR="00446E21" w:rsidRPr="00446E21">
        <w:rPr>
          <w:rFonts w:ascii="Arial" w:hAnsi="Arial" w:cs="Arial"/>
          <w:iCs/>
          <w:sz w:val="21"/>
          <w:szCs w:val="21"/>
        </w:rPr>
        <w:t xml:space="preserve">NIC </w:t>
      </w:r>
      <w:r w:rsidR="008C79A8" w:rsidRPr="00446E21">
        <w:rPr>
          <w:rFonts w:ascii="Arial" w:hAnsi="Arial" w:cs="Arial"/>
          <w:iCs/>
          <w:sz w:val="21"/>
          <w:szCs w:val="21"/>
        </w:rPr>
        <w:t>nel 202</w:t>
      </w:r>
      <w:r w:rsidR="008616F0">
        <w:rPr>
          <w:rFonts w:ascii="Arial" w:hAnsi="Arial" w:cs="Arial"/>
          <w:iCs/>
          <w:sz w:val="21"/>
          <w:szCs w:val="21"/>
        </w:rPr>
        <w:t>3</w:t>
      </w:r>
      <w:r w:rsidRPr="00446E21">
        <w:rPr>
          <w:rFonts w:ascii="Arial" w:hAnsi="Arial" w:cs="Arial"/>
          <w:iCs/>
          <w:sz w:val="21"/>
          <w:szCs w:val="21"/>
        </w:rPr>
        <w:t xml:space="preserve"> </w:t>
      </w:r>
      <w:r w:rsidR="008C79A8" w:rsidRPr="00446E21">
        <w:rPr>
          <w:rFonts w:ascii="Arial" w:hAnsi="Arial" w:cs="Arial"/>
          <w:iCs/>
          <w:sz w:val="21"/>
          <w:szCs w:val="21"/>
        </w:rPr>
        <w:t>(+</w:t>
      </w:r>
      <w:r w:rsidR="008616F0">
        <w:rPr>
          <w:rFonts w:ascii="Arial" w:hAnsi="Arial" w:cs="Arial"/>
          <w:iCs/>
          <w:sz w:val="21"/>
          <w:szCs w:val="21"/>
        </w:rPr>
        <w:t>5,7</w:t>
      </w:r>
      <w:r w:rsidRPr="00446E21">
        <w:rPr>
          <w:rFonts w:ascii="Arial" w:hAnsi="Arial" w:cs="Arial"/>
          <w:iCs/>
          <w:sz w:val="21"/>
          <w:szCs w:val="21"/>
        </w:rPr>
        <w:t>%) può essere suddivisa in due componenti (Prospetto 6): la prima (il cosiddetto trascinamento dal 20</w:t>
      </w:r>
      <w:r w:rsidR="00013B35" w:rsidRPr="00446E21">
        <w:rPr>
          <w:rFonts w:ascii="Arial" w:hAnsi="Arial" w:cs="Arial"/>
          <w:iCs/>
          <w:sz w:val="21"/>
          <w:szCs w:val="21"/>
        </w:rPr>
        <w:t>2</w:t>
      </w:r>
      <w:r w:rsidR="008616F0">
        <w:rPr>
          <w:rFonts w:ascii="Arial" w:hAnsi="Arial" w:cs="Arial"/>
          <w:iCs/>
          <w:sz w:val="21"/>
          <w:szCs w:val="21"/>
        </w:rPr>
        <w:t>2</w:t>
      </w:r>
      <w:r w:rsidRPr="00446E21">
        <w:rPr>
          <w:rFonts w:ascii="Arial" w:hAnsi="Arial" w:cs="Arial"/>
          <w:iCs/>
          <w:sz w:val="21"/>
          <w:szCs w:val="21"/>
        </w:rPr>
        <w:t xml:space="preserve"> al 20</w:t>
      </w:r>
      <w:r w:rsidR="00446E21" w:rsidRPr="00446E21">
        <w:rPr>
          <w:rFonts w:ascii="Arial" w:hAnsi="Arial" w:cs="Arial"/>
          <w:iCs/>
          <w:sz w:val="21"/>
          <w:szCs w:val="21"/>
        </w:rPr>
        <w:t>2</w:t>
      </w:r>
      <w:r w:rsidR="008616F0">
        <w:rPr>
          <w:rFonts w:ascii="Arial" w:hAnsi="Arial" w:cs="Arial"/>
          <w:iCs/>
          <w:sz w:val="21"/>
          <w:szCs w:val="21"/>
        </w:rPr>
        <w:t>3</w:t>
      </w:r>
      <w:r w:rsidRPr="00446E21">
        <w:rPr>
          <w:rFonts w:ascii="Arial" w:hAnsi="Arial" w:cs="Arial"/>
          <w:iCs/>
          <w:sz w:val="21"/>
          <w:szCs w:val="21"/>
        </w:rPr>
        <w:t xml:space="preserve">) è pari a </w:t>
      </w:r>
      <w:r w:rsidR="008616F0">
        <w:rPr>
          <w:rFonts w:ascii="Arial" w:hAnsi="Arial" w:cs="Arial"/>
          <w:iCs/>
          <w:sz w:val="21"/>
          <w:szCs w:val="21"/>
        </w:rPr>
        <w:t>+5,1</w:t>
      </w:r>
      <w:r w:rsidRPr="00446E21">
        <w:rPr>
          <w:rFonts w:ascii="Arial" w:hAnsi="Arial" w:cs="Arial"/>
          <w:iCs/>
          <w:sz w:val="21"/>
          <w:szCs w:val="21"/>
        </w:rPr>
        <w:t>% e rappresenta l’eredità del 20</w:t>
      </w:r>
      <w:r w:rsidR="008616F0">
        <w:rPr>
          <w:rFonts w:ascii="Arial" w:hAnsi="Arial" w:cs="Arial"/>
          <w:iCs/>
          <w:sz w:val="21"/>
          <w:szCs w:val="21"/>
        </w:rPr>
        <w:t>22</w:t>
      </w:r>
      <w:r w:rsidRPr="00446E21">
        <w:rPr>
          <w:rFonts w:ascii="Arial" w:hAnsi="Arial" w:cs="Arial"/>
          <w:iCs/>
          <w:sz w:val="21"/>
          <w:szCs w:val="21"/>
        </w:rPr>
        <w:t xml:space="preserve"> (in altr</w:t>
      </w:r>
      <w:r w:rsidR="00013B35" w:rsidRPr="00446E21">
        <w:rPr>
          <w:rFonts w:ascii="Arial" w:hAnsi="Arial" w:cs="Arial"/>
          <w:iCs/>
          <w:sz w:val="21"/>
          <w:szCs w:val="21"/>
        </w:rPr>
        <w:t>i termini, se nel corso del 202</w:t>
      </w:r>
      <w:r w:rsidR="008616F0">
        <w:rPr>
          <w:rFonts w:ascii="Arial" w:hAnsi="Arial" w:cs="Arial"/>
          <w:iCs/>
          <w:sz w:val="21"/>
          <w:szCs w:val="21"/>
        </w:rPr>
        <w:t>3</w:t>
      </w:r>
      <w:r w:rsidRPr="00446E21">
        <w:rPr>
          <w:rFonts w:ascii="Arial" w:hAnsi="Arial" w:cs="Arial"/>
          <w:iCs/>
          <w:sz w:val="21"/>
          <w:szCs w:val="21"/>
        </w:rPr>
        <w:t xml:space="preserve"> non si fossero verificate variazioni congiunturali dell’indice generale dei prezzi, la sua variazione media annua sarebbe risultata pari a </w:t>
      </w:r>
      <w:r w:rsidR="00446E21" w:rsidRPr="00446E21">
        <w:rPr>
          <w:rFonts w:ascii="Arial" w:hAnsi="Arial" w:cs="Arial"/>
          <w:iCs/>
          <w:sz w:val="21"/>
          <w:szCs w:val="21"/>
        </w:rPr>
        <w:t>+</w:t>
      </w:r>
      <w:r w:rsidR="008616F0">
        <w:rPr>
          <w:rFonts w:ascii="Arial" w:hAnsi="Arial" w:cs="Arial"/>
          <w:iCs/>
          <w:sz w:val="21"/>
          <w:szCs w:val="21"/>
        </w:rPr>
        <w:t>5,1</w:t>
      </w:r>
      <w:r w:rsidR="00921E78">
        <w:rPr>
          <w:rFonts w:ascii="Arial" w:hAnsi="Arial" w:cs="Arial"/>
          <w:iCs/>
          <w:sz w:val="21"/>
          <w:szCs w:val="21"/>
        </w:rPr>
        <w:t>%</w:t>
      </w:r>
      <w:r w:rsidRPr="00446E21">
        <w:rPr>
          <w:rFonts w:ascii="Arial" w:hAnsi="Arial" w:cs="Arial"/>
          <w:iCs/>
          <w:sz w:val="21"/>
          <w:szCs w:val="21"/>
        </w:rPr>
        <w:t xml:space="preserve">); la seconda componente, la cosiddetta inflazione “propria” (che rappresenta la variazione dell’indice generale </w:t>
      </w:r>
      <w:r w:rsidRPr="003129B1">
        <w:rPr>
          <w:rFonts w:ascii="Arial" w:hAnsi="Arial" w:cs="Arial"/>
          <w:iCs/>
          <w:sz w:val="21"/>
          <w:szCs w:val="21"/>
        </w:rPr>
        <w:t>dovuta alle variazioni di prezzo verificatesi n</w:t>
      </w:r>
      <w:r w:rsidR="00013B35" w:rsidRPr="003129B1">
        <w:rPr>
          <w:rFonts w:ascii="Arial" w:hAnsi="Arial" w:cs="Arial"/>
          <w:iCs/>
          <w:sz w:val="21"/>
          <w:szCs w:val="21"/>
        </w:rPr>
        <w:t>el corso dell’anno), per il 202</w:t>
      </w:r>
      <w:r w:rsidR="008616F0">
        <w:rPr>
          <w:rFonts w:ascii="Arial" w:hAnsi="Arial" w:cs="Arial"/>
          <w:iCs/>
          <w:sz w:val="21"/>
          <w:szCs w:val="21"/>
        </w:rPr>
        <w:t>3</w:t>
      </w:r>
      <w:r w:rsidRPr="003129B1">
        <w:rPr>
          <w:rFonts w:ascii="Arial" w:hAnsi="Arial" w:cs="Arial"/>
          <w:iCs/>
          <w:sz w:val="21"/>
          <w:szCs w:val="21"/>
        </w:rPr>
        <w:t xml:space="preserve"> è pari a </w:t>
      </w:r>
      <w:r w:rsidR="001A35F3" w:rsidRPr="003129B1">
        <w:rPr>
          <w:rFonts w:ascii="Arial" w:hAnsi="Arial" w:cs="Arial"/>
          <w:iCs/>
          <w:sz w:val="21"/>
          <w:szCs w:val="21"/>
        </w:rPr>
        <w:t>+</w:t>
      </w:r>
      <w:r w:rsidR="008616F0">
        <w:rPr>
          <w:rFonts w:ascii="Arial" w:hAnsi="Arial" w:cs="Arial"/>
          <w:iCs/>
          <w:sz w:val="21"/>
          <w:szCs w:val="21"/>
        </w:rPr>
        <w:t>0,5</w:t>
      </w:r>
      <w:r w:rsidRPr="003129B1">
        <w:rPr>
          <w:rFonts w:ascii="Arial" w:hAnsi="Arial" w:cs="Arial"/>
          <w:iCs/>
          <w:sz w:val="21"/>
          <w:szCs w:val="21"/>
        </w:rPr>
        <w:t>%</w:t>
      </w:r>
      <w:r w:rsidR="00833D76">
        <w:rPr>
          <w:rStyle w:val="Rimandonotaapidipagina"/>
          <w:rFonts w:ascii="Arial" w:hAnsi="Arial"/>
          <w:iCs/>
          <w:sz w:val="21"/>
          <w:szCs w:val="21"/>
        </w:rPr>
        <w:footnoteReference w:id="1"/>
      </w:r>
      <w:r w:rsidRPr="003129B1">
        <w:rPr>
          <w:rFonts w:ascii="Arial" w:hAnsi="Arial" w:cs="Arial"/>
          <w:iCs/>
          <w:sz w:val="21"/>
          <w:szCs w:val="21"/>
        </w:rPr>
        <w:t>.</w:t>
      </w:r>
      <w:r w:rsidR="00833D76">
        <w:rPr>
          <w:rFonts w:ascii="Arial" w:hAnsi="Arial" w:cs="Arial"/>
          <w:iCs/>
          <w:sz w:val="21"/>
          <w:szCs w:val="21"/>
        </w:rPr>
        <w:t xml:space="preserve"> </w:t>
      </w:r>
      <w:r w:rsidR="00833D76" w:rsidRPr="003129B1">
        <w:rPr>
          <w:rFonts w:ascii="Arial" w:hAnsi="Arial" w:cs="Arial"/>
          <w:iCs/>
          <w:sz w:val="21"/>
          <w:szCs w:val="21"/>
        </w:rPr>
        <w:t>La variazi</w:t>
      </w:r>
      <w:r w:rsidR="00833D76">
        <w:rPr>
          <w:rFonts w:ascii="Arial" w:hAnsi="Arial" w:cs="Arial"/>
          <w:iCs/>
          <w:sz w:val="21"/>
          <w:szCs w:val="21"/>
        </w:rPr>
        <w:t xml:space="preserve">one media annua dell’indice NIC, nell’anno appena concluso, </w:t>
      </w:r>
      <w:r w:rsidR="00833D76" w:rsidRPr="003129B1">
        <w:rPr>
          <w:rFonts w:ascii="Arial" w:hAnsi="Arial" w:cs="Arial"/>
          <w:iCs/>
          <w:sz w:val="21"/>
          <w:szCs w:val="21"/>
        </w:rPr>
        <w:t xml:space="preserve">è </w:t>
      </w:r>
      <w:r w:rsidR="00833D76">
        <w:rPr>
          <w:rFonts w:ascii="Arial" w:hAnsi="Arial" w:cs="Arial"/>
          <w:iCs/>
          <w:sz w:val="21"/>
          <w:szCs w:val="21"/>
        </w:rPr>
        <w:t>quindi principalmente spiegata dalla componente ereditata.</w:t>
      </w:r>
    </w:p>
    <w:p w:rsidR="003346B6" w:rsidRPr="00114590" w:rsidRDefault="00F453F7" w:rsidP="00FF11CD">
      <w:pPr>
        <w:tabs>
          <w:tab w:val="left" w:pos="2940"/>
        </w:tabs>
        <w:spacing w:before="0" w:after="60"/>
        <w:jc w:val="both"/>
        <w:rPr>
          <w:rFonts w:ascii="Arial" w:hAnsi="Arial" w:cs="Arial"/>
          <w:iCs/>
          <w:sz w:val="21"/>
          <w:szCs w:val="21"/>
        </w:rPr>
      </w:pPr>
      <w:r>
        <w:rPr>
          <w:rFonts w:ascii="Arial" w:hAnsi="Arial" w:cs="Arial"/>
          <w:iCs/>
          <w:sz w:val="21"/>
          <w:szCs w:val="21"/>
        </w:rPr>
        <w:t xml:space="preserve">Nel 2023, </w:t>
      </w:r>
      <w:r w:rsidR="00EB6B59">
        <w:rPr>
          <w:rFonts w:ascii="Arial" w:hAnsi="Arial" w:cs="Arial"/>
          <w:iCs/>
          <w:sz w:val="21"/>
          <w:szCs w:val="21"/>
        </w:rPr>
        <w:t xml:space="preserve">la dinamica tendenziale dei prezzi al consumo </w:t>
      </w:r>
      <w:r>
        <w:rPr>
          <w:rFonts w:ascii="Arial" w:hAnsi="Arial" w:cs="Arial"/>
          <w:iCs/>
          <w:sz w:val="21"/>
          <w:szCs w:val="21"/>
        </w:rPr>
        <w:t>ha evidenziato</w:t>
      </w:r>
      <w:r w:rsidR="00EB6B59">
        <w:rPr>
          <w:rFonts w:ascii="Arial" w:hAnsi="Arial" w:cs="Arial"/>
          <w:iCs/>
          <w:sz w:val="21"/>
          <w:szCs w:val="21"/>
        </w:rPr>
        <w:t xml:space="preserve"> una</w:t>
      </w:r>
      <w:r w:rsidR="003346B6">
        <w:rPr>
          <w:rFonts w:ascii="Arial" w:hAnsi="Arial" w:cs="Arial"/>
          <w:iCs/>
          <w:sz w:val="21"/>
          <w:szCs w:val="21"/>
        </w:rPr>
        <w:t xml:space="preserve"> progressiva </w:t>
      </w:r>
      <w:r w:rsidR="00EB6B59">
        <w:rPr>
          <w:rFonts w:ascii="Arial" w:hAnsi="Arial" w:cs="Arial"/>
          <w:iCs/>
          <w:sz w:val="21"/>
          <w:szCs w:val="21"/>
        </w:rPr>
        <w:t>de</w:t>
      </w:r>
      <w:r w:rsidR="003346B6">
        <w:rPr>
          <w:rFonts w:ascii="Arial" w:hAnsi="Arial" w:cs="Arial"/>
          <w:iCs/>
          <w:sz w:val="21"/>
          <w:szCs w:val="21"/>
        </w:rPr>
        <w:t>celerazione</w:t>
      </w:r>
      <w:r w:rsidR="00EB6B59">
        <w:rPr>
          <w:rFonts w:ascii="Arial" w:hAnsi="Arial" w:cs="Arial"/>
          <w:iCs/>
          <w:sz w:val="21"/>
          <w:szCs w:val="21"/>
        </w:rPr>
        <w:t>, dal +9,1</w:t>
      </w:r>
      <w:r w:rsidR="003346B6">
        <w:rPr>
          <w:rFonts w:ascii="Arial" w:hAnsi="Arial" w:cs="Arial"/>
          <w:iCs/>
          <w:sz w:val="21"/>
          <w:szCs w:val="21"/>
        </w:rPr>
        <w:t>% del primo trimestre 202</w:t>
      </w:r>
      <w:r w:rsidR="00EB6B59">
        <w:rPr>
          <w:rFonts w:ascii="Arial" w:hAnsi="Arial" w:cs="Arial"/>
          <w:iCs/>
          <w:sz w:val="21"/>
          <w:szCs w:val="21"/>
        </w:rPr>
        <w:t>3</w:t>
      </w:r>
      <w:r w:rsidR="003346B6">
        <w:rPr>
          <w:rFonts w:ascii="Arial" w:hAnsi="Arial" w:cs="Arial"/>
          <w:iCs/>
          <w:sz w:val="21"/>
          <w:szCs w:val="21"/>
        </w:rPr>
        <w:t xml:space="preserve">, al </w:t>
      </w:r>
      <w:r w:rsidR="00EB6B59">
        <w:rPr>
          <w:rFonts w:ascii="Arial" w:hAnsi="Arial" w:cs="Arial"/>
          <w:iCs/>
          <w:sz w:val="21"/>
          <w:szCs w:val="21"/>
        </w:rPr>
        <w:t>+7,5</w:t>
      </w:r>
      <w:r w:rsidR="003346B6" w:rsidRPr="00114590">
        <w:rPr>
          <w:rFonts w:ascii="Arial" w:hAnsi="Arial" w:cs="Arial"/>
          <w:iCs/>
          <w:sz w:val="21"/>
          <w:szCs w:val="21"/>
        </w:rPr>
        <w:t>% e a</w:t>
      </w:r>
      <w:r w:rsidR="003346B6">
        <w:rPr>
          <w:rFonts w:ascii="Arial" w:hAnsi="Arial" w:cs="Arial"/>
          <w:iCs/>
          <w:sz w:val="21"/>
          <w:szCs w:val="21"/>
        </w:rPr>
        <w:t>l</w:t>
      </w:r>
      <w:r w:rsidR="00EB6B59">
        <w:rPr>
          <w:rFonts w:ascii="Arial" w:hAnsi="Arial" w:cs="Arial"/>
          <w:iCs/>
          <w:sz w:val="21"/>
          <w:szCs w:val="21"/>
        </w:rPr>
        <w:t xml:space="preserve"> +5,8</w:t>
      </w:r>
      <w:r w:rsidR="003346B6" w:rsidRPr="00114590">
        <w:rPr>
          <w:rFonts w:ascii="Arial" w:hAnsi="Arial" w:cs="Arial"/>
          <w:iCs/>
          <w:sz w:val="21"/>
          <w:szCs w:val="21"/>
        </w:rPr>
        <w:t>%</w:t>
      </w:r>
      <w:r w:rsidR="003346B6">
        <w:rPr>
          <w:rFonts w:ascii="Arial" w:hAnsi="Arial" w:cs="Arial"/>
          <w:iCs/>
          <w:sz w:val="21"/>
          <w:szCs w:val="21"/>
        </w:rPr>
        <w:t xml:space="preserve"> rispettivamente nel secondo e terzo trimestr</w:t>
      </w:r>
      <w:r w:rsidR="00EB6B59">
        <w:rPr>
          <w:rFonts w:ascii="Arial" w:hAnsi="Arial" w:cs="Arial"/>
          <w:iCs/>
          <w:sz w:val="21"/>
          <w:szCs w:val="21"/>
        </w:rPr>
        <w:t>e, per finire, nel quarto, a +1</w:t>
      </w:r>
      <w:r w:rsidR="003346B6">
        <w:rPr>
          <w:rFonts w:ascii="Arial" w:hAnsi="Arial" w:cs="Arial"/>
          <w:iCs/>
          <w:sz w:val="21"/>
          <w:szCs w:val="21"/>
        </w:rPr>
        <w:t>,</w:t>
      </w:r>
      <w:r w:rsidR="00EB6B59">
        <w:rPr>
          <w:rFonts w:ascii="Arial" w:hAnsi="Arial" w:cs="Arial"/>
          <w:iCs/>
          <w:sz w:val="21"/>
          <w:szCs w:val="21"/>
        </w:rPr>
        <w:t>1</w:t>
      </w:r>
      <w:r w:rsidR="003346B6">
        <w:rPr>
          <w:rFonts w:ascii="Arial" w:hAnsi="Arial" w:cs="Arial"/>
          <w:iCs/>
          <w:sz w:val="21"/>
          <w:szCs w:val="21"/>
        </w:rPr>
        <w:t>%</w:t>
      </w:r>
      <w:r w:rsidR="003346B6" w:rsidRPr="00114590">
        <w:rPr>
          <w:rFonts w:ascii="Arial" w:hAnsi="Arial" w:cs="Arial"/>
          <w:iCs/>
          <w:sz w:val="21"/>
          <w:szCs w:val="21"/>
        </w:rPr>
        <w:t>, l</w:t>
      </w:r>
      <w:r w:rsidR="00EB6B59">
        <w:rPr>
          <w:rFonts w:ascii="Arial" w:hAnsi="Arial" w:cs="Arial"/>
          <w:iCs/>
          <w:sz w:val="21"/>
          <w:szCs w:val="21"/>
        </w:rPr>
        <w:t>asciando così in eredità al 2024</w:t>
      </w:r>
      <w:r w:rsidR="003346B6" w:rsidRPr="00114590">
        <w:rPr>
          <w:rFonts w:ascii="Arial" w:hAnsi="Arial" w:cs="Arial"/>
          <w:iCs/>
          <w:sz w:val="21"/>
          <w:szCs w:val="21"/>
        </w:rPr>
        <w:t xml:space="preserve"> un trascinamento </w:t>
      </w:r>
      <w:r w:rsidR="00EB6B59">
        <w:rPr>
          <w:rFonts w:ascii="Arial" w:hAnsi="Arial" w:cs="Arial"/>
          <w:iCs/>
          <w:sz w:val="21"/>
          <w:szCs w:val="21"/>
        </w:rPr>
        <w:t>contenuto</w:t>
      </w:r>
      <w:r w:rsidR="003346B6">
        <w:rPr>
          <w:rFonts w:ascii="Arial" w:hAnsi="Arial" w:cs="Arial"/>
          <w:iCs/>
          <w:sz w:val="21"/>
          <w:szCs w:val="21"/>
        </w:rPr>
        <w:t>,</w:t>
      </w:r>
      <w:r w:rsidR="00EB6B59">
        <w:rPr>
          <w:rFonts w:ascii="Arial" w:hAnsi="Arial" w:cs="Arial"/>
          <w:iCs/>
          <w:sz w:val="21"/>
          <w:szCs w:val="21"/>
        </w:rPr>
        <w:t xml:space="preserve"> pari a +0</w:t>
      </w:r>
      <w:r w:rsidR="003346B6" w:rsidRPr="00114590">
        <w:rPr>
          <w:rFonts w:ascii="Arial" w:hAnsi="Arial" w:cs="Arial"/>
          <w:iCs/>
          <w:sz w:val="21"/>
          <w:szCs w:val="21"/>
        </w:rPr>
        <w:t>,1%.</w:t>
      </w:r>
    </w:p>
    <w:p w:rsidR="003346B6" w:rsidRPr="00114590" w:rsidRDefault="003346B6" w:rsidP="00EC661A">
      <w:pPr>
        <w:tabs>
          <w:tab w:val="left" w:pos="2940"/>
        </w:tabs>
        <w:spacing w:before="0" w:after="60"/>
        <w:jc w:val="both"/>
        <w:rPr>
          <w:rFonts w:ascii="Arial" w:hAnsi="Arial" w:cs="Arial"/>
          <w:iCs/>
          <w:sz w:val="21"/>
          <w:szCs w:val="21"/>
        </w:rPr>
      </w:pPr>
      <w:r w:rsidRPr="00114590">
        <w:rPr>
          <w:rFonts w:ascii="Arial" w:hAnsi="Arial" w:cs="Arial"/>
          <w:iCs/>
          <w:sz w:val="21"/>
          <w:szCs w:val="21"/>
        </w:rPr>
        <w:t xml:space="preserve">La componente di fondo dell’inflazione, al netto dei beni energetici e degli alimentari freschi, </w:t>
      </w:r>
      <w:r>
        <w:rPr>
          <w:rFonts w:ascii="Arial" w:hAnsi="Arial" w:cs="Arial"/>
          <w:iCs/>
          <w:sz w:val="21"/>
          <w:szCs w:val="21"/>
        </w:rPr>
        <w:t>registra</w:t>
      </w:r>
      <w:r w:rsidRPr="00114590">
        <w:rPr>
          <w:rFonts w:ascii="Arial" w:hAnsi="Arial" w:cs="Arial"/>
          <w:iCs/>
          <w:sz w:val="21"/>
          <w:szCs w:val="21"/>
        </w:rPr>
        <w:t xml:space="preserve">, in media d’anno, </w:t>
      </w:r>
      <w:r>
        <w:rPr>
          <w:rFonts w:ascii="Arial" w:hAnsi="Arial" w:cs="Arial"/>
          <w:iCs/>
          <w:sz w:val="21"/>
          <w:szCs w:val="21"/>
        </w:rPr>
        <w:t>una crescita tendenziale del</w:t>
      </w:r>
      <w:r w:rsidR="00FC1C2C">
        <w:rPr>
          <w:rFonts w:ascii="Arial" w:hAnsi="Arial" w:cs="Arial"/>
          <w:iCs/>
          <w:sz w:val="21"/>
          <w:szCs w:val="21"/>
        </w:rPr>
        <w:t xml:space="preserve"> </w:t>
      </w:r>
      <w:r w:rsidR="00CA35B9">
        <w:rPr>
          <w:rFonts w:ascii="Arial" w:hAnsi="Arial" w:cs="Arial"/>
          <w:iCs/>
          <w:sz w:val="21"/>
          <w:szCs w:val="21"/>
        </w:rPr>
        <w:t>5,1% (da +3</w:t>
      </w:r>
      <w:r w:rsidRPr="00114590">
        <w:rPr>
          <w:rFonts w:ascii="Arial" w:hAnsi="Arial" w:cs="Arial"/>
          <w:iCs/>
          <w:sz w:val="21"/>
          <w:szCs w:val="21"/>
        </w:rPr>
        <w:t>,8% nel 202</w:t>
      </w:r>
      <w:r w:rsidR="00CA35B9">
        <w:rPr>
          <w:rFonts w:ascii="Arial" w:hAnsi="Arial" w:cs="Arial"/>
          <w:iCs/>
          <w:sz w:val="21"/>
          <w:szCs w:val="21"/>
        </w:rPr>
        <w:t>2</w:t>
      </w:r>
      <w:r w:rsidRPr="00114590">
        <w:rPr>
          <w:rFonts w:ascii="Arial" w:hAnsi="Arial" w:cs="Arial"/>
          <w:iCs/>
          <w:sz w:val="21"/>
          <w:szCs w:val="21"/>
        </w:rPr>
        <w:t xml:space="preserve">), </w:t>
      </w:r>
      <w:r>
        <w:rPr>
          <w:rFonts w:ascii="Arial" w:hAnsi="Arial" w:cs="Arial"/>
          <w:iCs/>
          <w:sz w:val="21"/>
          <w:szCs w:val="21"/>
        </w:rPr>
        <w:t xml:space="preserve">con un profilo infra-annuale in costante </w:t>
      </w:r>
      <w:r w:rsidR="00CA35B9">
        <w:rPr>
          <w:rFonts w:ascii="Arial" w:hAnsi="Arial" w:cs="Arial"/>
          <w:iCs/>
          <w:sz w:val="21"/>
          <w:szCs w:val="21"/>
        </w:rPr>
        <w:t>de</w:t>
      </w:r>
      <w:r>
        <w:rPr>
          <w:rFonts w:ascii="Arial" w:hAnsi="Arial" w:cs="Arial"/>
          <w:iCs/>
          <w:sz w:val="21"/>
          <w:szCs w:val="21"/>
        </w:rPr>
        <w:t>celerazion</w:t>
      </w:r>
      <w:r w:rsidR="00CA35B9">
        <w:rPr>
          <w:rFonts w:ascii="Arial" w:hAnsi="Arial" w:cs="Arial"/>
          <w:iCs/>
          <w:sz w:val="21"/>
          <w:szCs w:val="21"/>
        </w:rPr>
        <w:t>e nei quattro trimestri del 2023</w:t>
      </w:r>
      <w:r>
        <w:rPr>
          <w:rFonts w:ascii="Arial" w:hAnsi="Arial" w:cs="Arial"/>
          <w:iCs/>
          <w:sz w:val="21"/>
          <w:szCs w:val="21"/>
        </w:rPr>
        <w:t xml:space="preserve">: dal </w:t>
      </w:r>
      <w:r w:rsidR="00CA35B9">
        <w:rPr>
          <w:rFonts w:ascii="Arial" w:hAnsi="Arial" w:cs="Arial"/>
          <w:iCs/>
          <w:sz w:val="21"/>
          <w:szCs w:val="21"/>
        </w:rPr>
        <w:t>+6,2</w:t>
      </w:r>
      <w:r w:rsidRPr="00114590">
        <w:rPr>
          <w:rFonts w:ascii="Arial" w:hAnsi="Arial" w:cs="Arial"/>
          <w:iCs/>
          <w:sz w:val="21"/>
          <w:szCs w:val="21"/>
        </w:rPr>
        <w:t>%</w:t>
      </w:r>
      <w:r w:rsidR="00CA35B9">
        <w:rPr>
          <w:rFonts w:ascii="Arial" w:hAnsi="Arial" w:cs="Arial"/>
          <w:iCs/>
          <w:sz w:val="21"/>
          <w:szCs w:val="21"/>
        </w:rPr>
        <w:t xml:space="preserve"> del primo trimestre al +3,6</w:t>
      </w:r>
      <w:r>
        <w:rPr>
          <w:rFonts w:ascii="Arial" w:hAnsi="Arial" w:cs="Arial"/>
          <w:iCs/>
          <w:sz w:val="21"/>
          <w:szCs w:val="21"/>
        </w:rPr>
        <w:t>% d</w:t>
      </w:r>
      <w:r w:rsidRPr="00114590">
        <w:rPr>
          <w:rFonts w:ascii="Arial" w:hAnsi="Arial" w:cs="Arial"/>
          <w:iCs/>
          <w:sz w:val="21"/>
          <w:szCs w:val="21"/>
        </w:rPr>
        <w:t>el</w:t>
      </w:r>
      <w:r>
        <w:rPr>
          <w:rFonts w:ascii="Arial" w:hAnsi="Arial" w:cs="Arial"/>
          <w:iCs/>
          <w:sz w:val="21"/>
          <w:szCs w:val="21"/>
        </w:rPr>
        <w:t>l’ultimo</w:t>
      </w:r>
      <w:r w:rsidR="00CA35B9">
        <w:rPr>
          <w:rFonts w:ascii="Arial" w:hAnsi="Arial" w:cs="Arial"/>
          <w:iCs/>
          <w:sz w:val="21"/>
          <w:szCs w:val="21"/>
        </w:rPr>
        <w:t xml:space="preserve"> trimestre, passando per il +5,9</w:t>
      </w:r>
      <w:r>
        <w:rPr>
          <w:rFonts w:ascii="Arial" w:hAnsi="Arial" w:cs="Arial"/>
          <w:iCs/>
          <w:sz w:val="21"/>
          <w:szCs w:val="21"/>
        </w:rPr>
        <w:t xml:space="preserve">% e il </w:t>
      </w:r>
      <w:r w:rsidRPr="00114590">
        <w:rPr>
          <w:rFonts w:ascii="Arial" w:hAnsi="Arial" w:cs="Arial"/>
          <w:iCs/>
          <w:sz w:val="21"/>
          <w:szCs w:val="21"/>
        </w:rPr>
        <w:t>+4,</w:t>
      </w:r>
      <w:r w:rsidR="00CA35B9">
        <w:rPr>
          <w:rFonts w:ascii="Arial" w:hAnsi="Arial" w:cs="Arial"/>
          <w:iCs/>
          <w:sz w:val="21"/>
          <w:szCs w:val="21"/>
        </w:rPr>
        <w:t>9</w:t>
      </w:r>
      <w:r w:rsidRPr="00114590">
        <w:rPr>
          <w:rFonts w:ascii="Arial" w:hAnsi="Arial" w:cs="Arial"/>
          <w:iCs/>
          <w:sz w:val="21"/>
          <w:szCs w:val="21"/>
        </w:rPr>
        <w:t>%</w:t>
      </w:r>
      <w:r>
        <w:rPr>
          <w:rFonts w:ascii="Arial" w:hAnsi="Arial" w:cs="Arial"/>
          <w:iCs/>
          <w:sz w:val="21"/>
          <w:szCs w:val="21"/>
        </w:rPr>
        <w:t xml:space="preserve"> del secondo e terzo trimestre</w:t>
      </w:r>
      <w:r w:rsidRPr="00114590">
        <w:rPr>
          <w:rFonts w:ascii="Arial" w:hAnsi="Arial" w:cs="Arial"/>
          <w:iCs/>
          <w:sz w:val="21"/>
          <w:szCs w:val="21"/>
        </w:rPr>
        <w:t>.</w:t>
      </w:r>
    </w:p>
    <w:p w:rsidR="009477E4" w:rsidRPr="00870CE8" w:rsidRDefault="009477E4" w:rsidP="00EC661A">
      <w:pPr>
        <w:tabs>
          <w:tab w:val="left" w:pos="2940"/>
        </w:tabs>
        <w:spacing w:before="0" w:after="60"/>
        <w:jc w:val="both"/>
        <w:rPr>
          <w:rFonts w:ascii="Arial" w:hAnsi="Arial" w:cs="Arial"/>
          <w:iCs/>
          <w:sz w:val="8"/>
          <w:szCs w:val="8"/>
        </w:rPr>
      </w:pPr>
    </w:p>
    <w:p w:rsidR="00FF2F4C" w:rsidRPr="00114590" w:rsidRDefault="00FF2F4C" w:rsidP="00EC661A">
      <w:pPr>
        <w:tabs>
          <w:tab w:val="left" w:pos="2940"/>
        </w:tabs>
        <w:spacing w:before="0" w:after="60"/>
        <w:jc w:val="both"/>
        <w:rPr>
          <w:rFonts w:ascii="Arial" w:hAnsi="Arial" w:cs="Arial"/>
          <w:b/>
          <w:iCs/>
          <w:sz w:val="21"/>
          <w:szCs w:val="21"/>
        </w:rPr>
      </w:pPr>
      <w:r w:rsidRPr="00114590">
        <w:rPr>
          <w:rFonts w:ascii="Arial" w:hAnsi="Arial" w:cs="Arial"/>
          <w:b/>
          <w:iCs/>
          <w:sz w:val="21"/>
          <w:szCs w:val="21"/>
        </w:rPr>
        <w:t xml:space="preserve">Le divisioni di spesa </w:t>
      </w:r>
    </w:p>
    <w:p w:rsidR="00046669" w:rsidRDefault="004F0101" w:rsidP="00EC661A">
      <w:pPr>
        <w:tabs>
          <w:tab w:val="left" w:pos="2940"/>
        </w:tabs>
        <w:spacing w:before="0" w:after="60"/>
        <w:jc w:val="both"/>
        <w:rPr>
          <w:rFonts w:ascii="Arial" w:hAnsi="Arial" w:cs="Arial"/>
          <w:iCs/>
          <w:sz w:val="21"/>
          <w:szCs w:val="21"/>
        </w:rPr>
      </w:pPr>
      <w:r>
        <w:rPr>
          <w:rFonts w:ascii="Arial" w:hAnsi="Arial" w:cs="Arial"/>
          <w:iCs/>
          <w:sz w:val="21"/>
          <w:szCs w:val="21"/>
        </w:rPr>
        <w:t>Nel 2023</w:t>
      </w:r>
      <w:r w:rsidR="003346B6">
        <w:rPr>
          <w:rFonts w:ascii="Arial" w:hAnsi="Arial" w:cs="Arial"/>
          <w:iCs/>
          <w:sz w:val="21"/>
          <w:szCs w:val="21"/>
        </w:rPr>
        <w:t>,</w:t>
      </w:r>
      <w:r w:rsidR="003346B6" w:rsidRPr="005D141A">
        <w:rPr>
          <w:rFonts w:ascii="Arial" w:hAnsi="Arial" w:cs="Arial"/>
          <w:iCs/>
          <w:sz w:val="21"/>
          <w:szCs w:val="21"/>
        </w:rPr>
        <w:t xml:space="preserve"> le divisioni di spesa i cui prezzi </w:t>
      </w:r>
      <w:r w:rsidR="003346B6">
        <w:rPr>
          <w:rFonts w:ascii="Arial" w:hAnsi="Arial" w:cs="Arial"/>
          <w:iCs/>
          <w:sz w:val="21"/>
          <w:szCs w:val="21"/>
        </w:rPr>
        <w:t xml:space="preserve">registrano </w:t>
      </w:r>
      <w:r w:rsidR="003346B6" w:rsidRPr="005D141A">
        <w:rPr>
          <w:rFonts w:ascii="Arial" w:hAnsi="Arial" w:cs="Arial"/>
          <w:iCs/>
          <w:sz w:val="21"/>
          <w:szCs w:val="21"/>
        </w:rPr>
        <w:t>ampi</w:t>
      </w:r>
      <w:r w:rsidR="003346B6">
        <w:rPr>
          <w:rFonts w:ascii="Arial" w:hAnsi="Arial" w:cs="Arial"/>
          <w:iCs/>
          <w:sz w:val="21"/>
          <w:szCs w:val="21"/>
        </w:rPr>
        <w:t xml:space="preserve">e </w:t>
      </w:r>
      <w:r w:rsidR="00705052">
        <w:rPr>
          <w:rFonts w:ascii="Arial" w:hAnsi="Arial" w:cs="Arial"/>
          <w:iCs/>
          <w:sz w:val="21"/>
          <w:szCs w:val="21"/>
        </w:rPr>
        <w:t>decelerazioni</w:t>
      </w:r>
      <w:r w:rsidR="003346B6">
        <w:rPr>
          <w:rFonts w:ascii="Arial" w:hAnsi="Arial" w:cs="Arial"/>
          <w:iCs/>
          <w:sz w:val="21"/>
          <w:szCs w:val="21"/>
        </w:rPr>
        <w:t xml:space="preserve"> rispetto al 202</w:t>
      </w:r>
      <w:r w:rsidR="00B83B8D">
        <w:rPr>
          <w:rFonts w:ascii="Arial" w:hAnsi="Arial" w:cs="Arial"/>
          <w:iCs/>
          <w:sz w:val="21"/>
          <w:szCs w:val="21"/>
        </w:rPr>
        <w:t>2</w:t>
      </w:r>
      <w:r w:rsidR="003346B6" w:rsidRPr="005D141A">
        <w:rPr>
          <w:rFonts w:ascii="Arial" w:hAnsi="Arial" w:cs="Arial"/>
          <w:iCs/>
          <w:sz w:val="21"/>
          <w:szCs w:val="21"/>
        </w:rPr>
        <w:t xml:space="preserve"> sono Abitazione, acqua, elettricità e combustibili (da </w:t>
      </w:r>
      <w:r w:rsidR="00046669">
        <w:rPr>
          <w:rFonts w:ascii="Arial" w:hAnsi="Arial" w:cs="Arial"/>
          <w:iCs/>
          <w:sz w:val="21"/>
          <w:szCs w:val="21"/>
        </w:rPr>
        <w:t>+35</w:t>
      </w:r>
      <w:r w:rsidR="003346B6">
        <w:rPr>
          <w:rFonts w:ascii="Arial" w:hAnsi="Arial" w:cs="Arial"/>
          <w:iCs/>
          <w:sz w:val="21"/>
          <w:szCs w:val="21"/>
        </w:rPr>
        <w:t>,0</w:t>
      </w:r>
      <w:r w:rsidR="003346B6" w:rsidRPr="005D141A">
        <w:rPr>
          <w:rFonts w:ascii="Arial" w:hAnsi="Arial" w:cs="Arial"/>
          <w:iCs/>
          <w:sz w:val="21"/>
          <w:szCs w:val="21"/>
        </w:rPr>
        <w:t>% a +</w:t>
      </w:r>
      <w:r w:rsidR="00FC1C2C">
        <w:rPr>
          <w:rFonts w:ascii="Arial" w:hAnsi="Arial" w:cs="Arial"/>
          <w:iCs/>
          <w:sz w:val="21"/>
          <w:szCs w:val="21"/>
        </w:rPr>
        <w:t>3,</w:t>
      </w:r>
      <w:r w:rsidR="00046669">
        <w:rPr>
          <w:rFonts w:ascii="Arial" w:hAnsi="Arial" w:cs="Arial"/>
          <w:iCs/>
          <w:sz w:val="21"/>
          <w:szCs w:val="21"/>
        </w:rPr>
        <w:t>9</w:t>
      </w:r>
      <w:r w:rsidR="00FC1C2C">
        <w:rPr>
          <w:rFonts w:ascii="Arial" w:hAnsi="Arial" w:cs="Arial"/>
          <w:iCs/>
          <w:sz w:val="21"/>
          <w:szCs w:val="21"/>
        </w:rPr>
        <w:t xml:space="preserve">%) e </w:t>
      </w:r>
      <w:r w:rsidR="00046669">
        <w:rPr>
          <w:rFonts w:ascii="Arial" w:hAnsi="Arial" w:cs="Arial"/>
          <w:iCs/>
          <w:sz w:val="21"/>
          <w:szCs w:val="21"/>
        </w:rPr>
        <w:t>Trasporti (da +9,7</w:t>
      </w:r>
      <w:r w:rsidR="003346B6">
        <w:rPr>
          <w:rFonts w:ascii="Arial" w:hAnsi="Arial" w:cs="Arial"/>
          <w:iCs/>
          <w:sz w:val="21"/>
          <w:szCs w:val="21"/>
        </w:rPr>
        <w:t>% a +</w:t>
      </w:r>
      <w:r w:rsidR="00046669">
        <w:rPr>
          <w:rFonts w:ascii="Arial" w:hAnsi="Arial" w:cs="Arial"/>
          <w:iCs/>
          <w:sz w:val="21"/>
          <w:szCs w:val="21"/>
        </w:rPr>
        <w:t>3,5</w:t>
      </w:r>
      <w:r w:rsidR="003346B6" w:rsidRPr="005D141A">
        <w:rPr>
          <w:rFonts w:ascii="Arial" w:hAnsi="Arial" w:cs="Arial"/>
          <w:iCs/>
          <w:sz w:val="21"/>
          <w:szCs w:val="21"/>
        </w:rPr>
        <w:t>%) a causa per lo più della dinamica dei prezzi dei Beni energetici presenti in questi due raggruppamenti</w:t>
      </w:r>
      <w:r w:rsidR="00046669">
        <w:rPr>
          <w:rFonts w:ascii="Arial" w:hAnsi="Arial" w:cs="Arial"/>
          <w:iCs/>
          <w:sz w:val="21"/>
          <w:szCs w:val="21"/>
        </w:rPr>
        <w:t>. I</w:t>
      </w:r>
      <w:r w:rsidR="003346B6" w:rsidRPr="005D141A">
        <w:rPr>
          <w:rFonts w:ascii="Arial" w:hAnsi="Arial" w:cs="Arial"/>
          <w:iCs/>
          <w:sz w:val="21"/>
          <w:szCs w:val="21"/>
        </w:rPr>
        <w:t xml:space="preserve">n accelerazione </w:t>
      </w:r>
      <w:r w:rsidR="003346B6">
        <w:rPr>
          <w:rFonts w:ascii="Arial" w:hAnsi="Arial" w:cs="Arial"/>
          <w:iCs/>
          <w:sz w:val="21"/>
          <w:szCs w:val="21"/>
        </w:rPr>
        <w:t xml:space="preserve">sono </w:t>
      </w:r>
      <w:r w:rsidR="00046669">
        <w:rPr>
          <w:rFonts w:ascii="Arial" w:hAnsi="Arial" w:cs="Arial"/>
          <w:iCs/>
          <w:sz w:val="21"/>
          <w:szCs w:val="21"/>
        </w:rPr>
        <w:t>invece</w:t>
      </w:r>
      <w:r w:rsidR="003346B6" w:rsidRPr="005D141A">
        <w:rPr>
          <w:rFonts w:ascii="Arial" w:hAnsi="Arial" w:cs="Arial"/>
          <w:iCs/>
          <w:sz w:val="21"/>
          <w:szCs w:val="21"/>
        </w:rPr>
        <w:t xml:space="preserve"> i prezzi </w:t>
      </w:r>
      <w:r w:rsidR="00046669" w:rsidRPr="005D141A">
        <w:rPr>
          <w:rFonts w:ascii="Arial" w:hAnsi="Arial" w:cs="Arial"/>
          <w:iCs/>
          <w:sz w:val="21"/>
          <w:szCs w:val="21"/>
        </w:rPr>
        <w:t xml:space="preserve">delle Comunicazioni (da </w:t>
      </w:r>
      <w:r w:rsidR="00046669">
        <w:rPr>
          <w:rFonts w:ascii="Arial" w:hAnsi="Arial" w:cs="Arial"/>
          <w:iCs/>
          <w:sz w:val="21"/>
          <w:szCs w:val="21"/>
        </w:rPr>
        <w:t>-3,1% a +0,1</w:t>
      </w:r>
      <w:r w:rsidR="00046669" w:rsidRPr="005D141A">
        <w:rPr>
          <w:rFonts w:ascii="Arial" w:hAnsi="Arial" w:cs="Arial"/>
          <w:iCs/>
          <w:sz w:val="21"/>
          <w:szCs w:val="21"/>
        </w:rPr>
        <w:t>%)</w:t>
      </w:r>
      <w:r w:rsidR="00046669">
        <w:rPr>
          <w:rFonts w:ascii="Arial" w:hAnsi="Arial" w:cs="Arial"/>
          <w:iCs/>
          <w:sz w:val="21"/>
          <w:szCs w:val="21"/>
        </w:rPr>
        <w:t xml:space="preserve">, delle </w:t>
      </w:r>
      <w:r w:rsidR="00046669" w:rsidRPr="008A6AAE">
        <w:rPr>
          <w:rFonts w:ascii="Arial" w:hAnsi="Arial" w:cs="Arial"/>
          <w:iCs/>
          <w:sz w:val="21"/>
          <w:szCs w:val="21"/>
        </w:rPr>
        <w:t xml:space="preserve">Bevande alcoliche e tabacchi </w:t>
      </w:r>
      <w:r w:rsidR="00046669">
        <w:rPr>
          <w:rFonts w:ascii="Arial" w:hAnsi="Arial" w:cs="Arial"/>
          <w:iCs/>
          <w:sz w:val="21"/>
          <w:szCs w:val="21"/>
        </w:rPr>
        <w:t xml:space="preserve">(da +1,3% a +3,5%), </w:t>
      </w:r>
      <w:r w:rsidR="00046669" w:rsidRPr="005D141A">
        <w:rPr>
          <w:rFonts w:ascii="Arial" w:hAnsi="Arial" w:cs="Arial"/>
          <w:iCs/>
          <w:sz w:val="21"/>
          <w:szCs w:val="21"/>
        </w:rPr>
        <w:t>di Ricreazion</w:t>
      </w:r>
      <w:r w:rsidR="00046669">
        <w:rPr>
          <w:rFonts w:ascii="Arial" w:hAnsi="Arial" w:cs="Arial"/>
          <w:iCs/>
          <w:sz w:val="21"/>
          <w:szCs w:val="21"/>
        </w:rPr>
        <w:t>e, spettacoli e cultura (da +1,5</w:t>
      </w:r>
      <w:r w:rsidR="00046669" w:rsidRPr="005D141A">
        <w:rPr>
          <w:rFonts w:ascii="Arial" w:hAnsi="Arial" w:cs="Arial"/>
          <w:iCs/>
          <w:sz w:val="21"/>
          <w:szCs w:val="21"/>
        </w:rPr>
        <w:t>% a +</w:t>
      </w:r>
      <w:r w:rsidR="00046669">
        <w:rPr>
          <w:rFonts w:ascii="Arial" w:hAnsi="Arial" w:cs="Arial"/>
          <w:iCs/>
          <w:sz w:val="21"/>
          <w:szCs w:val="21"/>
        </w:rPr>
        <w:t xml:space="preserve">3,6%), </w:t>
      </w:r>
      <w:r w:rsidR="006B4568">
        <w:rPr>
          <w:rFonts w:ascii="Arial" w:hAnsi="Arial" w:cs="Arial"/>
          <w:iCs/>
          <w:sz w:val="21"/>
          <w:szCs w:val="21"/>
        </w:rPr>
        <w:t>di Altri beni e servizi (da +2,0% a +4</w:t>
      </w:r>
      <w:r w:rsidR="006B4568" w:rsidRPr="005D141A">
        <w:rPr>
          <w:rFonts w:ascii="Arial" w:hAnsi="Arial" w:cs="Arial"/>
          <w:iCs/>
          <w:sz w:val="21"/>
          <w:szCs w:val="21"/>
        </w:rPr>
        <w:t>,0%)</w:t>
      </w:r>
      <w:r w:rsidR="006B4568">
        <w:rPr>
          <w:rFonts w:ascii="Arial" w:hAnsi="Arial" w:cs="Arial"/>
          <w:iCs/>
          <w:sz w:val="21"/>
          <w:szCs w:val="21"/>
        </w:rPr>
        <w:t xml:space="preserve">, </w:t>
      </w:r>
      <w:r w:rsidR="006B4568" w:rsidRPr="005D141A">
        <w:rPr>
          <w:rFonts w:ascii="Arial" w:hAnsi="Arial" w:cs="Arial"/>
          <w:iCs/>
          <w:sz w:val="21"/>
          <w:szCs w:val="21"/>
        </w:rPr>
        <w:t>di Abbigliamento e calzature</w:t>
      </w:r>
      <w:r w:rsidR="006B4568">
        <w:rPr>
          <w:rFonts w:ascii="Arial" w:hAnsi="Arial" w:cs="Arial"/>
          <w:iCs/>
          <w:sz w:val="21"/>
          <w:szCs w:val="21"/>
        </w:rPr>
        <w:t xml:space="preserve"> (da +1,9</w:t>
      </w:r>
      <w:r w:rsidR="006B4568" w:rsidRPr="005D141A">
        <w:rPr>
          <w:rFonts w:ascii="Arial" w:hAnsi="Arial" w:cs="Arial"/>
          <w:iCs/>
          <w:sz w:val="21"/>
          <w:szCs w:val="21"/>
        </w:rPr>
        <w:t>% a +</w:t>
      </w:r>
      <w:r w:rsidR="006B4568">
        <w:rPr>
          <w:rFonts w:ascii="Arial" w:hAnsi="Arial" w:cs="Arial"/>
          <w:iCs/>
          <w:sz w:val="21"/>
          <w:szCs w:val="21"/>
        </w:rPr>
        <w:t>3,0</w:t>
      </w:r>
      <w:r w:rsidR="006B4568" w:rsidRPr="005D141A">
        <w:rPr>
          <w:rFonts w:ascii="Arial" w:hAnsi="Arial" w:cs="Arial"/>
          <w:iCs/>
          <w:sz w:val="21"/>
          <w:szCs w:val="21"/>
        </w:rPr>
        <w:t>%)</w:t>
      </w:r>
      <w:r w:rsidR="006B4568">
        <w:rPr>
          <w:rFonts w:ascii="Arial" w:hAnsi="Arial" w:cs="Arial"/>
          <w:iCs/>
          <w:sz w:val="21"/>
          <w:szCs w:val="21"/>
        </w:rPr>
        <w:t xml:space="preserve">, </w:t>
      </w:r>
      <w:r w:rsidR="006B4568" w:rsidRPr="005D141A">
        <w:rPr>
          <w:rFonts w:ascii="Arial" w:hAnsi="Arial" w:cs="Arial"/>
          <w:iCs/>
          <w:sz w:val="21"/>
          <w:szCs w:val="21"/>
        </w:rPr>
        <w:t>dell’Istruzione (da un</w:t>
      </w:r>
      <w:r w:rsidR="006B4568">
        <w:rPr>
          <w:rFonts w:ascii="Arial" w:hAnsi="Arial" w:cs="Arial"/>
          <w:iCs/>
          <w:sz w:val="21"/>
          <w:szCs w:val="21"/>
        </w:rPr>
        <w:t xml:space="preserve">a variazione </w:t>
      </w:r>
      <w:r w:rsidR="00D2526F">
        <w:rPr>
          <w:rFonts w:ascii="Arial" w:hAnsi="Arial" w:cs="Arial"/>
          <w:iCs/>
          <w:sz w:val="21"/>
          <w:szCs w:val="21"/>
        </w:rPr>
        <w:t>media</w:t>
      </w:r>
      <w:r w:rsidR="006B4568">
        <w:rPr>
          <w:rFonts w:ascii="Arial" w:hAnsi="Arial" w:cs="Arial"/>
          <w:iCs/>
          <w:sz w:val="21"/>
          <w:szCs w:val="21"/>
        </w:rPr>
        <w:t xml:space="preserve"> nulla a +1,1%</w:t>
      </w:r>
      <w:r w:rsidR="006B4568" w:rsidRPr="005D141A">
        <w:rPr>
          <w:rFonts w:ascii="Arial" w:hAnsi="Arial" w:cs="Arial"/>
          <w:iCs/>
          <w:sz w:val="21"/>
          <w:szCs w:val="21"/>
        </w:rPr>
        <w:t>)</w:t>
      </w:r>
      <w:r w:rsidR="006B4568">
        <w:rPr>
          <w:rFonts w:ascii="Arial" w:hAnsi="Arial" w:cs="Arial"/>
          <w:iCs/>
          <w:sz w:val="21"/>
          <w:szCs w:val="21"/>
        </w:rPr>
        <w:t xml:space="preserve">, </w:t>
      </w:r>
      <w:r w:rsidR="006B4568" w:rsidRPr="005D141A">
        <w:rPr>
          <w:rFonts w:ascii="Arial" w:hAnsi="Arial" w:cs="Arial"/>
          <w:iCs/>
          <w:sz w:val="21"/>
          <w:szCs w:val="21"/>
        </w:rPr>
        <w:t>dei Prodotti alimentar</w:t>
      </w:r>
      <w:r w:rsidR="006B4568">
        <w:rPr>
          <w:rFonts w:ascii="Arial" w:hAnsi="Arial" w:cs="Arial"/>
          <w:iCs/>
          <w:sz w:val="21"/>
          <w:szCs w:val="21"/>
        </w:rPr>
        <w:t>i e bevande analcoliche (da +9,1%</w:t>
      </w:r>
      <w:r w:rsidR="006B4568" w:rsidRPr="005D141A">
        <w:rPr>
          <w:rFonts w:ascii="Arial" w:hAnsi="Arial" w:cs="Arial"/>
          <w:iCs/>
          <w:sz w:val="21"/>
          <w:szCs w:val="21"/>
        </w:rPr>
        <w:t xml:space="preserve"> a +</w:t>
      </w:r>
      <w:r w:rsidR="006B4568">
        <w:rPr>
          <w:rFonts w:ascii="Arial" w:hAnsi="Arial" w:cs="Arial"/>
          <w:iCs/>
          <w:sz w:val="21"/>
          <w:szCs w:val="21"/>
        </w:rPr>
        <w:t>10,0</w:t>
      </w:r>
      <w:r w:rsidR="006B4568" w:rsidRPr="005D141A">
        <w:rPr>
          <w:rFonts w:ascii="Arial" w:hAnsi="Arial" w:cs="Arial"/>
          <w:iCs/>
          <w:sz w:val="21"/>
          <w:szCs w:val="21"/>
        </w:rPr>
        <w:t>%)</w:t>
      </w:r>
      <w:r w:rsidR="00867B24">
        <w:rPr>
          <w:rFonts w:ascii="Arial" w:hAnsi="Arial" w:cs="Arial"/>
          <w:iCs/>
          <w:sz w:val="21"/>
          <w:szCs w:val="21"/>
        </w:rPr>
        <w:t>,</w:t>
      </w:r>
      <w:r w:rsidR="006B4568" w:rsidRPr="008A6AAE">
        <w:rPr>
          <w:rFonts w:ascii="Arial" w:hAnsi="Arial" w:cs="Arial"/>
          <w:iCs/>
          <w:sz w:val="21"/>
          <w:szCs w:val="21"/>
        </w:rPr>
        <w:t xml:space="preserve"> </w:t>
      </w:r>
      <w:r w:rsidR="006B4568" w:rsidRPr="005D141A">
        <w:rPr>
          <w:rFonts w:ascii="Arial" w:hAnsi="Arial" w:cs="Arial"/>
          <w:iCs/>
          <w:sz w:val="21"/>
          <w:szCs w:val="21"/>
        </w:rPr>
        <w:t xml:space="preserve">dei Mobili, articoli e servizi per </w:t>
      </w:r>
      <w:r w:rsidR="006B4568">
        <w:rPr>
          <w:rFonts w:ascii="Arial" w:hAnsi="Arial" w:cs="Arial"/>
          <w:iCs/>
          <w:sz w:val="21"/>
          <w:szCs w:val="21"/>
        </w:rPr>
        <w:t>la casa (da +5,2</w:t>
      </w:r>
      <w:r w:rsidR="006B4568" w:rsidRPr="005D141A">
        <w:rPr>
          <w:rFonts w:ascii="Arial" w:hAnsi="Arial" w:cs="Arial"/>
          <w:iCs/>
          <w:sz w:val="21"/>
          <w:szCs w:val="21"/>
        </w:rPr>
        <w:t>% a +</w:t>
      </w:r>
      <w:r w:rsidR="00A16A13">
        <w:rPr>
          <w:rFonts w:ascii="Arial" w:hAnsi="Arial" w:cs="Arial"/>
          <w:iCs/>
          <w:sz w:val="21"/>
          <w:szCs w:val="21"/>
        </w:rPr>
        <w:t>6,1%),</w:t>
      </w:r>
      <w:r w:rsidR="00867B24">
        <w:rPr>
          <w:rFonts w:ascii="Arial" w:hAnsi="Arial" w:cs="Arial"/>
          <w:iCs/>
          <w:sz w:val="21"/>
          <w:szCs w:val="21"/>
        </w:rPr>
        <w:t xml:space="preserve"> </w:t>
      </w:r>
      <w:r w:rsidR="00867B24" w:rsidRPr="005D141A">
        <w:rPr>
          <w:rFonts w:ascii="Arial" w:hAnsi="Arial" w:cs="Arial"/>
          <w:iCs/>
          <w:sz w:val="21"/>
          <w:szCs w:val="21"/>
        </w:rPr>
        <w:t>dei Servizi sanitari e spese per la salute (da +</w:t>
      </w:r>
      <w:r w:rsidR="00867B24">
        <w:rPr>
          <w:rFonts w:ascii="Arial" w:hAnsi="Arial" w:cs="Arial"/>
          <w:iCs/>
          <w:sz w:val="21"/>
          <w:szCs w:val="21"/>
        </w:rPr>
        <w:t>0,8% a +1,6</w:t>
      </w:r>
      <w:r w:rsidR="00267BA3">
        <w:rPr>
          <w:rFonts w:ascii="Arial" w:hAnsi="Arial" w:cs="Arial"/>
          <w:iCs/>
          <w:sz w:val="21"/>
          <w:szCs w:val="21"/>
        </w:rPr>
        <w:t>%</w:t>
      </w:r>
      <w:r w:rsidR="00867B24">
        <w:rPr>
          <w:rFonts w:ascii="Arial" w:hAnsi="Arial" w:cs="Arial"/>
          <w:iCs/>
          <w:sz w:val="21"/>
          <w:szCs w:val="21"/>
        </w:rPr>
        <w:t xml:space="preserve">) e infine quelli </w:t>
      </w:r>
      <w:r w:rsidR="00867B24" w:rsidRPr="005D141A">
        <w:rPr>
          <w:rFonts w:ascii="Arial" w:hAnsi="Arial" w:cs="Arial"/>
          <w:iCs/>
          <w:sz w:val="21"/>
          <w:szCs w:val="21"/>
        </w:rPr>
        <w:t>dei Servizi rice</w:t>
      </w:r>
      <w:r w:rsidR="009551AB">
        <w:rPr>
          <w:rFonts w:ascii="Arial" w:hAnsi="Arial" w:cs="Arial"/>
          <w:iCs/>
          <w:sz w:val="21"/>
          <w:szCs w:val="21"/>
        </w:rPr>
        <w:t>ttivi e di ristorazione (da +6,3</w:t>
      </w:r>
      <w:r w:rsidR="00867B24" w:rsidRPr="005D141A">
        <w:rPr>
          <w:rFonts w:ascii="Arial" w:hAnsi="Arial" w:cs="Arial"/>
          <w:iCs/>
          <w:sz w:val="21"/>
          <w:szCs w:val="21"/>
        </w:rPr>
        <w:t>% da +</w:t>
      </w:r>
      <w:r w:rsidR="009551AB">
        <w:rPr>
          <w:rFonts w:ascii="Arial" w:hAnsi="Arial" w:cs="Arial"/>
          <w:iCs/>
          <w:sz w:val="21"/>
          <w:szCs w:val="21"/>
        </w:rPr>
        <w:t>7,0</w:t>
      </w:r>
      <w:r w:rsidR="00867B24" w:rsidRPr="005D141A">
        <w:rPr>
          <w:rFonts w:ascii="Arial" w:hAnsi="Arial" w:cs="Arial"/>
          <w:iCs/>
          <w:sz w:val="21"/>
          <w:szCs w:val="21"/>
        </w:rPr>
        <w:t>%)</w:t>
      </w:r>
      <w:r w:rsidR="00867B24">
        <w:rPr>
          <w:rFonts w:ascii="Arial" w:hAnsi="Arial" w:cs="Arial"/>
          <w:iCs/>
          <w:sz w:val="21"/>
          <w:szCs w:val="21"/>
        </w:rPr>
        <w:t>.</w:t>
      </w:r>
    </w:p>
    <w:p w:rsidR="003346B6" w:rsidRDefault="003346B6" w:rsidP="00FF11CD">
      <w:pPr>
        <w:tabs>
          <w:tab w:val="left" w:pos="2940"/>
        </w:tabs>
        <w:spacing w:before="0" w:after="60"/>
        <w:jc w:val="both"/>
        <w:rPr>
          <w:rFonts w:ascii="Arial" w:hAnsi="Arial" w:cs="Arial"/>
          <w:iCs/>
          <w:sz w:val="21"/>
          <w:szCs w:val="21"/>
        </w:rPr>
      </w:pPr>
      <w:r w:rsidRPr="00A525FA">
        <w:rPr>
          <w:rFonts w:ascii="Arial" w:hAnsi="Arial" w:cs="Arial"/>
          <w:iCs/>
          <w:sz w:val="21"/>
          <w:szCs w:val="21"/>
        </w:rPr>
        <w:t>Le divisioni di spesa che contribuiscono maggiormente alla variazione media annua</w:t>
      </w:r>
      <w:r w:rsidR="00A75C0C" w:rsidRPr="00A525FA">
        <w:rPr>
          <w:rFonts w:ascii="Arial" w:hAnsi="Arial" w:cs="Arial"/>
          <w:iCs/>
          <w:sz w:val="21"/>
          <w:szCs w:val="21"/>
        </w:rPr>
        <w:t xml:space="preserve"> dell’indice generale sono </w:t>
      </w:r>
      <w:r w:rsidRPr="00A525FA">
        <w:rPr>
          <w:rFonts w:ascii="Arial" w:hAnsi="Arial" w:cs="Arial"/>
          <w:iCs/>
          <w:sz w:val="21"/>
          <w:szCs w:val="21"/>
        </w:rPr>
        <w:t xml:space="preserve">quelle </w:t>
      </w:r>
      <w:r w:rsidR="00A525FA" w:rsidRPr="00A525FA">
        <w:rPr>
          <w:rFonts w:ascii="Arial" w:hAnsi="Arial" w:cs="Arial"/>
          <w:iCs/>
          <w:sz w:val="21"/>
          <w:szCs w:val="21"/>
        </w:rPr>
        <w:t>dei Prodotti alimentari e bevande analcoliche (1,</w:t>
      </w:r>
      <w:r w:rsidR="00A525FA">
        <w:rPr>
          <w:rFonts w:ascii="Arial" w:hAnsi="Arial" w:cs="Arial"/>
          <w:iCs/>
          <w:sz w:val="21"/>
          <w:szCs w:val="21"/>
        </w:rPr>
        <w:t xml:space="preserve">805 </w:t>
      </w:r>
      <w:r w:rsidR="00A525FA" w:rsidRPr="00A525FA">
        <w:rPr>
          <w:rFonts w:ascii="Arial" w:hAnsi="Arial" w:cs="Arial"/>
          <w:iCs/>
          <w:sz w:val="21"/>
          <w:szCs w:val="21"/>
        </w:rPr>
        <w:t>punti percentuali)</w:t>
      </w:r>
      <w:r w:rsidR="00A525FA">
        <w:rPr>
          <w:rFonts w:ascii="Arial" w:hAnsi="Arial" w:cs="Arial"/>
          <w:iCs/>
          <w:sz w:val="21"/>
          <w:szCs w:val="21"/>
        </w:rPr>
        <w:t xml:space="preserve">, </w:t>
      </w:r>
      <w:r w:rsidRPr="00A525FA">
        <w:rPr>
          <w:rFonts w:ascii="Arial" w:hAnsi="Arial" w:cs="Arial"/>
          <w:iCs/>
          <w:sz w:val="21"/>
          <w:szCs w:val="21"/>
        </w:rPr>
        <w:t>dell’Abitazione, acqua, elettricità e combustibili (</w:t>
      </w:r>
      <w:r w:rsidR="00A525FA">
        <w:rPr>
          <w:rFonts w:ascii="Arial" w:hAnsi="Arial" w:cs="Arial"/>
          <w:iCs/>
          <w:sz w:val="21"/>
          <w:szCs w:val="21"/>
        </w:rPr>
        <w:t>1,078)</w:t>
      </w:r>
      <w:r w:rsidRPr="00A525FA">
        <w:rPr>
          <w:rFonts w:ascii="Arial" w:hAnsi="Arial" w:cs="Arial"/>
          <w:iCs/>
          <w:sz w:val="21"/>
          <w:szCs w:val="21"/>
        </w:rPr>
        <w:t xml:space="preserve"> e dei </w:t>
      </w:r>
      <w:r w:rsidR="00A525FA" w:rsidRPr="005D141A">
        <w:rPr>
          <w:rFonts w:ascii="Arial" w:hAnsi="Arial" w:cs="Arial"/>
          <w:iCs/>
          <w:sz w:val="21"/>
          <w:szCs w:val="21"/>
        </w:rPr>
        <w:t>Servizi rice</w:t>
      </w:r>
      <w:r w:rsidR="00A525FA">
        <w:rPr>
          <w:rFonts w:ascii="Arial" w:hAnsi="Arial" w:cs="Arial"/>
          <w:iCs/>
          <w:sz w:val="21"/>
          <w:szCs w:val="21"/>
        </w:rPr>
        <w:t>ttivi e di ristorazione</w:t>
      </w:r>
      <w:r w:rsidR="00A525FA" w:rsidRPr="00A525FA">
        <w:rPr>
          <w:rFonts w:ascii="Arial" w:hAnsi="Arial" w:cs="Arial"/>
          <w:iCs/>
          <w:sz w:val="21"/>
          <w:szCs w:val="21"/>
        </w:rPr>
        <w:t xml:space="preserve"> </w:t>
      </w:r>
      <w:r w:rsidRPr="00A525FA">
        <w:rPr>
          <w:rFonts w:ascii="Arial" w:hAnsi="Arial" w:cs="Arial"/>
          <w:iCs/>
          <w:sz w:val="21"/>
          <w:szCs w:val="21"/>
        </w:rPr>
        <w:t>(</w:t>
      </w:r>
      <w:r w:rsidR="00A525FA">
        <w:rPr>
          <w:rFonts w:ascii="Arial" w:hAnsi="Arial" w:cs="Arial"/>
          <w:iCs/>
          <w:sz w:val="21"/>
          <w:szCs w:val="21"/>
        </w:rPr>
        <w:t>0,740</w:t>
      </w:r>
      <w:r w:rsidRPr="00A525FA">
        <w:rPr>
          <w:rFonts w:ascii="Arial" w:hAnsi="Arial" w:cs="Arial"/>
          <w:iCs/>
          <w:sz w:val="21"/>
          <w:szCs w:val="21"/>
        </w:rPr>
        <w:t>). Al contrario, modesti contributi si osserv</w:t>
      </w:r>
      <w:r w:rsidR="00A525FA">
        <w:rPr>
          <w:rFonts w:ascii="Arial" w:hAnsi="Arial" w:cs="Arial"/>
          <w:iCs/>
          <w:sz w:val="21"/>
          <w:szCs w:val="21"/>
        </w:rPr>
        <w:t>ano per le Comunicazioni (0,002</w:t>
      </w:r>
      <w:r w:rsidRPr="00A525FA">
        <w:rPr>
          <w:rFonts w:ascii="Arial" w:hAnsi="Arial" w:cs="Arial"/>
          <w:iCs/>
          <w:sz w:val="21"/>
          <w:szCs w:val="21"/>
        </w:rPr>
        <w:t>) e</w:t>
      </w:r>
      <w:r w:rsidR="00155F9A" w:rsidRPr="00A525FA">
        <w:rPr>
          <w:rFonts w:ascii="Arial" w:hAnsi="Arial" w:cs="Arial"/>
          <w:iCs/>
          <w:sz w:val="21"/>
          <w:szCs w:val="21"/>
        </w:rPr>
        <w:t xml:space="preserve"> per</w:t>
      </w:r>
      <w:r w:rsidR="00A525FA">
        <w:rPr>
          <w:rFonts w:ascii="Arial" w:hAnsi="Arial" w:cs="Arial"/>
          <w:iCs/>
          <w:sz w:val="21"/>
          <w:szCs w:val="21"/>
        </w:rPr>
        <w:t xml:space="preserve"> l’Istruzione (</w:t>
      </w:r>
      <w:r w:rsidRPr="00A525FA">
        <w:rPr>
          <w:rFonts w:ascii="Arial" w:hAnsi="Arial" w:cs="Arial"/>
          <w:iCs/>
          <w:sz w:val="21"/>
          <w:szCs w:val="21"/>
        </w:rPr>
        <w:t>0,0</w:t>
      </w:r>
      <w:r w:rsidR="00A525FA">
        <w:rPr>
          <w:rFonts w:ascii="Arial" w:hAnsi="Arial" w:cs="Arial"/>
          <w:iCs/>
          <w:sz w:val="21"/>
          <w:szCs w:val="21"/>
        </w:rPr>
        <w:t>11</w:t>
      </w:r>
      <w:r w:rsidRPr="00A525FA">
        <w:rPr>
          <w:rFonts w:ascii="Arial" w:hAnsi="Arial" w:cs="Arial"/>
          <w:iCs/>
          <w:sz w:val="21"/>
          <w:szCs w:val="21"/>
        </w:rPr>
        <w:t>).</w:t>
      </w:r>
    </w:p>
    <w:p w:rsidR="00762897" w:rsidRPr="00FF11CD" w:rsidRDefault="00762897" w:rsidP="00F53B56">
      <w:pPr>
        <w:tabs>
          <w:tab w:val="left" w:pos="2940"/>
        </w:tabs>
        <w:spacing w:before="0" w:after="120"/>
        <w:jc w:val="both"/>
        <w:rPr>
          <w:rFonts w:ascii="Arial" w:hAnsi="Arial" w:cs="Arial"/>
          <w:iCs/>
          <w:sz w:val="8"/>
          <w:szCs w:val="8"/>
        </w:rPr>
      </w:pPr>
    </w:p>
    <w:p w:rsidR="00FD599C" w:rsidRPr="00C8504B" w:rsidRDefault="00934B53" w:rsidP="001C5B6D">
      <w:pPr>
        <w:pStyle w:val="Corpotesto"/>
        <w:tabs>
          <w:tab w:val="left" w:pos="6237"/>
        </w:tabs>
        <w:spacing w:after="60" w:line="240" w:lineRule="exact"/>
        <w:jc w:val="both"/>
        <w:rPr>
          <w:rFonts w:ascii="Arial Narrow" w:hAnsi="Arial Narrow" w:cs="Arial"/>
          <w:color w:val="5F5F5F"/>
        </w:rPr>
      </w:pPr>
      <w:r>
        <w:rPr>
          <w:rFonts w:ascii="Arial Narrow" w:hAnsi="Arial Narrow" w:cs="Arial"/>
          <w:b/>
          <w:color w:val="E42618"/>
          <w:sz w:val="22"/>
          <w:szCs w:val="22"/>
        </w:rPr>
        <w:t>PROSPETTO 6</w:t>
      </w:r>
      <w:r w:rsidR="00FD599C" w:rsidRPr="00C8504B">
        <w:rPr>
          <w:rFonts w:ascii="Arial Narrow" w:hAnsi="Arial Narrow" w:cs="Arial"/>
          <w:b/>
          <w:color w:val="E42618"/>
          <w:sz w:val="22"/>
          <w:szCs w:val="22"/>
        </w:rPr>
        <w:t>.</w:t>
      </w:r>
      <w:r w:rsidR="00FD599C" w:rsidRPr="00C8504B">
        <w:rPr>
          <w:rFonts w:ascii="Arial Narrow" w:hAnsi="Arial Narrow" w:cs="Arial"/>
          <w:b/>
          <w:color w:val="2298D1"/>
          <w:sz w:val="22"/>
          <w:szCs w:val="22"/>
        </w:rPr>
        <w:t xml:space="preserve"> </w:t>
      </w:r>
      <w:r w:rsidR="00FD599C" w:rsidRPr="00C8504B">
        <w:rPr>
          <w:rFonts w:ascii="Arial Narrow" w:hAnsi="Arial Narrow" w:cs="Calibri"/>
          <w:b/>
          <w:bCs/>
          <w:color w:val="5F5F5F"/>
          <w:kern w:val="0"/>
          <w:sz w:val="22"/>
          <w:szCs w:val="22"/>
        </w:rPr>
        <w:t>INDICI DEI PREZZI AL CONSUMO NIC PER DIVISIONE DI SPESA</w:t>
      </w:r>
      <w:r w:rsidR="00FD599C" w:rsidRPr="00C8504B">
        <w:rPr>
          <w:rFonts w:ascii="Arial Narrow" w:hAnsi="Arial Narrow" w:cs="Arial"/>
          <w:b/>
          <w:caps/>
          <w:color w:val="5F5F5F"/>
        </w:rPr>
        <w:t xml:space="preserve"> </w:t>
      </w:r>
      <w:r w:rsidR="00FD599C" w:rsidRPr="00C8504B">
        <w:rPr>
          <w:rFonts w:ascii="Arial Narrow" w:hAnsi="Arial Narrow" w:cs="Arial"/>
          <w:b/>
          <w:caps/>
          <w:color w:val="5F5F5F"/>
        </w:rPr>
        <w:br/>
      </w:r>
      <w:r w:rsidR="00320EE6">
        <w:rPr>
          <w:rFonts w:ascii="Arial Narrow" w:hAnsi="Arial Narrow" w:cs="Arial"/>
          <w:color w:val="5F5F5F"/>
        </w:rPr>
        <w:t>Anno 202</w:t>
      </w:r>
      <w:r w:rsidR="007767A7">
        <w:rPr>
          <w:rFonts w:ascii="Arial Narrow" w:hAnsi="Arial Narrow" w:cs="Arial"/>
          <w:color w:val="5F5F5F"/>
        </w:rPr>
        <w:t>3</w:t>
      </w:r>
      <w:r w:rsidR="00FD599C" w:rsidRPr="001A7A55">
        <w:rPr>
          <w:rFonts w:ascii="Arial Narrow" w:hAnsi="Arial Narrow" w:cs="Arial"/>
          <w:color w:val="5F5F5F"/>
        </w:rPr>
        <w:t>, variazioni percentuali tendenziali</w:t>
      </w:r>
      <w:r w:rsidR="001A7A55" w:rsidRPr="001A7A55">
        <w:rPr>
          <w:rFonts w:ascii="Arial Narrow" w:hAnsi="Arial Narrow" w:cs="Arial"/>
          <w:color w:val="5F5F5F"/>
        </w:rPr>
        <w:t xml:space="preserve"> e contributi alla variazione tendenziale dell’indice generale </w:t>
      </w:r>
      <w:r w:rsidR="00FD599C" w:rsidRPr="001A7A55">
        <w:rPr>
          <w:rFonts w:ascii="Arial Narrow" w:hAnsi="Arial Narrow" w:cs="Arial"/>
          <w:color w:val="5F5F5F"/>
        </w:rPr>
        <w:t>(base 2015=100)</w:t>
      </w:r>
      <w:r w:rsidR="00FD599C" w:rsidRPr="00C8504B">
        <w:rPr>
          <w:rFonts w:ascii="Arial Narrow" w:hAnsi="Arial Narrow" w:cs="Arial"/>
          <w:color w:val="5F5F5F"/>
        </w:rPr>
        <w:t xml:space="preserve"> </w:t>
      </w:r>
    </w:p>
    <w:tbl>
      <w:tblPr>
        <w:tblW w:w="10206" w:type="dxa"/>
        <w:tblInd w:w="70" w:type="dxa"/>
        <w:tblBorders>
          <w:top w:val="single" w:sz="4" w:space="0" w:color="000000"/>
          <w:bottom w:val="single" w:sz="4" w:space="0" w:color="000000"/>
          <w:insideH w:val="single" w:sz="4" w:space="0" w:color="000000"/>
        </w:tblBorders>
        <w:tblLayout w:type="fixed"/>
        <w:tblCellMar>
          <w:left w:w="70" w:type="dxa"/>
          <w:right w:w="0" w:type="dxa"/>
        </w:tblCellMar>
        <w:tblLook w:val="0000" w:firstRow="0" w:lastRow="0" w:firstColumn="0" w:lastColumn="0" w:noHBand="0" w:noVBand="0"/>
      </w:tblPr>
      <w:tblGrid>
        <w:gridCol w:w="2977"/>
        <w:gridCol w:w="567"/>
        <w:gridCol w:w="567"/>
        <w:gridCol w:w="567"/>
        <w:gridCol w:w="567"/>
        <w:gridCol w:w="567"/>
        <w:gridCol w:w="567"/>
        <w:gridCol w:w="845"/>
        <w:gridCol w:w="714"/>
        <w:gridCol w:w="856"/>
        <w:gridCol w:w="1412"/>
      </w:tblGrid>
      <w:tr w:rsidR="00D164E5" w:rsidRPr="00C8504B" w:rsidTr="002A1858">
        <w:trPr>
          <w:trHeight w:val="274"/>
        </w:trPr>
        <w:tc>
          <w:tcPr>
            <w:tcW w:w="2977" w:type="dxa"/>
            <w:vMerge w:val="restart"/>
            <w:vAlign w:val="center"/>
          </w:tcPr>
          <w:p w:rsidR="00D164E5" w:rsidRPr="00C8504B" w:rsidRDefault="00D164E5" w:rsidP="00FD599C">
            <w:pPr>
              <w:spacing w:before="40" w:after="20"/>
              <w:rPr>
                <w:rFonts w:ascii="Arial Narrow" w:hAnsi="Arial Narrow" w:cs="Arial"/>
                <w:bCs/>
                <w:sz w:val="18"/>
                <w:szCs w:val="18"/>
              </w:rPr>
            </w:pPr>
            <w:r w:rsidRPr="00C8504B">
              <w:rPr>
                <w:rFonts w:ascii="Arial Narrow" w:hAnsi="Arial Narrow" w:cs="Arial"/>
                <w:b/>
                <w:bCs/>
                <w:sz w:val="18"/>
                <w:szCs w:val="18"/>
              </w:rPr>
              <w:t>DIVISIONI DI SPESA</w:t>
            </w:r>
          </w:p>
        </w:tc>
        <w:tc>
          <w:tcPr>
            <w:tcW w:w="3402" w:type="dxa"/>
            <w:gridSpan w:val="6"/>
            <w:shd w:val="clear" w:color="auto" w:fill="auto"/>
            <w:vAlign w:val="center"/>
          </w:tcPr>
          <w:p w:rsidR="00D164E5" w:rsidRPr="008814F3" w:rsidRDefault="00D164E5" w:rsidP="00D164E5">
            <w:pPr>
              <w:spacing w:before="40" w:after="20"/>
              <w:ind w:right="57"/>
              <w:jc w:val="center"/>
              <w:rPr>
                <w:rFonts w:ascii="Arial Narrow" w:hAnsi="Arial Narrow" w:cs="Arial"/>
                <w:b/>
                <w:bCs/>
                <w:kern w:val="0"/>
                <w:sz w:val="18"/>
                <w:szCs w:val="18"/>
              </w:rPr>
            </w:pPr>
            <w:r>
              <w:rPr>
                <w:rFonts w:ascii="Arial Narrow" w:hAnsi="Arial Narrow" w:cs="Arial"/>
                <w:b/>
                <w:bCs/>
                <w:kern w:val="0"/>
                <w:sz w:val="18"/>
                <w:szCs w:val="18"/>
              </w:rPr>
              <w:t>V</w:t>
            </w:r>
            <w:r w:rsidRPr="00E35895">
              <w:rPr>
                <w:rFonts w:ascii="Arial Narrow" w:hAnsi="Arial Narrow" w:cs="Arial"/>
                <w:b/>
                <w:bCs/>
                <w:kern w:val="0"/>
                <w:sz w:val="18"/>
                <w:szCs w:val="18"/>
              </w:rPr>
              <w:t>ariazioni medi</w:t>
            </w:r>
            <w:r>
              <w:rPr>
                <w:rFonts w:ascii="Arial Narrow" w:hAnsi="Arial Narrow" w:cs="Arial"/>
                <w:b/>
                <w:bCs/>
                <w:kern w:val="0"/>
                <w:sz w:val="18"/>
                <w:szCs w:val="18"/>
              </w:rPr>
              <w:t>e</w:t>
            </w:r>
          </w:p>
        </w:tc>
        <w:tc>
          <w:tcPr>
            <w:tcW w:w="845" w:type="dxa"/>
            <w:vMerge w:val="restart"/>
            <w:shd w:val="clear" w:color="auto" w:fill="D9D9D9" w:themeFill="background1" w:themeFillShade="D9"/>
            <w:vAlign w:val="center"/>
          </w:tcPr>
          <w:p w:rsidR="00D164E5" w:rsidRPr="00FD599C" w:rsidRDefault="00D164E5" w:rsidP="00AD384C">
            <w:pPr>
              <w:spacing w:before="40" w:after="20"/>
              <w:ind w:right="57"/>
              <w:jc w:val="center"/>
              <w:rPr>
                <w:rFonts w:ascii="Arial Narrow" w:hAnsi="Arial Narrow" w:cs="Arial"/>
                <w:b/>
                <w:bCs/>
                <w:kern w:val="0"/>
                <w:sz w:val="18"/>
                <w:szCs w:val="18"/>
              </w:rPr>
            </w:pPr>
            <w:r w:rsidRPr="00FD599C">
              <w:rPr>
                <w:rFonts w:ascii="Arial Narrow" w:hAnsi="Arial Narrow" w:cs="Arial"/>
                <w:b/>
                <w:bCs/>
                <w:kern w:val="0"/>
                <w:sz w:val="18"/>
                <w:szCs w:val="18"/>
              </w:rPr>
              <w:t>Inflazione ereditata</w:t>
            </w:r>
            <w:r w:rsidR="00320EE6">
              <w:rPr>
                <w:rFonts w:ascii="Arial Narrow" w:hAnsi="Arial Narrow" w:cs="Arial"/>
                <w:b/>
                <w:bCs/>
                <w:kern w:val="0"/>
                <w:sz w:val="18"/>
                <w:szCs w:val="18"/>
              </w:rPr>
              <w:t xml:space="preserve">      dal 202</w:t>
            </w:r>
            <w:r w:rsidR="00AD384C">
              <w:rPr>
                <w:rFonts w:ascii="Arial Narrow" w:hAnsi="Arial Narrow" w:cs="Arial"/>
                <w:b/>
                <w:bCs/>
                <w:kern w:val="0"/>
                <w:sz w:val="18"/>
                <w:szCs w:val="18"/>
              </w:rPr>
              <w:t>2</w:t>
            </w:r>
          </w:p>
        </w:tc>
        <w:tc>
          <w:tcPr>
            <w:tcW w:w="714" w:type="dxa"/>
            <w:vMerge w:val="restart"/>
            <w:vAlign w:val="center"/>
          </w:tcPr>
          <w:p w:rsidR="00D164E5" w:rsidRPr="00FD599C" w:rsidRDefault="00D164E5" w:rsidP="002A1858">
            <w:pPr>
              <w:spacing w:before="40" w:after="20"/>
              <w:ind w:left="-64"/>
              <w:jc w:val="center"/>
              <w:rPr>
                <w:rFonts w:ascii="Arial Narrow" w:hAnsi="Arial Narrow" w:cs="Arial"/>
                <w:b/>
                <w:bCs/>
                <w:kern w:val="0"/>
                <w:sz w:val="18"/>
                <w:szCs w:val="18"/>
              </w:rPr>
            </w:pPr>
            <w:r>
              <w:rPr>
                <w:rFonts w:ascii="Arial Narrow" w:hAnsi="Arial Narrow" w:cs="Arial"/>
                <w:b/>
                <w:bCs/>
                <w:kern w:val="0"/>
                <w:sz w:val="18"/>
                <w:szCs w:val="18"/>
              </w:rPr>
              <w:t>Inflazio</w:t>
            </w:r>
            <w:r w:rsidRPr="00FD599C">
              <w:rPr>
                <w:rFonts w:ascii="Arial Narrow" w:hAnsi="Arial Narrow" w:cs="Arial"/>
                <w:b/>
                <w:bCs/>
                <w:kern w:val="0"/>
                <w:sz w:val="18"/>
                <w:szCs w:val="18"/>
              </w:rPr>
              <w:t>ne propria</w:t>
            </w:r>
          </w:p>
        </w:tc>
        <w:tc>
          <w:tcPr>
            <w:tcW w:w="856" w:type="dxa"/>
            <w:vMerge w:val="restart"/>
            <w:shd w:val="clear" w:color="auto" w:fill="D9D9D9" w:themeFill="background1" w:themeFillShade="D9"/>
            <w:vAlign w:val="center"/>
          </w:tcPr>
          <w:p w:rsidR="00D164E5" w:rsidRPr="00FD599C" w:rsidRDefault="00D164E5" w:rsidP="00F15C1D">
            <w:pPr>
              <w:spacing w:before="40" w:after="20"/>
              <w:ind w:right="57"/>
              <w:jc w:val="center"/>
              <w:rPr>
                <w:rFonts w:ascii="Arial Narrow" w:hAnsi="Arial Narrow" w:cs="Arial"/>
                <w:b/>
                <w:bCs/>
                <w:kern w:val="0"/>
                <w:sz w:val="18"/>
                <w:szCs w:val="18"/>
              </w:rPr>
            </w:pPr>
            <w:r>
              <w:rPr>
                <w:rFonts w:ascii="Arial Narrow" w:hAnsi="Arial Narrow" w:cs="Arial"/>
                <w:b/>
                <w:bCs/>
                <w:kern w:val="0"/>
                <w:sz w:val="18"/>
                <w:szCs w:val="18"/>
              </w:rPr>
              <w:t>Trascina-mento                  al 20</w:t>
            </w:r>
            <w:r w:rsidR="00F15C1D">
              <w:rPr>
                <w:rFonts w:ascii="Arial Narrow" w:hAnsi="Arial Narrow" w:cs="Arial"/>
                <w:b/>
                <w:bCs/>
                <w:kern w:val="0"/>
                <w:sz w:val="18"/>
                <w:szCs w:val="18"/>
              </w:rPr>
              <w:t>2</w:t>
            </w:r>
            <w:r w:rsidR="00AD384C">
              <w:rPr>
                <w:rFonts w:ascii="Arial Narrow" w:hAnsi="Arial Narrow" w:cs="Arial"/>
                <w:b/>
                <w:bCs/>
                <w:kern w:val="0"/>
                <w:sz w:val="18"/>
                <w:szCs w:val="18"/>
              </w:rPr>
              <w:t>4</w:t>
            </w:r>
          </w:p>
        </w:tc>
        <w:tc>
          <w:tcPr>
            <w:tcW w:w="1412" w:type="dxa"/>
            <w:vMerge w:val="restart"/>
            <w:shd w:val="clear" w:color="auto" w:fill="auto"/>
          </w:tcPr>
          <w:p w:rsidR="00D164E5" w:rsidRDefault="004058DA" w:rsidP="00D164E5">
            <w:pPr>
              <w:spacing w:before="40" w:after="20"/>
              <w:ind w:right="57"/>
              <w:jc w:val="center"/>
              <w:rPr>
                <w:rFonts w:ascii="Arial Narrow" w:hAnsi="Arial Narrow" w:cs="Arial"/>
                <w:b/>
                <w:bCs/>
                <w:kern w:val="0"/>
                <w:sz w:val="18"/>
                <w:szCs w:val="18"/>
              </w:rPr>
            </w:pPr>
            <w:r>
              <w:rPr>
                <w:rFonts w:ascii="Arial Narrow" w:hAnsi="Arial Narrow" w:cs="Arial"/>
                <w:b/>
                <w:bCs/>
                <w:kern w:val="0"/>
                <w:sz w:val="18"/>
                <w:szCs w:val="18"/>
              </w:rPr>
              <w:t>C</w:t>
            </w:r>
            <w:r w:rsidR="00D164E5" w:rsidRPr="00D164E5">
              <w:rPr>
                <w:rFonts w:ascii="Arial Narrow" w:hAnsi="Arial Narrow" w:cs="Arial"/>
                <w:b/>
                <w:bCs/>
                <w:kern w:val="0"/>
                <w:sz w:val="18"/>
                <w:szCs w:val="18"/>
              </w:rPr>
              <w:t>ontributi alla variazione media annua dell’indice generale</w:t>
            </w:r>
          </w:p>
        </w:tc>
      </w:tr>
      <w:tr w:rsidR="008B07E9" w:rsidRPr="00C8504B" w:rsidTr="001C5B6D">
        <w:trPr>
          <w:trHeight w:val="453"/>
        </w:trPr>
        <w:tc>
          <w:tcPr>
            <w:tcW w:w="2977" w:type="dxa"/>
            <w:vMerge/>
            <w:vAlign w:val="center"/>
          </w:tcPr>
          <w:p w:rsidR="008B07E9" w:rsidRPr="00C8504B" w:rsidRDefault="008B07E9" w:rsidP="008B07E9">
            <w:pPr>
              <w:spacing w:before="40" w:after="20"/>
              <w:rPr>
                <w:rFonts w:ascii="Arial Narrow" w:hAnsi="Arial Narrow" w:cs="Arial"/>
                <w:b/>
                <w:bCs/>
                <w:sz w:val="18"/>
                <w:szCs w:val="18"/>
              </w:rPr>
            </w:pPr>
          </w:p>
        </w:tc>
        <w:tc>
          <w:tcPr>
            <w:tcW w:w="567" w:type="dxa"/>
            <w:shd w:val="clear" w:color="auto" w:fill="D9D9D9" w:themeFill="background1" w:themeFillShade="D9"/>
            <w:vAlign w:val="center"/>
          </w:tcPr>
          <w:p w:rsidR="008B07E9" w:rsidRDefault="008B07E9"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202</w:t>
            </w:r>
            <w:r w:rsidR="00AD384C">
              <w:rPr>
                <w:rFonts w:ascii="Arial Narrow" w:hAnsi="Arial Narrow" w:cs="Arial"/>
                <w:kern w:val="0"/>
                <w:sz w:val="18"/>
                <w:szCs w:val="18"/>
                <w:u w:val="single"/>
              </w:rPr>
              <w:t>2</w:t>
            </w:r>
          </w:p>
          <w:p w:rsidR="008B07E9" w:rsidRPr="008814F3" w:rsidRDefault="008B07E9" w:rsidP="008B07E9">
            <w:pPr>
              <w:widowControl/>
              <w:overflowPunct/>
              <w:autoSpaceDE/>
              <w:autoSpaceDN/>
              <w:adjustRightInd/>
              <w:spacing w:before="0" w:after="0"/>
              <w:ind w:right="57"/>
              <w:jc w:val="right"/>
              <w:rPr>
                <w:rFonts w:ascii="Arial Narrow" w:hAnsi="Arial Narrow" w:cs="Arial"/>
                <w:b/>
                <w:bCs/>
                <w:kern w:val="0"/>
                <w:sz w:val="18"/>
                <w:szCs w:val="18"/>
              </w:rPr>
            </w:pPr>
            <w:r>
              <w:rPr>
                <w:rFonts w:ascii="Arial Narrow" w:hAnsi="Arial Narrow" w:cs="Arial"/>
                <w:kern w:val="0"/>
                <w:sz w:val="18"/>
                <w:szCs w:val="18"/>
              </w:rPr>
              <w:t>202</w:t>
            </w:r>
            <w:r w:rsidR="00AD384C">
              <w:rPr>
                <w:rFonts w:ascii="Arial Narrow" w:hAnsi="Arial Narrow" w:cs="Arial"/>
                <w:kern w:val="0"/>
                <w:sz w:val="18"/>
                <w:szCs w:val="18"/>
              </w:rPr>
              <w:t>1</w:t>
            </w:r>
          </w:p>
        </w:tc>
        <w:tc>
          <w:tcPr>
            <w:tcW w:w="567" w:type="dxa"/>
            <w:vAlign w:val="center"/>
          </w:tcPr>
          <w:p w:rsidR="008B07E9" w:rsidRDefault="008B07E9" w:rsidP="008B07E9">
            <w:pPr>
              <w:spacing w:before="40" w:after="20"/>
              <w:jc w:val="center"/>
              <w:rPr>
                <w:rFonts w:ascii="Arial Narrow" w:hAnsi="Arial Narrow" w:cs="Arial"/>
                <w:bCs/>
                <w:sz w:val="18"/>
                <w:szCs w:val="18"/>
              </w:rPr>
            </w:pPr>
            <w:r w:rsidRPr="00FD599C">
              <w:rPr>
                <w:rFonts w:ascii="Arial Narrow" w:hAnsi="Arial Narrow" w:cs="Arial"/>
                <w:bCs/>
                <w:sz w:val="18"/>
                <w:szCs w:val="18"/>
              </w:rPr>
              <w:t>I trim</w:t>
            </w:r>
          </w:p>
          <w:p w:rsidR="008B07E9" w:rsidRPr="00FD599C" w:rsidRDefault="008B07E9" w:rsidP="008B07E9">
            <w:pPr>
              <w:spacing w:before="40" w:after="20"/>
              <w:jc w:val="center"/>
              <w:rPr>
                <w:rFonts w:ascii="Arial Narrow" w:hAnsi="Arial Narrow" w:cs="Arial"/>
                <w:bCs/>
                <w:sz w:val="18"/>
                <w:szCs w:val="18"/>
              </w:rPr>
            </w:pPr>
            <w:r>
              <w:rPr>
                <w:rFonts w:ascii="Arial Narrow" w:hAnsi="Arial Narrow" w:cs="Arial"/>
                <w:bCs/>
                <w:sz w:val="18"/>
                <w:szCs w:val="18"/>
              </w:rPr>
              <w:t>202</w:t>
            </w:r>
            <w:r w:rsidR="00AD384C">
              <w:rPr>
                <w:rFonts w:ascii="Arial Narrow" w:hAnsi="Arial Narrow" w:cs="Arial"/>
                <w:bCs/>
                <w:sz w:val="18"/>
                <w:szCs w:val="18"/>
              </w:rPr>
              <w:t>3</w:t>
            </w:r>
          </w:p>
        </w:tc>
        <w:tc>
          <w:tcPr>
            <w:tcW w:w="567" w:type="dxa"/>
            <w:shd w:val="clear" w:color="auto" w:fill="D9D9D9" w:themeFill="background1" w:themeFillShade="D9"/>
            <w:vAlign w:val="center"/>
          </w:tcPr>
          <w:p w:rsidR="008B07E9" w:rsidRDefault="008B07E9" w:rsidP="008B07E9">
            <w:pPr>
              <w:spacing w:before="40" w:after="20"/>
              <w:jc w:val="center"/>
              <w:rPr>
                <w:rFonts w:ascii="Arial Narrow" w:hAnsi="Arial Narrow" w:cs="Arial"/>
                <w:bCs/>
                <w:sz w:val="18"/>
                <w:szCs w:val="18"/>
              </w:rPr>
            </w:pPr>
            <w:r>
              <w:rPr>
                <w:rFonts w:ascii="Arial Narrow" w:hAnsi="Arial Narrow" w:cs="Arial"/>
                <w:bCs/>
                <w:sz w:val="18"/>
                <w:szCs w:val="18"/>
              </w:rPr>
              <w:t>II</w:t>
            </w:r>
            <w:r w:rsidRPr="00FD599C">
              <w:rPr>
                <w:rFonts w:ascii="Arial Narrow" w:hAnsi="Arial Narrow" w:cs="Arial"/>
                <w:bCs/>
                <w:sz w:val="18"/>
                <w:szCs w:val="18"/>
              </w:rPr>
              <w:t xml:space="preserve"> trim</w:t>
            </w:r>
          </w:p>
          <w:p w:rsidR="008B07E9" w:rsidRPr="00FD599C" w:rsidRDefault="008B07E9" w:rsidP="008B07E9">
            <w:pPr>
              <w:spacing w:before="40" w:after="20"/>
              <w:jc w:val="center"/>
              <w:rPr>
                <w:rFonts w:ascii="Arial Narrow" w:hAnsi="Arial Narrow" w:cs="Arial"/>
                <w:bCs/>
                <w:sz w:val="18"/>
                <w:szCs w:val="18"/>
              </w:rPr>
            </w:pPr>
            <w:r>
              <w:rPr>
                <w:rFonts w:ascii="Arial Narrow" w:hAnsi="Arial Narrow" w:cs="Arial"/>
                <w:bCs/>
                <w:sz w:val="18"/>
                <w:szCs w:val="18"/>
              </w:rPr>
              <w:t>202</w:t>
            </w:r>
            <w:r w:rsidR="00AD384C">
              <w:rPr>
                <w:rFonts w:ascii="Arial Narrow" w:hAnsi="Arial Narrow" w:cs="Arial"/>
                <w:bCs/>
                <w:sz w:val="18"/>
                <w:szCs w:val="18"/>
              </w:rPr>
              <w:t>3</w:t>
            </w:r>
          </w:p>
        </w:tc>
        <w:tc>
          <w:tcPr>
            <w:tcW w:w="567" w:type="dxa"/>
            <w:vAlign w:val="center"/>
          </w:tcPr>
          <w:p w:rsidR="008B07E9" w:rsidRDefault="008B07E9" w:rsidP="008B07E9">
            <w:pPr>
              <w:spacing w:before="40" w:after="20"/>
              <w:jc w:val="center"/>
              <w:rPr>
                <w:rFonts w:ascii="Arial Narrow" w:hAnsi="Arial Narrow" w:cs="Arial"/>
                <w:bCs/>
                <w:sz w:val="18"/>
                <w:szCs w:val="18"/>
              </w:rPr>
            </w:pPr>
            <w:r w:rsidRPr="00FD599C">
              <w:rPr>
                <w:rFonts w:ascii="Arial Narrow" w:hAnsi="Arial Narrow" w:cs="Arial"/>
                <w:bCs/>
                <w:sz w:val="18"/>
                <w:szCs w:val="18"/>
              </w:rPr>
              <w:t>III trim</w:t>
            </w:r>
          </w:p>
          <w:p w:rsidR="008B07E9" w:rsidRPr="00FD599C" w:rsidRDefault="008B07E9" w:rsidP="00AD384C">
            <w:pPr>
              <w:spacing w:before="40" w:after="20"/>
              <w:jc w:val="center"/>
              <w:rPr>
                <w:rFonts w:ascii="Arial Narrow" w:hAnsi="Arial Narrow" w:cs="Arial"/>
                <w:bCs/>
                <w:sz w:val="18"/>
                <w:szCs w:val="18"/>
              </w:rPr>
            </w:pPr>
            <w:r>
              <w:rPr>
                <w:rFonts w:ascii="Arial Narrow" w:hAnsi="Arial Narrow" w:cs="Arial"/>
                <w:bCs/>
                <w:sz w:val="18"/>
                <w:szCs w:val="18"/>
              </w:rPr>
              <w:t>202</w:t>
            </w:r>
            <w:r w:rsidR="00AD384C">
              <w:rPr>
                <w:rFonts w:ascii="Arial Narrow" w:hAnsi="Arial Narrow" w:cs="Arial"/>
                <w:bCs/>
                <w:sz w:val="18"/>
                <w:szCs w:val="18"/>
              </w:rPr>
              <w:t>3</w:t>
            </w:r>
          </w:p>
        </w:tc>
        <w:tc>
          <w:tcPr>
            <w:tcW w:w="567" w:type="dxa"/>
            <w:shd w:val="clear" w:color="auto" w:fill="D9D9D9" w:themeFill="background1" w:themeFillShade="D9"/>
            <w:vAlign w:val="center"/>
          </w:tcPr>
          <w:p w:rsidR="008B07E9" w:rsidRDefault="008B07E9" w:rsidP="008B07E9">
            <w:pPr>
              <w:spacing w:before="40" w:after="20"/>
              <w:jc w:val="center"/>
              <w:rPr>
                <w:rFonts w:ascii="Arial Narrow" w:hAnsi="Arial Narrow" w:cs="Arial"/>
                <w:bCs/>
                <w:sz w:val="18"/>
                <w:szCs w:val="18"/>
              </w:rPr>
            </w:pPr>
            <w:r w:rsidRPr="00FD599C">
              <w:rPr>
                <w:rFonts w:ascii="Arial Narrow" w:hAnsi="Arial Narrow" w:cs="Arial"/>
                <w:bCs/>
                <w:sz w:val="18"/>
                <w:szCs w:val="18"/>
              </w:rPr>
              <w:t>IV trim</w:t>
            </w:r>
          </w:p>
          <w:p w:rsidR="008B07E9" w:rsidRPr="00FD599C" w:rsidRDefault="008B07E9" w:rsidP="00AD384C">
            <w:pPr>
              <w:spacing w:before="40" w:after="20"/>
              <w:jc w:val="center"/>
              <w:rPr>
                <w:rFonts w:ascii="Arial Narrow" w:hAnsi="Arial Narrow" w:cs="Arial"/>
                <w:bCs/>
                <w:sz w:val="18"/>
                <w:szCs w:val="18"/>
              </w:rPr>
            </w:pPr>
            <w:r>
              <w:rPr>
                <w:rFonts w:ascii="Arial Narrow" w:hAnsi="Arial Narrow" w:cs="Arial"/>
                <w:bCs/>
                <w:sz w:val="18"/>
                <w:szCs w:val="18"/>
              </w:rPr>
              <w:t>202</w:t>
            </w:r>
            <w:r w:rsidR="00AD384C">
              <w:rPr>
                <w:rFonts w:ascii="Arial Narrow" w:hAnsi="Arial Narrow" w:cs="Arial"/>
                <w:bCs/>
                <w:sz w:val="18"/>
                <w:szCs w:val="18"/>
              </w:rPr>
              <w:t>3</w:t>
            </w:r>
          </w:p>
        </w:tc>
        <w:tc>
          <w:tcPr>
            <w:tcW w:w="567" w:type="dxa"/>
            <w:shd w:val="clear" w:color="auto" w:fill="auto"/>
            <w:vAlign w:val="center"/>
          </w:tcPr>
          <w:p w:rsidR="008B07E9" w:rsidRDefault="008B07E9" w:rsidP="008B07E9">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202</w:t>
            </w:r>
            <w:r w:rsidR="00AD384C">
              <w:rPr>
                <w:rFonts w:ascii="Arial Narrow" w:hAnsi="Arial Narrow" w:cs="Arial"/>
                <w:kern w:val="0"/>
                <w:sz w:val="18"/>
                <w:szCs w:val="18"/>
                <w:u w:val="single"/>
              </w:rPr>
              <w:t>3</w:t>
            </w:r>
          </w:p>
          <w:p w:rsidR="008B07E9" w:rsidRPr="008814F3" w:rsidRDefault="008B07E9" w:rsidP="00AD384C">
            <w:pPr>
              <w:widowControl/>
              <w:overflowPunct/>
              <w:autoSpaceDE/>
              <w:autoSpaceDN/>
              <w:adjustRightInd/>
              <w:spacing w:before="0" w:after="0"/>
              <w:ind w:right="57"/>
              <w:jc w:val="right"/>
              <w:rPr>
                <w:rFonts w:ascii="Arial Narrow" w:hAnsi="Arial Narrow" w:cs="Arial"/>
                <w:b/>
                <w:bCs/>
                <w:kern w:val="0"/>
                <w:sz w:val="18"/>
                <w:szCs w:val="18"/>
              </w:rPr>
            </w:pPr>
            <w:r>
              <w:rPr>
                <w:rFonts w:ascii="Arial Narrow" w:hAnsi="Arial Narrow" w:cs="Arial"/>
                <w:kern w:val="0"/>
                <w:sz w:val="18"/>
                <w:szCs w:val="18"/>
              </w:rPr>
              <w:t>202</w:t>
            </w:r>
            <w:r w:rsidR="00AD384C">
              <w:rPr>
                <w:rFonts w:ascii="Arial Narrow" w:hAnsi="Arial Narrow" w:cs="Arial"/>
                <w:kern w:val="0"/>
                <w:sz w:val="18"/>
                <w:szCs w:val="18"/>
              </w:rPr>
              <w:t>2</w:t>
            </w:r>
          </w:p>
        </w:tc>
        <w:tc>
          <w:tcPr>
            <w:tcW w:w="845" w:type="dxa"/>
            <w:vMerge/>
            <w:shd w:val="clear" w:color="auto" w:fill="D9D9D9" w:themeFill="background1" w:themeFillShade="D9"/>
            <w:vAlign w:val="center"/>
          </w:tcPr>
          <w:p w:rsidR="008B07E9" w:rsidRDefault="008B07E9" w:rsidP="008B07E9">
            <w:pPr>
              <w:widowControl/>
              <w:overflowPunct/>
              <w:autoSpaceDE/>
              <w:autoSpaceDN/>
              <w:adjustRightInd/>
              <w:spacing w:before="0" w:after="0"/>
              <w:jc w:val="right"/>
              <w:rPr>
                <w:rFonts w:ascii="Arial Narrow" w:hAnsi="Arial Narrow" w:cs="Arial"/>
                <w:kern w:val="0"/>
                <w:sz w:val="18"/>
                <w:szCs w:val="18"/>
                <w:u w:val="single"/>
              </w:rPr>
            </w:pPr>
          </w:p>
        </w:tc>
        <w:tc>
          <w:tcPr>
            <w:tcW w:w="714" w:type="dxa"/>
            <w:vMerge/>
            <w:vAlign w:val="center"/>
          </w:tcPr>
          <w:p w:rsidR="008B07E9" w:rsidRDefault="008B07E9" w:rsidP="008B07E9">
            <w:pPr>
              <w:widowControl/>
              <w:overflowPunct/>
              <w:autoSpaceDE/>
              <w:autoSpaceDN/>
              <w:adjustRightInd/>
              <w:spacing w:before="0" w:after="0"/>
              <w:jc w:val="right"/>
              <w:rPr>
                <w:rFonts w:ascii="Arial Narrow" w:hAnsi="Arial Narrow" w:cs="Arial"/>
                <w:kern w:val="0"/>
                <w:sz w:val="18"/>
                <w:szCs w:val="18"/>
                <w:u w:val="single"/>
              </w:rPr>
            </w:pPr>
          </w:p>
        </w:tc>
        <w:tc>
          <w:tcPr>
            <w:tcW w:w="856" w:type="dxa"/>
            <w:vMerge/>
            <w:shd w:val="clear" w:color="auto" w:fill="D9D9D9" w:themeFill="background1" w:themeFillShade="D9"/>
            <w:vAlign w:val="center"/>
          </w:tcPr>
          <w:p w:rsidR="008B07E9" w:rsidRDefault="008B07E9" w:rsidP="008B07E9">
            <w:pPr>
              <w:widowControl/>
              <w:overflowPunct/>
              <w:autoSpaceDE/>
              <w:autoSpaceDN/>
              <w:adjustRightInd/>
              <w:spacing w:before="0" w:after="0"/>
              <w:jc w:val="right"/>
              <w:rPr>
                <w:rFonts w:ascii="Arial Narrow" w:hAnsi="Arial Narrow" w:cs="Arial"/>
                <w:kern w:val="0"/>
                <w:sz w:val="18"/>
                <w:szCs w:val="18"/>
                <w:u w:val="single"/>
              </w:rPr>
            </w:pPr>
          </w:p>
        </w:tc>
        <w:tc>
          <w:tcPr>
            <w:tcW w:w="1412" w:type="dxa"/>
            <w:vMerge/>
            <w:shd w:val="clear" w:color="auto" w:fill="auto"/>
          </w:tcPr>
          <w:p w:rsidR="008B07E9" w:rsidRDefault="008B07E9" w:rsidP="008B07E9">
            <w:pPr>
              <w:widowControl/>
              <w:overflowPunct/>
              <w:autoSpaceDE/>
              <w:autoSpaceDN/>
              <w:adjustRightInd/>
              <w:spacing w:before="0" w:after="0"/>
              <w:jc w:val="right"/>
              <w:rPr>
                <w:rFonts w:ascii="Arial Narrow" w:hAnsi="Arial Narrow" w:cs="Arial"/>
                <w:kern w:val="0"/>
                <w:sz w:val="18"/>
                <w:szCs w:val="18"/>
                <w:u w:val="single"/>
              </w:rPr>
            </w:pPr>
          </w:p>
        </w:tc>
      </w:tr>
      <w:tr w:rsidR="00456748" w:rsidRPr="00C8504B" w:rsidTr="00D331B6">
        <w:trPr>
          <w:trHeight w:val="255"/>
        </w:trPr>
        <w:tc>
          <w:tcPr>
            <w:tcW w:w="2977" w:type="dxa"/>
            <w:vAlign w:val="center"/>
          </w:tcPr>
          <w:p w:rsidR="00456748" w:rsidRPr="00C8504B" w:rsidRDefault="00456748" w:rsidP="00456748">
            <w:pPr>
              <w:spacing w:before="40" w:after="20"/>
              <w:rPr>
                <w:rFonts w:ascii="Arial Narrow" w:hAnsi="Arial Narrow" w:cs="Arial"/>
                <w:sz w:val="18"/>
                <w:szCs w:val="18"/>
              </w:rPr>
            </w:pPr>
            <w:r w:rsidRPr="00C8504B">
              <w:rPr>
                <w:rFonts w:ascii="Arial Narrow" w:hAnsi="Arial Narrow" w:cs="Arial"/>
                <w:sz w:val="18"/>
                <w:szCs w:val="18"/>
              </w:rPr>
              <w:t>Prodotti alimentari e bevande analcoliche</w:t>
            </w:r>
          </w:p>
        </w:tc>
        <w:tc>
          <w:tcPr>
            <w:tcW w:w="567" w:type="dxa"/>
            <w:shd w:val="clear" w:color="auto" w:fill="D9D9D9" w:themeFill="background1" w:themeFillShade="D9"/>
            <w:vAlign w:val="center"/>
          </w:tcPr>
          <w:p w:rsidR="00456748" w:rsidRPr="007200BB" w:rsidRDefault="00456748" w:rsidP="00456748">
            <w:pPr>
              <w:spacing w:before="40" w:after="20"/>
              <w:ind w:right="57"/>
              <w:jc w:val="right"/>
              <w:rPr>
                <w:rFonts w:ascii="Arial Narrow" w:hAnsi="Arial Narrow" w:cs="Arial"/>
                <w:color w:val="000000"/>
                <w:kern w:val="0"/>
                <w:sz w:val="18"/>
                <w:szCs w:val="18"/>
              </w:rPr>
            </w:pPr>
            <w:r w:rsidRPr="007200BB">
              <w:rPr>
                <w:rFonts w:ascii="Arial Narrow" w:hAnsi="Arial Narrow" w:cs="Arial"/>
                <w:color w:val="000000"/>
                <w:kern w:val="0"/>
                <w:sz w:val="18"/>
                <w:szCs w:val="18"/>
              </w:rPr>
              <w:t>+9,1</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12,9</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11,6</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9,7</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6,1</w:t>
            </w:r>
          </w:p>
        </w:tc>
        <w:tc>
          <w:tcPr>
            <w:tcW w:w="567" w:type="dxa"/>
            <w:shd w:val="clear" w:color="auto" w:fill="auto"/>
            <w:vAlign w:val="center"/>
          </w:tcPr>
          <w:p w:rsidR="00456748" w:rsidRPr="005A7945" w:rsidRDefault="00456748" w:rsidP="00456748">
            <w:pPr>
              <w:spacing w:before="40" w:after="20"/>
              <w:ind w:right="57"/>
              <w:jc w:val="right"/>
              <w:rPr>
                <w:rFonts w:ascii="Arial Narrow" w:hAnsi="Arial Narrow" w:cs="Arial"/>
                <w:color w:val="000000"/>
                <w:kern w:val="0"/>
                <w:sz w:val="18"/>
                <w:szCs w:val="18"/>
              </w:rPr>
            </w:pPr>
            <w:r w:rsidRPr="005A7945">
              <w:rPr>
                <w:rFonts w:ascii="Arial Narrow" w:hAnsi="Arial Narrow" w:cs="Arial"/>
                <w:color w:val="000000"/>
                <w:kern w:val="0"/>
                <w:sz w:val="18"/>
                <w:szCs w:val="18"/>
              </w:rPr>
              <w:t>+10,0</w:t>
            </w:r>
          </w:p>
        </w:tc>
        <w:tc>
          <w:tcPr>
            <w:tcW w:w="845"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+5,4</w:t>
            </w:r>
          </w:p>
        </w:tc>
        <w:tc>
          <w:tcPr>
            <w:tcW w:w="714" w:type="dxa"/>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+4,3</w:t>
            </w:r>
          </w:p>
        </w:tc>
        <w:tc>
          <w:tcPr>
            <w:tcW w:w="856"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+1,5</w:t>
            </w:r>
          </w:p>
        </w:tc>
        <w:tc>
          <w:tcPr>
            <w:tcW w:w="1412" w:type="dxa"/>
            <w:shd w:val="clear" w:color="auto" w:fill="auto"/>
            <w:vAlign w:val="bottom"/>
          </w:tcPr>
          <w:p w:rsidR="00456748" w:rsidRPr="00456748" w:rsidRDefault="00456748" w:rsidP="00456748">
            <w:pPr>
              <w:spacing w:before="40" w:after="20"/>
              <w:ind w:right="57"/>
              <w:jc w:val="right"/>
              <w:rPr>
                <w:rFonts w:ascii="Arial Narrow" w:hAnsi="Arial Narrow" w:cs="Arial"/>
                <w:color w:val="000000"/>
                <w:kern w:val="0"/>
                <w:sz w:val="18"/>
                <w:szCs w:val="18"/>
              </w:rPr>
            </w:pPr>
            <w:r w:rsidRPr="00456748">
              <w:rPr>
                <w:rFonts w:ascii="Arial Narrow" w:hAnsi="Arial Narrow" w:cs="Arial"/>
                <w:color w:val="000000"/>
                <w:kern w:val="0"/>
                <w:sz w:val="18"/>
                <w:szCs w:val="18"/>
              </w:rPr>
              <w:t>1,805</w:t>
            </w:r>
          </w:p>
        </w:tc>
      </w:tr>
      <w:tr w:rsidR="00456748" w:rsidRPr="00C8504B" w:rsidTr="00D331B6">
        <w:trPr>
          <w:trHeight w:val="255"/>
        </w:trPr>
        <w:tc>
          <w:tcPr>
            <w:tcW w:w="2977" w:type="dxa"/>
            <w:vAlign w:val="center"/>
          </w:tcPr>
          <w:p w:rsidR="00456748" w:rsidRPr="00C8504B" w:rsidRDefault="00456748" w:rsidP="00456748">
            <w:pPr>
              <w:spacing w:before="40" w:after="20"/>
              <w:rPr>
                <w:rFonts w:ascii="Arial Narrow" w:hAnsi="Arial Narrow" w:cs="Arial"/>
                <w:sz w:val="18"/>
                <w:szCs w:val="18"/>
              </w:rPr>
            </w:pPr>
            <w:r w:rsidRPr="00C8504B">
              <w:rPr>
                <w:rFonts w:ascii="Arial Narrow" w:hAnsi="Arial Narrow" w:cs="Arial"/>
                <w:sz w:val="18"/>
                <w:szCs w:val="18"/>
              </w:rPr>
              <w:t>Bevande alcoliche e tabacchi</w:t>
            </w:r>
          </w:p>
        </w:tc>
        <w:tc>
          <w:tcPr>
            <w:tcW w:w="567" w:type="dxa"/>
            <w:shd w:val="clear" w:color="auto" w:fill="D9D9D9" w:themeFill="background1" w:themeFillShade="D9"/>
            <w:vAlign w:val="center"/>
          </w:tcPr>
          <w:p w:rsidR="00456748" w:rsidRPr="007200BB" w:rsidRDefault="00456748" w:rsidP="00456748">
            <w:pPr>
              <w:spacing w:before="40" w:after="20"/>
              <w:ind w:right="57"/>
              <w:jc w:val="right"/>
              <w:rPr>
                <w:rFonts w:ascii="Arial Narrow" w:hAnsi="Arial Narrow" w:cs="Arial"/>
                <w:color w:val="000000"/>
                <w:kern w:val="0"/>
                <w:sz w:val="18"/>
                <w:szCs w:val="18"/>
              </w:rPr>
            </w:pPr>
            <w:r w:rsidRPr="007200BB">
              <w:rPr>
                <w:rFonts w:ascii="Arial Narrow" w:hAnsi="Arial Narrow" w:cs="Arial"/>
                <w:color w:val="000000"/>
                <w:kern w:val="0"/>
                <w:sz w:val="18"/>
                <w:szCs w:val="18"/>
              </w:rPr>
              <w:t>+1,3</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3,5</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4,2</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3,4</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2,9</w:t>
            </w:r>
          </w:p>
        </w:tc>
        <w:tc>
          <w:tcPr>
            <w:tcW w:w="567" w:type="dxa"/>
            <w:shd w:val="clear" w:color="auto" w:fill="auto"/>
            <w:vAlign w:val="center"/>
          </w:tcPr>
          <w:p w:rsidR="00456748" w:rsidRPr="005A7945" w:rsidRDefault="00456748" w:rsidP="00456748">
            <w:pPr>
              <w:spacing w:before="40" w:after="20"/>
              <w:ind w:right="57"/>
              <w:jc w:val="right"/>
              <w:rPr>
                <w:rFonts w:ascii="Arial Narrow" w:hAnsi="Arial Narrow" w:cs="Arial"/>
                <w:color w:val="000000"/>
                <w:kern w:val="0"/>
                <w:sz w:val="18"/>
                <w:szCs w:val="18"/>
              </w:rPr>
            </w:pPr>
            <w:r w:rsidRPr="005A7945">
              <w:rPr>
                <w:rFonts w:ascii="Arial Narrow" w:hAnsi="Arial Narrow" w:cs="Arial"/>
                <w:color w:val="000000"/>
                <w:kern w:val="0"/>
                <w:sz w:val="18"/>
                <w:szCs w:val="18"/>
              </w:rPr>
              <w:t>+3,5</w:t>
            </w:r>
          </w:p>
        </w:tc>
        <w:tc>
          <w:tcPr>
            <w:tcW w:w="845"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+0,4</w:t>
            </w:r>
          </w:p>
        </w:tc>
        <w:tc>
          <w:tcPr>
            <w:tcW w:w="714" w:type="dxa"/>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+3,0</w:t>
            </w:r>
          </w:p>
        </w:tc>
        <w:tc>
          <w:tcPr>
            <w:tcW w:w="856"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-0,3</w:t>
            </w:r>
          </w:p>
        </w:tc>
        <w:tc>
          <w:tcPr>
            <w:tcW w:w="1412" w:type="dxa"/>
            <w:shd w:val="clear" w:color="auto" w:fill="auto"/>
            <w:vAlign w:val="bottom"/>
          </w:tcPr>
          <w:p w:rsidR="00456748" w:rsidRPr="00456748" w:rsidRDefault="00456748" w:rsidP="00456748">
            <w:pPr>
              <w:spacing w:before="40" w:after="20"/>
              <w:ind w:right="57"/>
              <w:jc w:val="right"/>
              <w:rPr>
                <w:rFonts w:ascii="Arial Narrow" w:hAnsi="Arial Narrow" w:cs="Arial"/>
                <w:color w:val="000000"/>
                <w:kern w:val="0"/>
                <w:sz w:val="18"/>
                <w:szCs w:val="18"/>
              </w:rPr>
            </w:pPr>
            <w:r w:rsidRPr="00456748">
              <w:rPr>
                <w:rFonts w:ascii="Arial Narrow" w:hAnsi="Arial Narrow" w:cs="Arial"/>
                <w:color w:val="000000"/>
                <w:kern w:val="0"/>
                <w:sz w:val="18"/>
                <w:szCs w:val="18"/>
              </w:rPr>
              <w:t>0,110</w:t>
            </w:r>
          </w:p>
        </w:tc>
      </w:tr>
      <w:tr w:rsidR="00456748" w:rsidRPr="00C8504B" w:rsidTr="00D331B6">
        <w:trPr>
          <w:trHeight w:val="255"/>
        </w:trPr>
        <w:tc>
          <w:tcPr>
            <w:tcW w:w="2977" w:type="dxa"/>
            <w:vAlign w:val="center"/>
          </w:tcPr>
          <w:p w:rsidR="00456748" w:rsidRPr="00C8504B" w:rsidRDefault="00456748" w:rsidP="00456748">
            <w:pPr>
              <w:spacing w:before="40" w:after="20"/>
              <w:rPr>
                <w:rFonts w:ascii="Arial Narrow" w:hAnsi="Arial Narrow" w:cs="Arial"/>
                <w:sz w:val="18"/>
                <w:szCs w:val="18"/>
              </w:rPr>
            </w:pPr>
            <w:r w:rsidRPr="00C8504B">
              <w:rPr>
                <w:rFonts w:ascii="Arial Narrow" w:hAnsi="Arial Narrow" w:cs="Arial"/>
                <w:sz w:val="18"/>
                <w:szCs w:val="18"/>
              </w:rPr>
              <w:t>Abbigliamento e calzature</w:t>
            </w:r>
          </w:p>
        </w:tc>
        <w:tc>
          <w:tcPr>
            <w:tcW w:w="567" w:type="dxa"/>
            <w:shd w:val="clear" w:color="auto" w:fill="D9D9D9" w:themeFill="background1" w:themeFillShade="D9"/>
            <w:vAlign w:val="center"/>
          </w:tcPr>
          <w:p w:rsidR="00456748" w:rsidRPr="007200BB" w:rsidRDefault="00456748" w:rsidP="00456748">
            <w:pPr>
              <w:spacing w:before="40" w:after="20"/>
              <w:ind w:right="57"/>
              <w:jc w:val="right"/>
              <w:rPr>
                <w:rFonts w:ascii="Arial Narrow" w:hAnsi="Arial Narrow" w:cs="Arial"/>
                <w:color w:val="000000"/>
                <w:kern w:val="0"/>
                <w:sz w:val="18"/>
                <w:szCs w:val="18"/>
              </w:rPr>
            </w:pPr>
            <w:r w:rsidRPr="007200BB">
              <w:rPr>
                <w:rFonts w:ascii="Arial Narrow" w:hAnsi="Arial Narrow" w:cs="Arial"/>
                <w:color w:val="000000"/>
                <w:kern w:val="0"/>
                <w:sz w:val="18"/>
                <w:szCs w:val="18"/>
              </w:rPr>
              <w:t>+1,9</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3,2</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3,4</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3,2</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2,3</w:t>
            </w:r>
          </w:p>
        </w:tc>
        <w:tc>
          <w:tcPr>
            <w:tcW w:w="567" w:type="dxa"/>
            <w:shd w:val="clear" w:color="auto" w:fill="auto"/>
            <w:vAlign w:val="center"/>
          </w:tcPr>
          <w:p w:rsidR="00456748" w:rsidRPr="005A7945" w:rsidRDefault="00456748" w:rsidP="00456748">
            <w:pPr>
              <w:spacing w:before="40" w:after="20"/>
              <w:ind w:right="57"/>
              <w:jc w:val="right"/>
              <w:rPr>
                <w:rFonts w:ascii="Arial Narrow" w:hAnsi="Arial Narrow" w:cs="Arial"/>
                <w:color w:val="000000"/>
                <w:kern w:val="0"/>
                <w:sz w:val="18"/>
                <w:szCs w:val="18"/>
              </w:rPr>
            </w:pPr>
            <w:r w:rsidRPr="005A7945">
              <w:rPr>
                <w:rFonts w:ascii="Arial Narrow" w:hAnsi="Arial Narrow" w:cs="Arial"/>
                <w:color w:val="000000"/>
                <w:kern w:val="0"/>
                <w:sz w:val="18"/>
                <w:szCs w:val="18"/>
              </w:rPr>
              <w:t>+3,0</w:t>
            </w:r>
          </w:p>
        </w:tc>
        <w:tc>
          <w:tcPr>
            <w:tcW w:w="845"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+1,7</w:t>
            </w:r>
          </w:p>
        </w:tc>
        <w:tc>
          <w:tcPr>
            <w:tcW w:w="714" w:type="dxa"/>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+1,2</w:t>
            </w:r>
          </w:p>
        </w:tc>
        <w:tc>
          <w:tcPr>
            <w:tcW w:w="856"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+0,9</w:t>
            </w:r>
          </w:p>
        </w:tc>
        <w:tc>
          <w:tcPr>
            <w:tcW w:w="1412" w:type="dxa"/>
            <w:shd w:val="clear" w:color="auto" w:fill="auto"/>
            <w:vAlign w:val="bottom"/>
          </w:tcPr>
          <w:p w:rsidR="00456748" w:rsidRPr="00456748" w:rsidRDefault="00456748" w:rsidP="00456748">
            <w:pPr>
              <w:spacing w:before="40" w:after="20"/>
              <w:ind w:right="57"/>
              <w:jc w:val="right"/>
              <w:rPr>
                <w:rFonts w:ascii="Arial Narrow" w:hAnsi="Arial Narrow" w:cs="Arial"/>
                <w:color w:val="000000"/>
                <w:kern w:val="0"/>
                <w:sz w:val="18"/>
                <w:szCs w:val="18"/>
              </w:rPr>
            </w:pPr>
            <w:r w:rsidRPr="00456748">
              <w:rPr>
                <w:rFonts w:ascii="Arial Narrow" w:hAnsi="Arial Narrow" w:cs="Arial"/>
                <w:color w:val="000000"/>
                <w:kern w:val="0"/>
                <w:sz w:val="18"/>
                <w:szCs w:val="18"/>
              </w:rPr>
              <w:t>0,189</w:t>
            </w:r>
          </w:p>
        </w:tc>
      </w:tr>
      <w:tr w:rsidR="00456748" w:rsidRPr="004F08BD" w:rsidTr="00D331B6">
        <w:trPr>
          <w:trHeight w:val="255"/>
        </w:trPr>
        <w:tc>
          <w:tcPr>
            <w:tcW w:w="2977" w:type="dxa"/>
            <w:vAlign w:val="center"/>
          </w:tcPr>
          <w:p w:rsidR="00456748" w:rsidRPr="004F08BD" w:rsidRDefault="00456748" w:rsidP="00456748">
            <w:pPr>
              <w:spacing w:before="40" w:after="20"/>
              <w:rPr>
                <w:rFonts w:ascii="Arial Narrow" w:hAnsi="Arial Narrow" w:cs="Arial"/>
                <w:sz w:val="18"/>
                <w:szCs w:val="18"/>
              </w:rPr>
            </w:pPr>
            <w:r w:rsidRPr="004F08BD">
              <w:rPr>
                <w:rFonts w:ascii="Arial Narrow" w:hAnsi="Arial Narrow" w:cs="Arial"/>
                <w:sz w:val="18"/>
                <w:szCs w:val="18"/>
              </w:rPr>
              <w:t>Abitazione, acqua, elettricità e combustibili</w:t>
            </w:r>
          </w:p>
        </w:tc>
        <w:tc>
          <w:tcPr>
            <w:tcW w:w="567" w:type="dxa"/>
            <w:shd w:val="clear" w:color="auto" w:fill="D9D9D9" w:themeFill="background1" w:themeFillShade="D9"/>
            <w:vAlign w:val="center"/>
          </w:tcPr>
          <w:p w:rsidR="00456748" w:rsidRPr="007200BB" w:rsidRDefault="00456748" w:rsidP="00456748">
            <w:pPr>
              <w:spacing w:before="40" w:after="20"/>
              <w:ind w:right="57"/>
              <w:jc w:val="right"/>
              <w:rPr>
                <w:rFonts w:ascii="Arial Narrow" w:hAnsi="Arial Narrow" w:cs="Arial"/>
                <w:color w:val="000000"/>
                <w:kern w:val="0"/>
                <w:sz w:val="18"/>
                <w:szCs w:val="18"/>
              </w:rPr>
            </w:pPr>
            <w:r w:rsidRPr="007200BB">
              <w:rPr>
                <w:rFonts w:ascii="Arial Narrow" w:hAnsi="Arial Narrow" w:cs="Arial"/>
                <w:color w:val="000000"/>
                <w:kern w:val="0"/>
                <w:sz w:val="18"/>
                <w:szCs w:val="18"/>
              </w:rPr>
              <w:t>+35,0</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24,7</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14</w:t>
            </w:r>
            <w:r>
              <w:rPr>
                <w:rFonts w:ascii="Arial Narrow" w:hAnsi="Arial Narrow" w:cs="Arial"/>
                <w:color w:val="000000"/>
                <w:kern w:val="0"/>
                <w:sz w:val="18"/>
                <w:szCs w:val="18"/>
              </w:rPr>
              <w:t>,0</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4,2</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sidRPr="00D90877">
              <w:rPr>
                <w:rFonts w:ascii="Arial Narrow" w:hAnsi="Arial Narrow" w:cs="Arial"/>
                <w:color w:val="000000"/>
                <w:kern w:val="0"/>
                <w:sz w:val="18"/>
                <w:szCs w:val="18"/>
              </w:rPr>
              <w:t>-18,9</w:t>
            </w:r>
          </w:p>
        </w:tc>
        <w:tc>
          <w:tcPr>
            <w:tcW w:w="567" w:type="dxa"/>
            <w:shd w:val="clear" w:color="auto" w:fill="auto"/>
            <w:vAlign w:val="center"/>
          </w:tcPr>
          <w:p w:rsidR="00456748" w:rsidRPr="005A7945" w:rsidRDefault="00456748" w:rsidP="00456748">
            <w:pPr>
              <w:spacing w:before="40" w:after="20"/>
              <w:ind w:right="57"/>
              <w:jc w:val="right"/>
              <w:rPr>
                <w:rFonts w:ascii="Arial Narrow" w:hAnsi="Arial Narrow" w:cs="Arial"/>
                <w:color w:val="000000"/>
                <w:kern w:val="0"/>
                <w:sz w:val="18"/>
                <w:szCs w:val="18"/>
              </w:rPr>
            </w:pPr>
            <w:r w:rsidRPr="005A7945">
              <w:rPr>
                <w:rFonts w:ascii="Arial Narrow" w:hAnsi="Arial Narrow" w:cs="Arial"/>
                <w:color w:val="000000"/>
                <w:kern w:val="0"/>
                <w:sz w:val="18"/>
                <w:szCs w:val="18"/>
              </w:rPr>
              <w:t>+3,9</w:t>
            </w:r>
          </w:p>
        </w:tc>
        <w:tc>
          <w:tcPr>
            <w:tcW w:w="845"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+23,5</w:t>
            </w:r>
          </w:p>
        </w:tc>
        <w:tc>
          <w:tcPr>
            <w:tcW w:w="714" w:type="dxa"/>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-15,9</w:t>
            </w:r>
          </w:p>
        </w:tc>
        <w:tc>
          <w:tcPr>
            <w:tcW w:w="856"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-4,0</w:t>
            </w:r>
          </w:p>
        </w:tc>
        <w:tc>
          <w:tcPr>
            <w:tcW w:w="1412" w:type="dxa"/>
            <w:shd w:val="clear" w:color="auto" w:fill="auto"/>
            <w:vAlign w:val="bottom"/>
          </w:tcPr>
          <w:p w:rsidR="00456748" w:rsidRPr="00456748" w:rsidRDefault="00456748" w:rsidP="00456748">
            <w:pPr>
              <w:spacing w:before="40" w:after="20"/>
              <w:ind w:right="57"/>
              <w:jc w:val="right"/>
              <w:rPr>
                <w:rFonts w:ascii="Arial Narrow" w:hAnsi="Arial Narrow" w:cs="Arial"/>
                <w:color w:val="000000"/>
                <w:kern w:val="0"/>
                <w:sz w:val="18"/>
                <w:szCs w:val="18"/>
              </w:rPr>
            </w:pPr>
            <w:r w:rsidRPr="00456748">
              <w:rPr>
                <w:rFonts w:ascii="Arial Narrow" w:hAnsi="Arial Narrow" w:cs="Arial"/>
                <w:color w:val="000000"/>
                <w:kern w:val="0"/>
                <w:sz w:val="18"/>
                <w:szCs w:val="18"/>
              </w:rPr>
              <w:t>1,078</w:t>
            </w:r>
          </w:p>
        </w:tc>
      </w:tr>
      <w:tr w:rsidR="00456748" w:rsidRPr="004F08BD" w:rsidTr="00D331B6">
        <w:trPr>
          <w:trHeight w:val="255"/>
        </w:trPr>
        <w:tc>
          <w:tcPr>
            <w:tcW w:w="2977" w:type="dxa"/>
            <w:vAlign w:val="center"/>
          </w:tcPr>
          <w:p w:rsidR="00456748" w:rsidRPr="004F08BD" w:rsidRDefault="00456748" w:rsidP="00456748">
            <w:pPr>
              <w:spacing w:before="40" w:after="20"/>
              <w:rPr>
                <w:rFonts w:ascii="Arial Narrow" w:hAnsi="Arial Narrow" w:cs="Arial"/>
                <w:sz w:val="18"/>
                <w:szCs w:val="18"/>
              </w:rPr>
            </w:pPr>
            <w:r w:rsidRPr="004F08BD">
              <w:rPr>
                <w:rFonts w:ascii="Arial Narrow" w:hAnsi="Arial Narrow" w:cs="Arial"/>
                <w:sz w:val="18"/>
                <w:szCs w:val="18"/>
              </w:rPr>
              <w:t>Mobili, articoli e servizi per la casa</w:t>
            </w:r>
          </w:p>
        </w:tc>
        <w:tc>
          <w:tcPr>
            <w:tcW w:w="567" w:type="dxa"/>
            <w:shd w:val="clear" w:color="auto" w:fill="D9D9D9" w:themeFill="background1" w:themeFillShade="D9"/>
            <w:vAlign w:val="center"/>
          </w:tcPr>
          <w:p w:rsidR="00456748" w:rsidRPr="007200BB" w:rsidRDefault="00456748" w:rsidP="00456748">
            <w:pPr>
              <w:spacing w:before="40" w:after="20"/>
              <w:ind w:right="57"/>
              <w:jc w:val="right"/>
              <w:rPr>
                <w:rFonts w:ascii="Arial Narrow" w:hAnsi="Arial Narrow" w:cs="Arial"/>
                <w:color w:val="000000"/>
                <w:kern w:val="0"/>
                <w:sz w:val="18"/>
                <w:szCs w:val="18"/>
              </w:rPr>
            </w:pPr>
            <w:r w:rsidRPr="007200BB">
              <w:rPr>
                <w:rFonts w:ascii="Arial Narrow" w:hAnsi="Arial Narrow" w:cs="Arial"/>
                <w:color w:val="000000"/>
                <w:kern w:val="0"/>
                <w:sz w:val="18"/>
                <w:szCs w:val="18"/>
              </w:rPr>
              <w:t>+5,2</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8,2</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7</w:t>
            </w:r>
            <w:r>
              <w:rPr>
                <w:rFonts w:ascii="Arial Narrow" w:hAnsi="Arial Narrow" w:cs="Arial"/>
                <w:color w:val="000000"/>
                <w:kern w:val="0"/>
                <w:sz w:val="18"/>
                <w:szCs w:val="18"/>
              </w:rPr>
              <w:t>,0</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5,5</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3,6</w:t>
            </w:r>
          </w:p>
        </w:tc>
        <w:tc>
          <w:tcPr>
            <w:tcW w:w="567" w:type="dxa"/>
            <w:shd w:val="clear" w:color="auto" w:fill="auto"/>
            <w:vAlign w:val="center"/>
          </w:tcPr>
          <w:p w:rsidR="00456748" w:rsidRPr="005A7945" w:rsidRDefault="00456748" w:rsidP="00456748">
            <w:pPr>
              <w:spacing w:before="40" w:after="20"/>
              <w:ind w:right="57"/>
              <w:jc w:val="right"/>
              <w:rPr>
                <w:rFonts w:ascii="Arial Narrow" w:hAnsi="Arial Narrow" w:cs="Arial"/>
                <w:color w:val="000000"/>
                <w:kern w:val="0"/>
                <w:sz w:val="18"/>
                <w:szCs w:val="18"/>
              </w:rPr>
            </w:pPr>
            <w:r w:rsidRPr="005A7945">
              <w:rPr>
                <w:rFonts w:ascii="Arial Narrow" w:hAnsi="Arial Narrow" w:cs="Arial"/>
                <w:color w:val="000000"/>
                <w:kern w:val="0"/>
                <w:sz w:val="18"/>
                <w:szCs w:val="18"/>
              </w:rPr>
              <w:t>+6,1</w:t>
            </w:r>
          </w:p>
        </w:tc>
        <w:tc>
          <w:tcPr>
            <w:tcW w:w="845"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+3,4</w:t>
            </w:r>
          </w:p>
        </w:tc>
        <w:tc>
          <w:tcPr>
            <w:tcW w:w="714" w:type="dxa"/>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+2,6</w:t>
            </w:r>
          </w:p>
        </w:tc>
        <w:tc>
          <w:tcPr>
            <w:tcW w:w="856"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+0,5</w:t>
            </w:r>
          </w:p>
        </w:tc>
        <w:tc>
          <w:tcPr>
            <w:tcW w:w="1412" w:type="dxa"/>
            <w:shd w:val="clear" w:color="auto" w:fill="auto"/>
            <w:vAlign w:val="bottom"/>
          </w:tcPr>
          <w:p w:rsidR="00456748" w:rsidRPr="00456748" w:rsidRDefault="00456748" w:rsidP="00456748">
            <w:pPr>
              <w:spacing w:before="40" w:after="20"/>
              <w:ind w:right="57"/>
              <w:jc w:val="right"/>
              <w:rPr>
                <w:rFonts w:ascii="Arial Narrow" w:hAnsi="Arial Narrow" w:cs="Arial"/>
                <w:color w:val="000000"/>
                <w:kern w:val="0"/>
                <w:sz w:val="18"/>
                <w:szCs w:val="18"/>
              </w:rPr>
            </w:pPr>
            <w:r w:rsidRPr="00456748">
              <w:rPr>
                <w:rFonts w:ascii="Arial Narrow" w:hAnsi="Arial Narrow" w:cs="Arial"/>
                <w:color w:val="000000"/>
                <w:kern w:val="0"/>
                <w:sz w:val="18"/>
                <w:szCs w:val="18"/>
              </w:rPr>
              <w:t>0,481</w:t>
            </w:r>
          </w:p>
        </w:tc>
      </w:tr>
      <w:tr w:rsidR="00456748" w:rsidRPr="004F08BD" w:rsidTr="00D331B6">
        <w:trPr>
          <w:trHeight w:val="255"/>
        </w:trPr>
        <w:tc>
          <w:tcPr>
            <w:tcW w:w="2977" w:type="dxa"/>
            <w:vAlign w:val="center"/>
          </w:tcPr>
          <w:p w:rsidR="00456748" w:rsidRPr="004F08BD" w:rsidRDefault="00456748" w:rsidP="00456748">
            <w:pPr>
              <w:spacing w:before="40" w:after="20"/>
              <w:rPr>
                <w:rFonts w:ascii="Arial Narrow" w:hAnsi="Arial Narrow" w:cs="Arial"/>
                <w:sz w:val="18"/>
                <w:szCs w:val="18"/>
              </w:rPr>
            </w:pPr>
            <w:r w:rsidRPr="004F08BD">
              <w:rPr>
                <w:rFonts w:ascii="Arial Narrow" w:hAnsi="Arial Narrow" w:cs="Arial"/>
                <w:sz w:val="18"/>
                <w:szCs w:val="18"/>
              </w:rPr>
              <w:t>Servizi sanitari e spese per la salute</w:t>
            </w:r>
          </w:p>
        </w:tc>
        <w:tc>
          <w:tcPr>
            <w:tcW w:w="567" w:type="dxa"/>
            <w:shd w:val="clear" w:color="auto" w:fill="D9D9D9" w:themeFill="background1" w:themeFillShade="D9"/>
            <w:vAlign w:val="center"/>
          </w:tcPr>
          <w:p w:rsidR="00456748" w:rsidRPr="007200BB" w:rsidRDefault="00456748" w:rsidP="00456748">
            <w:pPr>
              <w:spacing w:before="40" w:after="20"/>
              <w:ind w:right="57"/>
              <w:jc w:val="right"/>
              <w:rPr>
                <w:rFonts w:ascii="Arial Narrow" w:hAnsi="Arial Narrow" w:cs="Arial"/>
                <w:color w:val="000000"/>
                <w:kern w:val="0"/>
                <w:sz w:val="18"/>
                <w:szCs w:val="18"/>
              </w:rPr>
            </w:pPr>
            <w:r w:rsidRPr="007200BB">
              <w:rPr>
                <w:rFonts w:ascii="Arial Narrow" w:hAnsi="Arial Narrow" w:cs="Arial"/>
                <w:color w:val="000000"/>
                <w:kern w:val="0"/>
                <w:sz w:val="18"/>
                <w:szCs w:val="18"/>
              </w:rPr>
              <w:t>+0,8</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1,6</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1,6</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1,7</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1,8</w:t>
            </w:r>
          </w:p>
        </w:tc>
        <w:tc>
          <w:tcPr>
            <w:tcW w:w="567" w:type="dxa"/>
            <w:shd w:val="clear" w:color="auto" w:fill="auto"/>
            <w:vAlign w:val="center"/>
          </w:tcPr>
          <w:p w:rsidR="00456748" w:rsidRPr="005A7945" w:rsidRDefault="00456748" w:rsidP="00456748">
            <w:pPr>
              <w:spacing w:before="40" w:after="20"/>
              <w:ind w:right="57"/>
              <w:jc w:val="right"/>
              <w:rPr>
                <w:rFonts w:ascii="Arial Narrow" w:hAnsi="Arial Narrow" w:cs="Arial"/>
                <w:color w:val="000000"/>
                <w:kern w:val="0"/>
                <w:sz w:val="18"/>
                <w:szCs w:val="18"/>
              </w:rPr>
            </w:pPr>
            <w:r w:rsidRPr="005A7945">
              <w:rPr>
                <w:rFonts w:ascii="Arial Narrow" w:hAnsi="Arial Narrow" w:cs="Arial"/>
                <w:color w:val="000000"/>
                <w:kern w:val="0"/>
                <w:sz w:val="18"/>
                <w:szCs w:val="18"/>
              </w:rPr>
              <w:t>+1,6</w:t>
            </w:r>
          </w:p>
        </w:tc>
        <w:tc>
          <w:tcPr>
            <w:tcW w:w="845"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+0,4</w:t>
            </w:r>
          </w:p>
        </w:tc>
        <w:tc>
          <w:tcPr>
            <w:tcW w:w="714" w:type="dxa"/>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+1,3</w:t>
            </w:r>
          </w:p>
        </w:tc>
        <w:tc>
          <w:tcPr>
            <w:tcW w:w="856"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+0,6</w:t>
            </w:r>
          </w:p>
        </w:tc>
        <w:tc>
          <w:tcPr>
            <w:tcW w:w="1412" w:type="dxa"/>
            <w:shd w:val="clear" w:color="auto" w:fill="auto"/>
            <w:vAlign w:val="bottom"/>
          </w:tcPr>
          <w:p w:rsidR="00456748" w:rsidRPr="00456748" w:rsidRDefault="00456748" w:rsidP="00456748">
            <w:pPr>
              <w:spacing w:before="40" w:after="20"/>
              <w:ind w:right="57"/>
              <w:jc w:val="right"/>
              <w:rPr>
                <w:rFonts w:ascii="Arial Narrow" w:hAnsi="Arial Narrow" w:cs="Arial"/>
                <w:color w:val="000000"/>
                <w:kern w:val="0"/>
                <w:sz w:val="18"/>
                <w:szCs w:val="18"/>
              </w:rPr>
            </w:pPr>
            <w:r w:rsidRPr="00456748">
              <w:rPr>
                <w:rFonts w:ascii="Arial Narrow" w:hAnsi="Arial Narrow" w:cs="Arial"/>
                <w:color w:val="000000"/>
                <w:kern w:val="0"/>
                <w:sz w:val="18"/>
                <w:szCs w:val="18"/>
              </w:rPr>
              <w:t>0,144</w:t>
            </w:r>
          </w:p>
        </w:tc>
      </w:tr>
      <w:tr w:rsidR="00456748" w:rsidRPr="004F08BD" w:rsidTr="00D331B6">
        <w:trPr>
          <w:trHeight w:val="255"/>
        </w:trPr>
        <w:tc>
          <w:tcPr>
            <w:tcW w:w="2977" w:type="dxa"/>
            <w:vAlign w:val="center"/>
          </w:tcPr>
          <w:p w:rsidR="00456748" w:rsidRPr="004F08BD" w:rsidRDefault="00456748" w:rsidP="00456748">
            <w:pPr>
              <w:spacing w:before="40" w:after="20"/>
              <w:rPr>
                <w:rFonts w:ascii="Arial Narrow" w:hAnsi="Arial Narrow" w:cs="Arial"/>
                <w:sz w:val="18"/>
                <w:szCs w:val="18"/>
              </w:rPr>
            </w:pPr>
            <w:r w:rsidRPr="004F08BD">
              <w:rPr>
                <w:rFonts w:ascii="Arial Narrow" w:hAnsi="Arial Narrow" w:cs="Arial"/>
                <w:sz w:val="18"/>
                <w:szCs w:val="18"/>
              </w:rPr>
              <w:t>Trasporti</w:t>
            </w:r>
          </w:p>
        </w:tc>
        <w:tc>
          <w:tcPr>
            <w:tcW w:w="567" w:type="dxa"/>
            <w:shd w:val="clear" w:color="auto" w:fill="D9D9D9" w:themeFill="background1" w:themeFillShade="D9"/>
            <w:vAlign w:val="center"/>
          </w:tcPr>
          <w:p w:rsidR="00456748" w:rsidRPr="007200BB" w:rsidRDefault="00456748" w:rsidP="00456748">
            <w:pPr>
              <w:spacing w:before="40" w:after="20"/>
              <w:ind w:right="57"/>
              <w:jc w:val="right"/>
              <w:rPr>
                <w:rFonts w:ascii="Arial Narrow" w:hAnsi="Arial Narrow" w:cs="Arial"/>
                <w:color w:val="000000"/>
                <w:kern w:val="0"/>
                <w:sz w:val="18"/>
                <w:szCs w:val="18"/>
              </w:rPr>
            </w:pPr>
            <w:r w:rsidRPr="007200BB">
              <w:rPr>
                <w:rFonts w:ascii="Arial Narrow" w:hAnsi="Arial Narrow" w:cs="Arial"/>
                <w:color w:val="000000"/>
                <w:kern w:val="0"/>
                <w:sz w:val="18"/>
                <w:szCs w:val="18"/>
              </w:rPr>
              <w:t>+9,7</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5,5</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2,7</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2,3</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3,9</w:t>
            </w:r>
          </w:p>
        </w:tc>
        <w:tc>
          <w:tcPr>
            <w:tcW w:w="567" w:type="dxa"/>
            <w:shd w:val="clear" w:color="auto" w:fill="auto"/>
            <w:vAlign w:val="center"/>
          </w:tcPr>
          <w:p w:rsidR="00456748" w:rsidRPr="005A7945" w:rsidRDefault="00456748" w:rsidP="00456748">
            <w:pPr>
              <w:spacing w:before="40" w:after="20"/>
              <w:ind w:right="57"/>
              <w:jc w:val="right"/>
              <w:rPr>
                <w:rFonts w:ascii="Arial Narrow" w:hAnsi="Arial Narrow" w:cs="Arial"/>
                <w:color w:val="000000"/>
                <w:kern w:val="0"/>
                <w:sz w:val="18"/>
                <w:szCs w:val="18"/>
              </w:rPr>
            </w:pPr>
            <w:r w:rsidRPr="005A7945">
              <w:rPr>
                <w:rFonts w:ascii="Arial Narrow" w:hAnsi="Arial Narrow" w:cs="Arial"/>
                <w:color w:val="000000"/>
                <w:kern w:val="0"/>
                <w:sz w:val="18"/>
                <w:szCs w:val="18"/>
              </w:rPr>
              <w:t>+3,5</w:t>
            </w:r>
          </w:p>
        </w:tc>
        <w:tc>
          <w:tcPr>
            <w:tcW w:w="845"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+0,4</w:t>
            </w:r>
          </w:p>
        </w:tc>
        <w:tc>
          <w:tcPr>
            <w:tcW w:w="714" w:type="dxa"/>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+3,1</w:t>
            </w:r>
          </w:p>
        </w:tc>
        <w:tc>
          <w:tcPr>
            <w:tcW w:w="856"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-0,2</w:t>
            </w:r>
          </w:p>
        </w:tc>
        <w:tc>
          <w:tcPr>
            <w:tcW w:w="1412" w:type="dxa"/>
            <w:shd w:val="clear" w:color="auto" w:fill="auto"/>
            <w:vAlign w:val="bottom"/>
          </w:tcPr>
          <w:p w:rsidR="00456748" w:rsidRPr="00456748" w:rsidRDefault="00456748" w:rsidP="00456748">
            <w:pPr>
              <w:spacing w:before="40" w:after="20"/>
              <w:ind w:right="57"/>
              <w:jc w:val="right"/>
              <w:rPr>
                <w:rFonts w:ascii="Arial Narrow" w:hAnsi="Arial Narrow" w:cs="Arial"/>
                <w:color w:val="000000"/>
                <w:kern w:val="0"/>
                <w:sz w:val="18"/>
                <w:szCs w:val="18"/>
              </w:rPr>
            </w:pPr>
            <w:r w:rsidRPr="00456748">
              <w:rPr>
                <w:rFonts w:ascii="Arial Narrow" w:hAnsi="Arial Narrow" w:cs="Arial"/>
                <w:color w:val="000000"/>
                <w:kern w:val="0"/>
                <w:sz w:val="18"/>
                <w:szCs w:val="18"/>
              </w:rPr>
              <w:t>0,528</w:t>
            </w:r>
          </w:p>
        </w:tc>
      </w:tr>
      <w:tr w:rsidR="00456748" w:rsidRPr="00C8504B" w:rsidTr="00D331B6">
        <w:trPr>
          <w:trHeight w:val="255"/>
        </w:trPr>
        <w:tc>
          <w:tcPr>
            <w:tcW w:w="2977" w:type="dxa"/>
            <w:vAlign w:val="center"/>
          </w:tcPr>
          <w:p w:rsidR="00456748" w:rsidRPr="004F08BD" w:rsidRDefault="00456748" w:rsidP="00456748">
            <w:pPr>
              <w:spacing w:before="40" w:after="20"/>
              <w:rPr>
                <w:rFonts w:ascii="Arial Narrow" w:hAnsi="Arial Narrow" w:cs="Arial"/>
                <w:sz w:val="18"/>
                <w:szCs w:val="18"/>
              </w:rPr>
            </w:pPr>
            <w:r w:rsidRPr="004F08BD">
              <w:rPr>
                <w:rFonts w:ascii="Arial Narrow" w:hAnsi="Arial Narrow" w:cs="Arial"/>
                <w:sz w:val="18"/>
                <w:szCs w:val="18"/>
              </w:rPr>
              <w:t>Comunicazioni</w:t>
            </w:r>
          </w:p>
        </w:tc>
        <w:tc>
          <w:tcPr>
            <w:tcW w:w="567" w:type="dxa"/>
            <w:shd w:val="clear" w:color="auto" w:fill="D9D9D9" w:themeFill="background1" w:themeFillShade="D9"/>
            <w:vAlign w:val="center"/>
          </w:tcPr>
          <w:p w:rsidR="00456748" w:rsidRPr="007200BB" w:rsidRDefault="00456748" w:rsidP="00456748">
            <w:pPr>
              <w:spacing w:before="40" w:after="20"/>
              <w:ind w:right="57"/>
              <w:jc w:val="right"/>
              <w:rPr>
                <w:rFonts w:ascii="Arial Narrow" w:hAnsi="Arial Narrow" w:cs="Arial"/>
                <w:color w:val="000000"/>
                <w:kern w:val="0"/>
                <w:sz w:val="18"/>
                <w:szCs w:val="18"/>
              </w:rPr>
            </w:pPr>
            <w:r w:rsidRPr="007200BB">
              <w:rPr>
                <w:rFonts w:ascii="Arial Narrow" w:hAnsi="Arial Narrow" w:cs="Arial"/>
                <w:color w:val="000000"/>
                <w:kern w:val="0"/>
                <w:sz w:val="18"/>
                <w:szCs w:val="18"/>
              </w:rPr>
              <w:t>-3,1</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0,8</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0,4</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0,6</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sidRPr="00D90877">
              <w:rPr>
                <w:rFonts w:ascii="Arial Narrow" w:hAnsi="Arial Narrow" w:cs="Arial"/>
                <w:color w:val="000000"/>
                <w:kern w:val="0"/>
                <w:sz w:val="18"/>
                <w:szCs w:val="18"/>
              </w:rPr>
              <w:t>-1,4</w:t>
            </w:r>
          </w:p>
        </w:tc>
        <w:tc>
          <w:tcPr>
            <w:tcW w:w="567" w:type="dxa"/>
            <w:shd w:val="clear" w:color="auto" w:fill="auto"/>
            <w:vAlign w:val="center"/>
          </w:tcPr>
          <w:p w:rsidR="00456748" w:rsidRPr="005A7945" w:rsidRDefault="00456748" w:rsidP="00456748">
            <w:pPr>
              <w:spacing w:before="40" w:after="20"/>
              <w:ind w:right="57"/>
              <w:jc w:val="right"/>
              <w:rPr>
                <w:rFonts w:ascii="Arial Narrow" w:hAnsi="Arial Narrow" w:cs="Arial"/>
                <w:color w:val="000000"/>
                <w:kern w:val="0"/>
                <w:sz w:val="18"/>
                <w:szCs w:val="18"/>
              </w:rPr>
            </w:pPr>
            <w:r w:rsidRPr="005A7945">
              <w:rPr>
                <w:rFonts w:ascii="Arial Narrow" w:hAnsi="Arial Narrow" w:cs="Arial"/>
                <w:color w:val="000000"/>
                <w:kern w:val="0"/>
                <w:sz w:val="18"/>
                <w:szCs w:val="18"/>
              </w:rPr>
              <w:t>+0,1</w:t>
            </w:r>
          </w:p>
        </w:tc>
        <w:tc>
          <w:tcPr>
            <w:tcW w:w="845"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-0,3</w:t>
            </w:r>
          </w:p>
        </w:tc>
        <w:tc>
          <w:tcPr>
            <w:tcW w:w="714" w:type="dxa"/>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+0,4</w:t>
            </w:r>
          </w:p>
        </w:tc>
        <w:tc>
          <w:tcPr>
            <w:tcW w:w="856"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-2,7</w:t>
            </w:r>
          </w:p>
        </w:tc>
        <w:tc>
          <w:tcPr>
            <w:tcW w:w="1412" w:type="dxa"/>
            <w:shd w:val="clear" w:color="auto" w:fill="auto"/>
            <w:vAlign w:val="bottom"/>
          </w:tcPr>
          <w:p w:rsidR="00456748" w:rsidRPr="00456748" w:rsidRDefault="00456748" w:rsidP="00456748">
            <w:pPr>
              <w:spacing w:before="40" w:after="20"/>
              <w:ind w:right="57"/>
              <w:jc w:val="right"/>
              <w:rPr>
                <w:rFonts w:ascii="Arial Narrow" w:hAnsi="Arial Narrow" w:cs="Arial"/>
                <w:color w:val="000000"/>
                <w:kern w:val="0"/>
                <w:sz w:val="18"/>
                <w:szCs w:val="18"/>
              </w:rPr>
            </w:pPr>
            <w:r w:rsidRPr="00456748">
              <w:rPr>
                <w:rFonts w:ascii="Arial Narrow" w:hAnsi="Arial Narrow" w:cs="Arial"/>
                <w:color w:val="000000"/>
                <w:kern w:val="0"/>
                <w:sz w:val="18"/>
                <w:szCs w:val="18"/>
              </w:rPr>
              <w:t>0,002</w:t>
            </w:r>
          </w:p>
        </w:tc>
      </w:tr>
      <w:tr w:rsidR="00456748" w:rsidRPr="00C8504B" w:rsidTr="00D331B6">
        <w:trPr>
          <w:trHeight w:val="255"/>
        </w:trPr>
        <w:tc>
          <w:tcPr>
            <w:tcW w:w="2977" w:type="dxa"/>
            <w:vAlign w:val="center"/>
          </w:tcPr>
          <w:p w:rsidR="00456748" w:rsidRPr="00C8504B" w:rsidRDefault="00456748" w:rsidP="00456748">
            <w:pPr>
              <w:spacing w:before="40" w:after="20"/>
              <w:rPr>
                <w:rFonts w:ascii="Arial Narrow" w:hAnsi="Arial Narrow" w:cs="Arial"/>
                <w:sz w:val="18"/>
                <w:szCs w:val="18"/>
              </w:rPr>
            </w:pPr>
            <w:r w:rsidRPr="00C8504B">
              <w:rPr>
                <w:rFonts w:ascii="Arial Narrow" w:hAnsi="Arial Narrow" w:cs="Arial"/>
                <w:sz w:val="18"/>
                <w:szCs w:val="18"/>
              </w:rPr>
              <w:t>Ricreazione, spettacoli e cultura</w:t>
            </w:r>
          </w:p>
        </w:tc>
        <w:tc>
          <w:tcPr>
            <w:tcW w:w="567" w:type="dxa"/>
            <w:shd w:val="clear" w:color="auto" w:fill="D9D9D9" w:themeFill="background1" w:themeFillShade="D9"/>
            <w:vAlign w:val="center"/>
          </w:tcPr>
          <w:p w:rsidR="00456748" w:rsidRPr="007200BB" w:rsidRDefault="00456748" w:rsidP="00456748">
            <w:pPr>
              <w:spacing w:before="40" w:after="20"/>
              <w:ind w:right="57"/>
              <w:jc w:val="right"/>
              <w:rPr>
                <w:rFonts w:ascii="Arial Narrow" w:hAnsi="Arial Narrow" w:cs="Arial"/>
                <w:color w:val="000000"/>
                <w:kern w:val="0"/>
                <w:sz w:val="18"/>
                <w:szCs w:val="18"/>
              </w:rPr>
            </w:pPr>
            <w:r w:rsidRPr="007200BB">
              <w:rPr>
                <w:rFonts w:ascii="Arial Narrow" w:hAnsi="Arial Narrow" w:cs="Arial"/>
                <w:color w:val="000000"/>
                <w:kern w:val="0"/>
                <w:sz w:val="18"/>
                <w:szCs w:val="18"/>
              </w:rPr>
              <w:t>+1,5</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3,5</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4,9</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4</w:t>
            </w:r>
            <w:r>
              <w:rPr>
                <w:rFonts w:ascii="Arial Narrow" w:hAnsi="Arial Narrow" w:cs="Arial"/>
                <w:color w:val="000000"/>
                <w:kern w:val="0"/>
                <w:sz w:val="18"/>
                <w:szCs w:val="18"/>
              </w:rPr>
              <w:t>,0</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2,2</w:t>
            </w:r>
          </w:p>
        </w:tc>
        <w:tc>
          <w:tcPr>
            <w:tcW w:w="567" w:type="dxa"/>
            <w:shd w:val="clear" w:color="auto" w:fill="auto"/>
            <w:vAlign w:val="center"/>
          </w:tcPr>
          <w:p w:rsidR="00456748" w:rsidRPr="005A7945" w:rsidRDefault="00456748" w:rsidP="00456748">
            <w:pPr>
              <w:spacing w:before="40" w:after="20"/>
              <w:ind w:right="57"/>
              <w:jc w:val="right"/>
              <w:rPr>
                <w:rFonts w:ascii="Arial Narrow" w:hAnsi="Arial Narrow" w:cs="Arial"/>
                <w:color w:val="000000"/>
                <w:kern w:val="0"/>
                <w:sz w:val="18"/>
                <w:szCs w:val="18"/>
              </w:rPr>
            </w:pPr>
            <w:r w:rsidRPr="005A7945">
              <w:rPr>
                <w:rFonts w:ascii="Arial Narrow" w:hAnsi="Arial Narrow" w:cs="Arial"/>
                <w:color w:val="000000"/>
                <w:kern w:val="0"/>
                <w:sz w:val="18"/>
                <w:szCs w:val="18"/>
              </w:rPr>
              <w:t>+3,6</w:t>
            </w:r>
          </w:p>
        </w:tc>
        <w:tc>
          <w:tcPr>
            <w:tcW w:w="845"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+2,9</w:t>
            </w:r>
          </w:p>
        </w:tc>
        <w:tc>
          <w:tcPr>
            <w:tcW w:w="714" w:type="dxa"/>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+0,7</w:t>
            </w:r>
          </w:p>
        </w:tc>
        <w:tc>
          <w:tcPr>
            <w:tcW w:w="856"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+0,5</w:t>
            </w:r>
          </w:p>
        </w:tc>
        <w:tc>
          <w:tcPr>
            <w:tcW w:w="1412" w:type="dxa"/>
            <w:shd w:val="clear" w:color="auto" w:fill="auto"/>
            <w:vAlign w:val="bottom"/>
          </w:tcPr>
          <w:p w:rsidR="00456748" w:rsidRPr="00456748" w:rsidRDefault="00456748" w:rsidP="00456748">
            <w:pPr>
              <w:spacing w:before="40" w:after="20"/>
              <w:ind w:right="57"/>
              <w:jc w:val="right"/>
              <w:rPr>
                <w:rFonts w:ascii="Arial Narrow" w:hAnsi="Arial Narrow" w:cs="Arial"/>
                <w:color w:val="000000"/>
                <w:kern w:val="0"/>
                <w:sz w:val="18"/>
                <w:szCs w:val="18"/>
              </w:rPr>
            </w:pPr>
            <w:r w:rsidRPr="00456748">
              <w:rPr>
                <w:rFonts w:ascii="Arial Narrow" w:hAnsi="Arial Narrow" w:cs="Arial"/>
                <w:color w:val="000000"/>
                <w:kern w:val="0"/>
                <w:sz w:val="18"/>
                <w:szCs w:val="18"/>
              </w:rPr>
              <w:t>0,253</w:t>
            </w:r>
          </w:p>
        </w:tc>
      </w:tr>
      <w:tr w:rsidR="00456748" w:rsidRPr="00C8504B" w:rsidTr="00D331B6">
        <w:trPr>
          <w:trHeight w:val="255"/>
        </w:trPr>
        <w:tc>
          <w:tcPr>
            <w:tcW w:w="2977" w:type="dxa"/>
            <w:vAlign w:val="center"/>
          </w:tcPr>
          <w:p w:rsidR="00456748" w:rsidRPr="00C8504B" w:rsidRDefault="00456748" w:rsidP="00456748">
            <w:pPr>
              <w:spacing w:before="40" w:after="20"/>
              <w:rPr>
                <w:rFonts w:ascii="Arial Narrow" w:hAnsi="Arial Narrow" w:cs="Arial"/>
                <w:sz w:val="18"/>
                <w:szCs w:val="18"/>
              </w:rPr>
            </w:pPr>
            <w:r w:rsidRPr="00C8504B">
              <w:rPr>
                <w:rFonts w:ascii="Arial Narrow" w:hAnsi="Arial Narrow" w:cs="Arial"/>
                <w:sz w:val="18"/>
                <w:szCs w:val="18"/>
              </w:rPr>
              <w:t>Istruzione</w:t>
            </w:r>
          </w:p>
        </w:tc>
        <w:tc>
          <w:tcPr>
            <w:tcW w:w="567" w:type="dxa"/>
            <w:shd w:val="clear" w:color="auto" w:fill="D9D9D9" w:themeFill="background1" w:themeFillShade="D9"/>
            <w:vAlign w:val="center"/>
          </w:tcPr>
          <w:p w:rsidR="00456748" w:rsidRPr="007200BB" w:rsidRDefault="00456748" w:rsidP="00456748">
            <w:pPr>
              <w:spacing w:before="40" w:after="20"/>
              <w:ind w:right="57"/>
              <w:jc w:val="right"/>
              <w:rPr>
                <w:rFonts w:ascii="Arial Narrow" w:hAnsi="Arial Narrow" w:cs="Arial"/>
                <w:color w:val="000000"/>
                <w:kern w:val="0"/>
                <w:sz w:val="18"/>
                <w:szCs w:val="18"/>
              </w:rPr>
            </w:pPr>
            <w:r w:rsidRPr="007200BB">
              <w:rPr>
                <w:rFonts w:ascii="Arial Narrow" w:hAnsi="Arial Narrow" w:cs="Arial"/>
                <w:color w:val="000000"/>
                <w:kern w:val="0"/>
                <w:sz w:val="18"/>
                <w:szCs w:val="18"/>
              </w:rPr>
              <w:t>0,0</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0,9</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1</w:t>
            </w:r>
            <w:r>
              <w:rPr>
                <w:rFonts w:ascii="Arial Narrow" w:hAnsi="Arial Narrow" w:cs="Arial"/>
                <w:color w:val="000000"/>
                <w:kern w:val="0"/>
                <w:sz w:val="18"/>
                <w:szCs w:val="18"/>
              </w:rPr>
              <w:t>,0</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1</w:t>
            </w:r>
            <w:r>
              <w:rPr>
                <w:rFonts w:ascii="Arial Narrow" w:hAnsi="Arial Narrow" w:cs="Arial"/>
                <w:color w:val="000000"/>
                <w:kern w:val="0"/>
                <w:sz w:val="18"/>
                <w:szCs w:val="18"/>
              </w:rPr>
              <w:t>,0</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1,9</w:t>
            </w:r>
          </w:p>
        </w:tc>
        <w:tc>
          <w:tcPr>
            <w:tcW w:w="567" w:type="dxa"/>
            <w:shd w:val="clear" w:color="auto" w:fill="auto"/>
            <w:vAlign w:val="center"/>
          </w:tcPr>
          <w:p w:rsidR="00456748" w:rsidRPr="005A7945" w:rsidRDefault="00456748" w:rsidP="00456748">
            <w:pPr>
              <w:spacing w:before="40" w:after="20"/>
              <w:ind w:right="57"/>
              <w:jc w:val="right"/>
              <w:rPr>
                <w:rFonts w:ascii="Arial Narrow" w:hAnsi="Arial Narrow" w:cs="Arial"/>
                <w:color w:val="000000"/>
                <w:kern w:val="0"/>
                <w:sz w:val="18"/>
                <w:szCs w:val="18"/>
              </w:rPr>
            </w:pPr>
            <w:r w:rsidRPr="005A7945">
              <w:rPr>
                <w:rFonts w:ascii="Arial Narrow" w:hAnsi="Arial Narrow" w:cs="Arial"/>
                <w:color w:val="000000"/>
                <w:kern w:val="0"/>
                <w:sz w:val="18"/>
                <w:szCs w:val="18"/>
              </w:rPr>
              <w:t>+1,1</w:t>
            </w:r>
          </w:p>
        </w:tc>
        <w:tc>
          <w:tcPr>
            <w:tcW w:w="845"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+0,5</w:t>
            </w:r>
          </w:p>
        </w:tc>
        <w:tc>
          <w:tcPr>
            <w:tcW w:w="714" w:type="dxa"/>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+0,6</w:t>
            </w:r>
          </w:p>
        </w:tc>
        <w:tc>
          <w:tcPr>
            <w:tcW w:w="856"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+1,3</w:t>
            </w:r>
          </w:p>
        </w:tc>
        <w:tc>
          <w:tcPr>
            <w:tcW w:w="1412" w:type="dxa"/>
            <w:shd w:val="clear" w:color="auto" w:fill="auto"/>
            <w:vAlign w:val="bottom"/>
          </w:tcPr>
          <w:p w:rsidR="00456748" w:rsidRPr="00456748" w:rsidRDefault="00456748" w:rsidP="00456748">
            <w:pPr>
              <w:spacing w:before="40" w:after="20"/>
              <w:ind w:right="57"/>
              <w:jc w:val="right"/>
              <w:rPr>
                <w:rFonts w:ascii="Arial Narrow" w:hAnsi="Arial Narrow" w:cs="Arial"/>
                <w:color w:val="000000"/>
                <w:kern w:val="0"/>
                <w:sz w:val="18"/>
                <w:szCs w:val="18"/>
              </w:rPr>
            </w:pPr>
            <w:r w:rsidRPr="00456748">
              <w:rPr>
                <w:rFonts w:ascii="Arial Narrow" w:hAnsi="Arial Narrow" w:cs="Arial"/>
                <w:color w:val="000000"/>
                <w:kern w:val="0"/>
                <w:sz w:val="18"/>
                <w:szCs w:val="18"/>
              </w:rPr>
              <w:t>0,011</w:t>
            </w:r>
          </w:p>
        </w:tc>
      </w:tr>
      <w:tr w:rsidR="00456748" w:rsidRPr="00C8504B" w:rsidTr="00D331B6">
        <w:trPr>
          <w:trHeight w:val="255"/>
        </w:trPr>
        <w:tc>
          <w:tcPr>
            <w:tcW w:w="2977" w:type="dxa"/>
            <w:vAlign w:val="center"/>
          </w:tcPr>
          <w:p w:rsidR="00456748" w:rsidRPr="00C8504B" w:rsidRDefault="00456748" w:rsidP="00456748">
            <w:pPr>
              <w:spacing w:before="40" w:after="20"/>
              <w:rPr>
                <w:rFonts w:ascii="Arial Narrow" w:hAnsi="Arial Narrow" w:cs="Arial"/>
                <w:sz w:val="18"/>
                <w:szCs w:val="18"/>
              </w:rPr>
            </w:pPr>
            <w:r w:rsidRPr="00C8504B">
              <w:rPr>
                <w:rFonts w:ascii="Arial Narrow" w:hAnsi="Arial Narrow" w:cs="Arial"/>
                <w:sz w:val="18"/>
                <w:szCs w:val="18"/>
              </w:rPr>
              <w:t>Servizi ricettivi e di ristorazione</w:t>
            </w:r>
          </w:p>
        </w:tc>
        <w:tc>
          <w:tcPr>
            <w:tcW w:w="567" w:type="dxa"/>
            <w:shd w:val="clear" w:color="auto" w:fill="D9D9D9" w:themeFill="background1" w:themeFillShade="D9"/>
            <w:vAlign w:val="center"/>
          </w:tcPr>
          <w:p w:rsidR="00456748" w:rsidRPr="007200BB" w:rsidRDefault="00456748" w:rsidP="00456748">
            <w:pPr>
              <w:spacing w:before="40" w:after="20"/>
              <w:ind w:right="57"/>
              <w:jc w:val="right"/>
              <w:rPr>
                <w:rFonts w:ascii="Arial Narrow" w:hAnsi="Arial Narrow" w:cs="Arial"/>
                <w:color w:val="000000"/>
                <w:kern w:val="0"/>
                <w:sz w:val="18"/>
                <w:szCs w:val="18"/>
              </w:rPr>
            </w:pPr>
            <w:r w:rsidRPr="007200BB">
              <w:rPr>
                <w:rFonts w:ascii="Arial Narrow" w:hAnsi="Arial Narrow" w:cs="Arial"/>
                <w:color w:val="000000"/>
                <w:kern w:val="0"/>
                <w:sz w:val="18"/>
                <w:szCs w:val="18"/>
              </w:rPr>
              <w:t>+6,3</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7,8</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7,9</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7,1</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5,2</w:t>
            </w:r>
          </w:p>
        </w:tc>
        <w:tc>
          <w:tcPr>
            <w:tcW w:w="567" w:type="dxa"/>
            <w:shd w:val="clear" w:color="auto" w:fill="auto"/>
            <w:vAlign w:val="center"/>
          </w:tcPr>
          <w:p w:rsidR="00456748" w:rsidRPr="005A7945" w:rsidRDefault="00456748" w:rsidP="00456748">
            <w:pPr>
              <w:spacing w:before="40" w:after="20"/>
              <w:ind w:right="57"/>
              <w:jc w:val="right"/>
              <w:rPr>
                <w:rFonts w:ascii="Arial Narrow" w:hAnsi="Arial Narrow" w:cs="Arial"/>
                <w:color w:val="000000"/>
                <w:kern w:val="0"/>
                <w:sz w:val="18"/>
                <w:szCs w:val="18"/>
              </w:rPr>
            </w:pPr>
            <w:r w:rsidRPr="005A7945">
              <w:rPr>
                <w:rFonts w:ascii="Arial Narrow" w:hAnsi="Arial Narrow" w:cs="Arial"/>
                <w:color w:val="000000"/>
                <w:kern w:val="0"/>
                <w:sz w:val="18"/>
                <w:szCs w:val="18"/>
              </w:rPr>
              <w:t>+7,0</w:t>
            </w:r>
          </w:p>
        </w:tc>
        <w:tc>
          <w:tcPr>
            <w:tcW w:w="845"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+2,3</w:t>
            </w:r>
          </w:p>
        </w:tc>
        <w:tc>
          <w:tcPr>
            <w:tcW w:w="714" w:type="dxa"/>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+4,6</w:t>
            </w:r>
          </w:p>
        </w:tc>
        <w:tc>
          <w:tcPr>
            <w:tcW w:w="856"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0,0</w:t>
            </w:r>
          </w:p>
        </w:tc>
        <w:tc>
          <w:tcPr>
            <w:tcW w:w="1412" w:type="dxa"/>
            <w:shd w:val="clear" w:color="auto" w:fill="auto"/>
            <w:vAlign w:val="bottom"/>
          </w:tcPr>
          <w:p w:rsidR="00456748" w:rsidRPr="00456748" w:rsidRDefault="00456748" w:rsidP="00456748">
            <w:pPr>
              <w:spacing w:before="40" w:after="20"/>
              <w:ind w:right="57"/>
              <w:jc w:val="right"/>
              <w:rPr>
                <w:rFonts w:ascii="Arial Narrow" w:hAnsi="Arial Narrow" w:cs="Arial"/>
                <w:color w:val="000000"/>
                <w:kern w:val="0"/>
                <w:sz w:val="18"/>
                <w:szCs w:val="18"/>
              </w:rPr>
            </w:pPr>
            <w:r w:rsidRPr="00456748">
              <w:rPr>
                <w:rFonts w:ascii="Arial Narrow" w:hAnsi="Arial Narrow" w:cs="Arial"/>
                <w:color w:val="000000"/>
                <w:kern w:val="0"/>
                <w:sz w:val="18"/>
                <w:szCs w:val="18"/>
              </w:rPr>
              <w:t>0,740</w:t>
            </w:r>
          </w:p>
        </w:tc>
      </w:tr>
      <w:tr w:rsidR="00456748" w:rsidRPr="00C8504B" w:rsidTr="00D331B6">
        <w:trPr>
          <w:trHeight w:val="255"/>
        </w:trPr>
        <w:tc>
          <w:tcPr>
            <w:tcW w:w="2977" w:type="dxa"/>
            <w:vAlign w:val="center"/>
          </w:tcPr>
          <w:p w:rsidR="00456748" w:rsidRPr="00C8504B" w:rsidRDefault="00456748" w:rsidP="00456748">
            <w:pPr>
              <w:spacing w:before="40" w:after="20"/>
              <w:rPr>
                <w:rFonts w:ascii="Arial Narrow" w:hAnsi="Arial Narrow" w:cs="Arial"/>
                <w:sz w:val="18"/>
                <w:szCs w:val="18"/>
              </w:rPr>
            </w:pPr>
            <w:r w:rsidRPr="00C8504B">
              <w:rPr>
                <w:rFonts w:ascii="Arial Narrow" w:hAnsi="Arial Narrow" w:cs="Arial"/>
                <w:sz w:val="18"/>
                <w:szCs w:val="18"/>
              </w:rPr>
              <w:t>Altri beni e servizi</w:t>
            </w:r>
          </w:p>
        </w:tc>
        <w:tc>
          <w:tcPr>
            <w:tcW w:w="567" w:type="dxa"/>
            <w:shd w:val="clear" w:color="auto" w:fill="D9D9D9" w:themeFill="background1" w:themeFillShade="D9"/>
            <w:vAlign w:val="center"/>
          </w:tcPr>
          <w:p w:rsidR="00456748" w:rsidRPr="007200BB" w:rsidRDefault="00456748" w:rsidP="00456748">
            <w:pPr>
              <w:spacing w:before="40" w:after="20"/>
              <w:ind w:right="57"/>
              <w:jc w:val="right"/>
              <w:rPr>
                <w:rFonts w:ascii="Arial Narrow" w:hAnsi="Arial Narrow" w:cs="Arial"/>
                <w:color w:val="000000"/>
                <w:kern w:val="0"/>
                <w:sz w:val="18"/>
                <w:szCs w:val="18"/>
              </w:rPr>
            </w:pPr>
            <w:r w:rsidRPr="007200BB">
              <w:rPr>
                <w:rFonts w:ascii="Arial Narrow" w:hAnsi="Arial Narrow" w:cs="Arial"/>
                <w:color w:val="000000"/>
                <w:kern w:val="0"/>
                <w:sz w:val="18"/>
                <w:szCs w:val="18"/>
              </w:rPr>
              <w:t>+2,0</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4</w:t>
            </w:r>
            <w:r>
              <w:rPr>
                <w:rFonts w:ascii="Arial Narrow" w:hAnsi="Arial Narrow" w:cs="Arial"/>
                <w:color w:val="000000"/>
                <w:kern w:val="0"/>
                <w:sz w:val="18"/>
                <w:szCs w:val="18"/>
              </w:rPr>
              <w:t>,0</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4,4</w:t>
            </w:r>
          </w:p>
        </w:tc>
        <w:tc>
          <w:tcPr>
            <w:tcW w:w="567" w:type="dxa"/>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4,1</w:t>
            </w:r>
          </w:p>
        </w:tc>
        <w:tc>
          <w:tcPr>
            <w:tcW w:w="567" w:type="dxa"/>
            <w:shd w:val="clear" w:color="auto" w:fill="D9D9D9" w:themeFill="background1" w:themeFillShade="D9"/>
            <w:vAlign w:val="bottom"/>
          </w:tcPr>
          <w:p w:rsidR="00456748" w:rsidRPr="00D90877" w:rsidRDefault="00456748" w:rsidP="00456748">
            <w:pPr>
              <w:spacing w:before="40" w:after="20"/>
              <w:ind w:right="57"/>
              <w:jc w:val="right"/>
              <w:rPr>
                <w:rFonts w:ascii="Arial Narrow" w:hAnsi="Arial Narrow" w:cs="Arial"/>
                <w:color w:val="000000"/>
                <w:kern w:val="0"/>
                <w:sz w:val="18"/>
                <w:szCs w:val="18"/>
              </w:rPr>
            </w:pPr>
            <w:r>
              <w:rPr>
                <w:rFonts w:ascii="Arial Narrow" w:hAnsi="Arial Narrow" w:cs="Arial"/>
                <w:color w:val="000000"/>
                <w:kern w:val="0"/>
                <w:sz w:val="18"/>
                <w:szCs w:val="18"/>
              </w:rPr>
              <w:t>+</w:t>
            </w:r>
            <w:r w:rsidRPr="00D90877">
              <w:rPr>
                <w:rFonts w:ascii="Arial Narrow" w:hAnsi="Arial Narrow" w:cs="Arial"/>
                <w:color w:val="000000"/>
                <w:kern w:val="0"/>
                <w:sz w:val="18"/>
                <w:szCs w:val="18"/>
              </w:rPr>
              <w:t>3,5</w:t>
            </w:r>
          </w:p>
        </w:tc>
        <w:tc>
          <w:tcPr>
            <w:tcW w:w="567" w:type="dxa"/>
            <w:shd w:val="clear" w:color="auto" w:fill="auto"/>
            <w:vAlign w:val="center"/>
          </w:tcPr>
          <w:p w:rsidR="00456748" w:rsidRPr="005A7945" w:rsidRDefault="00456748" w:rsidP="00456748">
            <w:pPr>
              <w:spacing w:before="40" w:after="20"/>
              <w:ind w:right="57"/>
              <w:jc w:val="right"/>
              <w:rPr>
                <w:rFonts w:ascii="Arial Narrow" w:hAnsi="Arial Narrow" w:cs="Arial"/>
                <w:color w:val="000000"/>
                <w:kern w:val="0"/>
                <w:sz w:val="18"/>
                <w:szCs w:val="18"/>
              </w:rPr>
            </w:pPr>
            <w:r w:rsidRPr="005A7945">
              <w:rPr>
                <w:rFonts w:ascii="Arial Narrow" w:hAnsi="Arial Narrow" w:cs="Arial"/>
                <w:color w:val="000000"/>
                <w:kern w:val="0"/>
                <w:sz w:val="18"/>
                <w:szCs w:val="18"/>
              </w:rPr>
              <w:t>+4,0</w:t>
            </w:r>
          </w:p>
        </w:tc>
        <w:tc>
          <w:tcPr>
            <w:tcW w:w="845"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+1,7</w:t>
            </w:r>
          </w:p>
        </w:tc>
        <w:tc>
          <w:tcPr>
            <w:tcW w:w="714" w:type="dxa"/>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+2,2</w:t>
            </w:r>
          </w:p>
        </w:tc>
        <w:tc>
          <w:tcPr>
            <w:tcW w:w="856" w:type="dxa"/>
            <w:shd w:val="clear" w:color="auto" w:fill="D9D9D9" w:themeFill="background1" w:themeFillShade="D9"/>
            <w:vAlign w:val="center"/>
          </w:tcPr>
          <w:p w:rsidR="00456748" w:rsidRPr="005A3B60" w:rsidRDefault="00456748" w:rsidP="00456748">
            <w:pPr>
              <w:spacing w:before="40" w:after="20"/>
              <w:ind w:right="57"/>
              <w:jc w:val="right"/>
              <w:rPr>
                <w:rFonts w:ascii="Arial Narrow" w:hAnsi="Arial Narrow" w:cs="Arial"/>
                <w:color w:val="000000"/>
                <w:kern w:val="0"/>
                <w:sz w:val="18"/>
                <w:szCs w:val="18"/>
              </w:rPr>
            </w:pPr>
            <w:r w:rsidRPr="005A3B60">
              <w:rPr>
                <w:rFonts w:ascii="Arial Narrow" w:hAnsi="Arial Narrow" w:cs="Arial"/>
                <w:color w:val="000000"/>
                <w:kern w:val="0"/>
                <w:sz w:val="18"/>
                <w:szCs w:val="18"/>
              </w:rPr>
              <w:t>+1,0</w:t>
            </w:r>
          </w:p>
        </w:tc>
        <w:tc>
          <w:tcPr>
            <w:tcW w:w="1412" w:type="dxa"/>
            <w:shd w:val="clear" w:color="auto" w:fill="auto"/>
            <w:vAlign w:val="bottom"/>
          </w:tcPr>
          <w:p w:rsidR="00456748" w:rsidRPr="00456748" w:rsidRDefault="00456748" w:rsidP="00456748">
            <w:pPr>
              <w:spacing w:before="40" w:after="20"/>
              <w:ind w:right="57"/>
              <w:jc w:val="right"/>
              <w:rPr>
                <w:rFonts w:ascii="Arial Narrow" w:hAnsi="Arial Narrow" w:cs="Arial"/>
                <w:color w:val="000000"/>
                <w:kern w:val="0"/>
                <w:sz w:val="18"/>
                <w:szCs w:val="18"/>
              </w:rPr>
            </w:pPr>
            <w:r w:rsidRPr="00456748">
              <w:rPr>
                <w:rFonts w:ascii="Arial Narrow" w:hAnsi="Arial Narrow" w:cs="Arial"/>
                <w:color w:val="000000"/>
                <w:kern w:val="0"/>
                <w:sz w:val="18"/>
                <w:szCs w:val="18"/>
              </w:rPr>
              <w:t>0,372</w:t>
            </w:r>
          </w:p>
        </w:tc>
      </w:tr>
      <w:tr w:rsidR="005A3B60" w:rsidRPr="00C7667B" w:rsidTr="00D331B6">
        <w:trPr>
          <w:trHeight w:val="255"/>
        </w:trPr>
        <w:tc>
          <w:tcPr>
            <w:tcW w:w="2977" w:type="dxa"/>
            <w:shd w:val="clear" w:color="auto" w:fill="E42618"/>
            <w:vAlign w:val="center"/>
          </w:tcPr>
          <w:p w:rsidR="005A3B60" w:rsidRPr="00C8504B" w:rsidRDefault="005A3B60" w:rsidP="005A3B60">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567" w:type="dxa"/>
            <w:shd w:val="clear" w:color="auto" w:fill="E42618"/>
            <w:vAlign w:val="center"/>
          </w:tcPr>
          <w:p w:rsidR="005A3B60" w:rsidRPr="007200BB" w:rsidRDefault="005A3B60" w:rsidP="005A3B60">
            <w:pPr>
              <w:spacing w:before="40" w:after="20"/>
              <w:ind w:right="57"/>
              <w:jc w:val="right"/>
              <w:rPr>
                <w:rFonts w:ascii="Arial Narrow" w:hAnsi="Arial Narrow" w:cs="Arial"/>
                <w:b/>
                <w:color w:val="FFFFFF" w:themeColor="background1"/>
                <w:kern w:val="0"/>
                <w:sz w:val="18"/>
                <w:szCs w:val="18"/>
              </w:rPr>
            </w:pPr>
            <w:r w:rsidRPr="007200BB">
              <w:rPr>
                <w:rFonts w:ascii="Arial Narrow" w:hAnsi="Arial Narrow" w:cs="Arial"/>
                <w:b/>
                <w:color w:val="FFFFFF" w:themeColor="background1"/>
                <w:kern w:val="0"/>
                <w:sz w:val="18"/>
                <w:szCs w:val="18"/>
              </w:rPr>
              <w:t>+8,1</w:t>
            </w:r>
          </w:p>
        </w:tc>
        <w:tc>
          <w:tcPr>
            <w:tcW w:w="567" w:type="dxa"/>
            <w:shd w:val="clear" w:color="auto" w:fill="E42618"/>
            <w:vAlign w:val="bottom"/>
          </w:tcPr>
          <w:p w:rsidR="005A3B60" w:rsidRPr="00D90877" w:rsidRDefault="000B0AE7" w:rsidP="005A3B60">
            <w:pPr>
              <w:spacing w:before="40" w:after="20"/>
              <w:ind w:right="57"/>
              <w:jc w:val="right"/>
              <w:rPr>
                <w:rFonts w:ascii="Arial Narrow" w:hAnsi="Arial Narrow" w:cs="Arial"/>
                <w:b/>
                <w:color w:val="FFFFFF" w:themeColor="background1"/>
                <w:kern w:val="0"/>
                <w:sz w:val="18"/>
                <w:szCs w:val="18"/>
              </w:rPr>
            </w:pPr>
            <w:r>
              <w:rPr>
                <w:rFonts w:ascii="Arial Narrow" w:hAnsi="Arial Narrow" w:cs="Arial"/>
                <w:b/>
                <w:color w:val="FFFFFF" w:themeColor="background1"/>
                <w:kern w:val="0"/>
                <w:sz w:val="18"/>
                <w:szCs w:val="18"/>
              </w:rPr>
              <w:t>+</w:t>
            </w:r>
            <w:r w:rsidR="005A3B60" w:rsidRPr="00D90877">
              <w:rPr>
                <w:rFonts w:ascii="Arial Narrow" w:hAnsi="Arial Narrow" w:cs="Arial"/>
                <w:b/>
                <w:color w:val="FFFFFF" w:themeColor="background1"/>
                <w:kern w:val="0"/>
                <w:sz w:val="18"/>
                <w:szCs w:val="18"/>
              </w:rPr>
              <w:t>9,1</w:t>
            </w:r>
          </w:p>
        </w:tc>
        <w:tc>
          <w:tcPr>
            <w:tcW w:w="567" w:type="dxa"/>
            <w:shd w:val="clear" w:color="auto" w:fill="E42618"/>
            <w:vAlign w:val="bottom"/>
          </w:tcPr>
          <w:p w:rsidR="005A3B60" w:rsidRPr="00D90877" w:rsidRDefault="005A3B60" w:rsidP="005A3B60">
            <w:pPr>
              <w:spacing w:before="40" w:after="20"/>
              <w:ind w:right="57"/>
              <w:jc w:val="right"/>
              <w:rPr>
                <w:rFonts w:ascii="Arial Narrow" w:hAnsi="Arial Narrow" w:cs="Arial"/>
                <w:b/>
                <w:color w:val="FFFFFF" w:themeColor="background1"/>
                <w:kern w:val="0"/>
                <w:sz w:val="18"/>
                <w:szCs w:val="18"/>
              </w:rPr>
            </w:pPr>
            <w:r>
              <w:rPr>
                <w:rFonts w:ascii="Arial Narrow" w:hAnsi="Arial Narrow" w:cs="Arial"/>
                <w:b/>
                <w:color w:val="FFFFFF" w:themeColor="background1"/>
                <w:kern w:val="0"/>
                <w:sz w:val="18"/>
                <w:szCs w:val="18"/>
              </w:rPr>
              <w:t>+</w:t>
            </w:r>
            <w:r w:rsidRPr="00D90877">
              <w:rPr>
                <w:rFonts w:ascii="Arial Narrow" w:hAnsi="Arial Narrow" w:cs="Arial"/>
                <w:b/>
                <w:color w:val="FFFFFF" w:themeColor="background1"/>
                <w:kern w:val="0"/>
                <w:sz w:val="18"/>
                <w:szCs w:val="18"/>
              </w:rPr>
              <w:t>7,5</w:t>
            </w:r>
          </w:p>
        </w:tc>
        <w:tc>
          <w:tcPr>
            <w:tcW w:w="567" w:type="dxa"/>
            <w:shd w:val="clear" w:color="auto" w:fill="E42618"/>
            <w:vAlign w:val="bottom"/>
          </w:tcPr>
          <w:p w:rsidR="005A3B60" w:rsidRPr="00D90877" w:rsidRDefault="005A3B60" w:rsidP="005A3B60">
            <w:pPr>
              <w:spacing w:before="40" w:after="20"/>
              <w:ind w:right="57"/>
              <w:jc w:val="right"/>
              <w:rPr>
                <w:rFonts w:ascii="Arial Narrow" w:hAnsi="Arial Narrow" w:cs="Arial"/>
                <w:b/>
                <w:color w:val="FFFFFF" w:themeColor="background1"/>
                <w:kern w:val="0"/>
                <w:sz w:val="18"/>
                <w:szCs w:val="18"/>
              </w:rPr>
            </w:pPr>
            <w:r>
              <w:rPr>
                <w:rFonts w:ascii="Arial Narrow" w:hAnsi="Arial Narrow" w:cs="Arial"/>
                <w:b/>
                <w:color w:val="FFFFFF" w:themeColor="background1"/>
                <w:kern w:val="0"/>
                <w:sz w:val="18"/>
                <w:szCs w:val="18"/>
              </w:rPr>
              <w:t>+</w:t>
            </w:r>
            <w:r w:rsidRPr="00D90877">
              <w:rPr>
                <w:rFonts w:ascii="Arial Narrow" w:hAnsi="Arial Narrow" w:cs="Arial"/>
                <w:b/>
                <w:color w:val="FFFFFF" w:themeColor="background1"/>
                <w:kern w:val="0"/>
                <w:sz w:val="18"/>
                <w:szCs w:val="18"/>
              </w:rPr>
              <w:t>5,8</w:t>
            </w:r>
          </w:p>
        </w:tc>
        <w:tc>
          <w:tcPr>
            <w:tcW w:w="567" w:type="dxa"/>
            <w:shd w:val="clear" w:color="auto" w:fill="E42618"/>
            <w:vAlign w:val="bottom"/>
          </w:tcPr>
          <w:p w:rsidR="005A3B60" w:rsidRPr="00D90877" w:rsidRDefault="005A3B60" w:rsidP="005A3B60">
            <w:pPr>
              <w:spacing w:before="40" w:after="20"/>
              <w:ind w:right="57"/>
              <w:jc w:val="right"/>
              <w:rPr>
                <w:rFonts w:ascii="Arial Narrow" w:hAnsi="Arial Narrow" w:cs="Arial"/>
                <w:b/>
                <w:color w:val="FFFFFF" w:themeColor="background1"/>
                <w:kern w:val="0"/>
                <w:sz w:val="18"/>
                <w:szCs w:val="18"/>
              </w:rPr>
            </w:pPr>
            <w:r>
              <w:rPr>
                <w:rFonts w:ascii="Arial Narrow" w:hAnsi="Arial Narrow" w:cs="Arial"/>
                <w:b/>
                <w:color w:val="FFFFFF" w:themeColor="background1"/>
                <w:kern w:val="0"/>
                <w:sz w:val="18"/>
                <w:szCs w:val="18"/>
              </w:rPr>
              <w:t>+</w:t>
            </w:r>
            <w:r w:rsidRPr="00D90877">
              <w:rPr>
                <w:rFonts w:ascii="Arial Narrow" w:hAnsi="Arial Narrow" w:cs="Arial"/>
                <w:b/>
                <w:color w:val="FFFFFF" w:themeColor="background1"/>
                <w:kern w:val="0"/>
                <w:sz w:val="18"/>
                <w:szCs w:val="18"/>
              </w:rPr>
              <w:t>1,1</w:t>
            </w:r>
          </w:p>
        </w:tc>
        <w:tc>
          <w:tcPr>
            <w:tcW w:w="567" w:type="dxa"/>
            <w:shd w:val="clear" w:color="auto" w:fill="E42618"/>
            <w:vAlign w:val="center"/>
          </w:tcPr>
          <w:p w:rsidR="005A3B60" w:rsidRPr="005A7945" w:rsidRDefault="005A3B60" w:rsidP="005A3B60">
            <w:pPr>
              <w:spacing w:before="40" w:after="20"/>
              <w:ind w:right="57"/>
              <w:jc w:val="right"/>
              <w:rPr>
                <w:rFonts w:ascii="Arial Narrow" w:hAnsi="Arial Narrow" w:cs="Arial"/>
                <w:b/>
                <w:color w:val="FFFFFF" w:themeColor="background1"/>
                <w:kern w:val="0"/>
                <w:sz w:val="18"/>
                <w:szCs w:val="18"/>
              </w:rPr>
            </w:pPr>
            <w:r w:rsidRPr="005A7945">
              <w:rPr>
                <w:rFonts w:ascii="Arial Narrow" w:hAnsi="Arial Narrow" w:cs="Arial"/>
                <w:b/>
                <w:color w:val="FFFFFF" w:themeColor="background1"/>
                <w:kern w:val="0"/>
                <w:sz w:val="18"/>
                <w:szCs w:val="18"/>
              </w:rPr>
              <w:t>+5,7</w:t>
            </w:r>
          </w:p>
        </w:tc>
        <w:tc>
          <w:tcPr>
            <w:tcW w:w="845" w:type="dxa"/>
            <w:shd w:val="clear" w:color="auto" w:fill="E42618"/>
            <w:vAlign w:val="center"/>
          </w:tcPr>
          <w:p w:rsidR="005A3B60" w:rsidRPr="005A3B60" w:rsidRDefault="005A3B60" w:rsidP="005A3B60">
            <w:pPr>
              <w:spacing w:before="40" w:after="20"/>
              <w:ind w:right="57"/>
              <w:jc w:val="right"/>
              <w:rPr>
                <w:rFonts w:ascii="Arial Narrow" w:hAnsi="Arial Narrow" w:cs="Arial"/>
                <w:b/>
                <w:color w:val="FFFFFF" w:themeColor="background1"/>
                <w:kern w:val="0"/>
                <w:sz w:val="18"/>
                <w:szCs w:val="18"/>
              </w:rPr>
            </w:pPr>
            <w:r w:rsidRPr="005A3B60">
              <w:rPr>
                <w:rFonts w:ascii="Arial Narrow" w:hAnsi="Arial Narrow" w:cs="Arial"/>
                <w:b/>
                <w:color w:val="FFFFFF" w:themeColor="background1"/>
                <w:kern w:val="0"/>
                <w:sz w:val="18"/>
                <w:szCs w:val="18"/>
              </w:rPr>
              <w:t>+5,1</w:t>
            </w:r>
          </w:p>
        </w:tc>
        <w:tc>
          <w:tcPr>
            <w:tcW w:w="714" w:type="dxa"/>
            <w:shd w:val="clear" w:color="auto" w:fill="E42618"/>
            <w:vAlign w:val="center"/>
          </w:tcPr>
          <w:p w:rsidR="005A3B60" w:rsidRPr="005A3B60" w:rsidRDefault="005A3B60" w:rsidP="005A3B60">
            <w:pPr>
              <w:spacing w:before="40" w:after="20"/>
              <w:ind w:right="57"/>
              <w:jc w:val="right"/>
              <w:rPr>
                <w:rFonts w:ascii="Arial Narrow" w:hAnsi="Arial Narrow" w:cs="Arial"/>
                <w:b/>
                <w:color w:val="FFFFFF" w:themeColor="background1"/>
                <w:kern w:val="0"/>
                <w:sz w:val="18"/>
                <w:szCs w:val="18"/>
              </w:rPr>
            </w:pPr>
            <w:r w:rsidRPr="005A3B60">
              <w:rPr>
                <w:rFonts w:ascii="Arial Narrow" w:hAnsi="Arial Narrow" w:cs="Arial"/>
                <w:b/>
                <w:color w:val="FFFFFF" w:themeColor="background1"/>
                <w:kern w:val="0"/>
                <w:sz w:val="18"/>
                <w:szCs w:val="18"/>
              </w:rPr>
              <w:t>+0,5</w:t>
            </w:r>
          </w:p>
        </w:tc>
        <w:tc>
          <w:tcPr>
            <w:tcW w:w="856" w:type="dxa"/>
            <w:shd w:val="clear" w:color="auto" w:fill="E42618"/>
            <w:vAlign w:val="center"/>
          </w:tcPr>
          <w:p w:rsidR="005A3B60" w:rsidRPr="005A3B60" w:rsidRDefault="005A3B60" w:rsidP="005A3B60">
            <w:pPr>
              <w:spacing w:before="40" w:after="20"/>
              <w:ind w:right="57"/>
              <w:jc w:val="right"/>
              <w:rPr>
                <w:rFonts w:ascii="Arial Narrow" w:hAnsi="Arial Narrow" w:cs="Arial"/>
                <w:b/>
                <w:color w:val="FFFFFF" w:themeColor="background1"/>
                <w:kern w:val="0"/>
                <w:sz w:val="18"/>
                <w:szCs w:val="18"/>
              </w:rPr>
            </w:pPr>
            <w:r w:rsidRPr="005A3B60">
              <w:rPr>
                <w:rFonts w:ascii="Arial Narrow" w:hAnsi="Arial Narrow" w:cs="Arial"/>
                <w:b/>
                <w:color w:val="FFFFFF" w:themeColor="background1"/>
                <w:kern w:val="0"/>
                <w:sz w:val="18"/>
                <w:szCs w:val="18"/>
              </w:rPr>
              <w:t>+0,1</w:t>
            </w:r>
          </w:p>
        </w:tc>
        <w:tc>
          <w:tcPr>
            <w:tcW w:w="1412" w:type="dxa"/>
            <w:shd w:val="clear" w:color="auto" w:fill="E42618"/>
            <w:vAlign w:val="center"/>
          </w:tcPr>
          <w:p w:rsidR="005A3B60" w:rsidRPr="001B1D0B" w:rsidRDefault="005A3B60" w:rsidP="005A3B60">
            <w:pPr>
              <w:widowControl/>
              <w:overflowPunct/>
              <w:spacing w:before="40" w:after="20"/>
              <w:ind w:right="57"/>
              <w:jc w:val="right"/>
              <w:rPr>
                <w:rFonts w:ascii="Arial Narrow" w:hAnsi="Arial Narrow" w:cs="Arial"/>
                <w:color w:val="000000"/>
                <w:kern w:val="0"/>
                <w:sz w:val="18"/>
                <w:szCs w:val="18"/>
              </w:rPr>
            </w:pPr>
          </w:p>
        </w:tc>
      </w:tr>
    </w:tbl>
    <w:p w:rsidR="00FF2F4C" w:rsidRDefault="00FF2F4C" w:rsidP="001D29FC">
      <w:pPr>
        <w:spacing w:before="0" w:after="120"/>
        <w:jc w:val="both"/>
        <w:rPr>
          <w:rFonts w:ascii="Arial" w:hAnsi="Arial" w:cs="Arial"/>
          <w:b/>
        </w:rPr>
      </w:pPr>
      <w:r w:rsidRPr="001D29FC">
        <w:rPr>
          <w:rFonts w:ascii="Arial" w:hAnsi="Arial" w:cs="Arial"/>
          <w:b/>
        </w:rPr>
        <w:lastRenderedPageBreak/>
        <w:t xml:space="preserve">Le tipologie di prodotto </w:t>
      </w:r>
    </w:p>
    <w:p w:rsidR="003346B6" w:rsidRPr="00AB2A4D" w:rsidRDefault="003346B6" w:rsidP="003346B6">
      <w:pPr>
        <w:tabs>
          <w:tab w:val="left" w:pos="2940"/>
        </w:tabs>
        <w:spacing w:before="0" w:after="120"/>
        <w:jc w:val="both"/>
        <w:rPr>
          <w:rFonts w:ascii="Arial" w:hAnsi="Arial" w:cs="Arial"/>
          <w:iCs/>
          <w:sz w:val="21"/>
          <w:szCs w:val="21"/>
        </w:rPr>
      </w:pPr>
      <w:r>
        <w:rPr>
          <w:rFonts w:ascii="Arial" w:hAnsi="Arial" w:cs="Arial"/>
          <w:iCs/>
          <w:sz w:val="21"/>
          <w:szCs w:val="21"/>
        </w:rPr>
        <w:t>Nella media del 2</w:t>
      </w:r>
      <w:r w:rsidR="00572C4C">
        <w:rPr>
          <w:rFonts w:ascii="Arial" w:hAnsi="Arial" w:cs="Arial"/>
          <w:iCs/>
          <w:sz w:val="21"/>
          <w:szCs w:val="21"/>
        </w:rPr>
        <w:t>023</w:t>
      </w:r>
      <w:r w:rsidRPr="00AB2A4D">
        <w:rPr>
          <w:rFonts w:ascii="Arial" w:hAnsi="Arial" w:cs="Arial"/>
          <w:iCs/>
          <w:sz w:val="21"/>
          <w:szCs w:val="21"/>
        </w:rPr>
        <w:t xml:space="preserve"> </w:t>
      </w:r>
      <w:r w:rsidR="00CA06C4">
        <w:rPr>
          <w:rFonts w:ascii="Arial" w:hAnsi="Arial" w:cs="Arial"/>
          <w:iCs/>
          <w:sz w:val="21"/>
          <w:szCs w:val="21"/>
        </w:rPr>
        <w:t>de</w:t>
      </w:r>
      <w:r w:rsidRPr="00AB2A4D">
        <w:rPr>
          <w:rFonts w:ascii="Arial" w:hAnsi="Arial" w:cs="Arial"/>
          <w:iCs/>
          <w:sz w:val="21"/>
          <w:szCs w:val="21"/>
        </w:rPr>
        <w:t>cel</w:t>
      </w:r>
      <w:r w:rsidR="00CA06C4">
        <w:rPr>
          <w:rFonts w:ascii="Arial" w:hAnsi="Arial" w:cs="Arial"/>
          <w:iCs/>
          <w:sz w:val="21"/>
          <w:szCs w:val="21"/>
        </w:rPr>
        <w:t>erano i prezzi dei beni (da +11,9</w:t>
      </w:r>
      <w:r w:rsidRPr="00AB2A4D">
        <w:rPr>
          <w:rFonts w:ascii="Arial" w:hAnsi="Arial" w:cs="Arial"/>
          <w:iCs/>
          <w:sz w:val="21"/>
          <w:szCs w:val="21"/>
        </w:rPr>
        <w:t>% del 202</w:t>
      </w:r>
      <w:r w:rsidR="00CA06C4">
        <w:rPr>
          <w:rFonts w:ascii="Arial" w:hAnsi="Arial" w:cs="Arial"/>
          <w:iCs/>
          <w:sz w:val="21"/>
          <w:szCs w:val="21"/>
        </w:rPr>
        <w:t>2 a +6,4</w:t>
      </w:r>
      <w:r w:rsidRPr="00AB2A4D">
        <w:rPr>
          <w:rFonts w:ascii="Arial" w:hAnsi="Arial" w:cs="Arial"/>
          <w:iCs/>
          <w:sz w:val="21"/>
          <w:szCs w:val="21"/>
        </w:rPr>
        <w:t>%)</w:t>
      </w:r>
      <w:r w:rsidR="00CA06C4">
        <w:rPr>
          <w:rFonts w:ascii="Arial" w:hAnsi="Arial" w:cs="Arial"/>
          <w:iCs/>
          <w:sz w:val="21"/>
          <w:szCs w:val="21"/>
        </w:rPr>
        <w:t xml:space="preserve">, mentre </w:t>
      </w:r>
      <w:r w:rsidRPr="00AB2A4D">
        <w:rPr>
          <w:rFonts w:ascii="Arial" w:hAnsi="Arial" w:cs="Arial"/>
          <w:iCs/>
          <w:sz w:val="21"/>
          <w:szCs w:val="21"/>
        </w:rPr>
        <w:t xml:space="preserve">quelli dei servizi </w:t>
      </w:r>
      <w:r w:rsidR="00CA06C4">
        <w:rPr>
          <w:rFonts w:ascii="Arial" w:hAnsi="Arial" w:cs="Arial"/>
          <w:iCs/>
          <w:sz w:val="21"/>
          <w:szCs w:val="21"/>
        </w:rPr>
        <w:t>accelerano (da +3,0% a +4,2</w:t>
      </w:r>
      <w:r w:rsidRPr="00AB2A4D">
        <w:rPr>
          <w:rFonts w:ascii="Arial" w:hAnsi="Arial" w:cs="Arial"/>
          <w:iCs/>
          <w:sz w:val="21"/>
          <w:szCs w:val="21"/>
        </w:rPr>
        <w:t xml:space="preserve">%). </w:t>
      </w:r>
      <w:r>
        <w:rPr>
          <w:rFonts w:ascii="Arial" w:hAnsi="Arial" w:cs="Arial"/>
          <w:iCs/>
          <w:sz w:val="21"/>
          <w:szCs w:val="21"/>
        </w:rPr>
        <w:t>Conseguentemente, i</w:t>
      </w:r>
      <w:r w:rsidRPr="00AB2A4D">
        <w:rPr>
          <w:rFonts w:ascii="Arial" w:hAnsi="Arial" w:cs="Arial"/>
          <w:iCs/>
          <w:sz w:val="21"/>
          <w:szCs w:val="21"/>
        </w:rPr>
        <w:t>l differenziale inflazionistico</w:t>
      </w:r>
      <w:r w:rsidR="00FC1C2C">
        <w:rPr>
          <w:rFonts w:ascii="Arial" w:hAnsi="Arial" w:cs="Arial"/>
          <w:iCs/>
          <w:sz w:val="21"/>
          <w:szCs w:val="21"/>
        </w:rPr>
        <w:t xml:space="preserve"> </w:t>
      </w:r>
      <w:r w:rsidRPr="00AB2A4D">
        <w:rPr>
          <w:rFonts w:ascii="Arial" w:hAnsi="Arial" w:cs="Arial"/>
          <w:iCs/>
          <w:sz w:val="21"/>
          <w:szCs w:val="21"/>
        </w:rPr>
        <w:t xml:space="preserve">fra il tasso di variazione </w:t>
      </w:r>
      <w:r>
        <w:rPr>
          <w:rFonts w:ascii="Arial" w:hAnsi="Arial" w:cs="Arial"/>
          <w:iCs/>
          <w:sz w:val="21"/>
          <w:szCs w:val="21"/>
        </w:rPr>
        <w:t xml:space="preserve">medio annuo </w:t>
      </w:r>
      <w:r w:rsidRPr="00AB2A4D">
        <w:rPr>
          <w:rFonts w:ascii="Arial" w:hAnsi="Arial" w:cs="Arial"/>
          <w:iCs/>
          <w:sz w:val="21"/>
          <w:szCs w:val="21"/>
        </w:rPr>
        <w:t>dei prezzi dei servizi e quello dei prezzi dei beni</w:t>
      </w:r>
      <w:r>
        <w:rPr>
          <w:rFonts w:ascii="Arial" w:hAnsi="Arial" w:cs="Arial"/>
          <w:iCs/>
          <w:sz w:val="21"/>
          <w:szCs w:val="21"/>
        </w:rPr>
        <w:t xml:space="preserve">, si </w:t>
      </w:r>
      <w:r w:rsidR="00CA06C4">
        <w:rPr>
          <w:rFonts w:ascii="Arial" w:hAnsi="Arial" w:cs="Arial"/>
          <w:iCs/>
          <w:sz w:val="21"/>
          <w:szCs w:val="21"/>
        </w:rPr>
        <w:t>riduce</w:t>
      </w:r>
      <w:r>
        <w:rPr>
          <w:rFonts w:ascii="Arial" w:hAnsi="Arial" w:cs="Arial"/>
          <w:iCs/>
          <w:sz w:val="21"/>
          <w:szCs w:val="21"/>
        </w:rPr>
        <w:t xml:space="preserve">, passando da </w:t>
      </w:r>
      <w:r w:rsidRPr="00AB2A4D">
        <w:rPr>
          <w:rFonts w:ascii="Arial" w:hAnsi="Arial" w:cs="Arial"/>
          <w:iCs/>
          <w:sz w:val="21"/>
          <w:szCs w:val="21"/>
        </w:rPr>
        <w:t>-</w:t>
      </w:r>
      <w:r w:rsidR="00CA06C4">
        <w:rPr>
          <w:rFonts w:ascii="Arial" w:hAnsi="Arial" w:cs="Arial"/>
          <w:iCs/>
          <w:sz w:val="21"/>
          <w:szCs w:val="21"/>
        </w:rPr>
        <w:t>8,9</w:t>
      </w:r>
      <w:r w:rsidRPr="00AB2A4D">
        <w:rPr>
          <w:rFonts w:ascii="Arial" w:hAnsi="Arial" w:cs="Arial"/>
          <w:iCs/>
          <w:sz w:val="21"/>
          <w:szCs w:val="21"/>
        </w:rPr>
        <w:t xml:space="preserve"> </w:t>
      </w:r>
      <w:r>
        <w:rPr>
          <w:rFonts w:ascii="Arial" w:hAnsi="Arial" w:cs="Arial"/>
          <w:iCs/>
          <w:sz w:val="21"/>
          <w:szCs w:val="21"/>
        </w:rPr>
        <w:t xml:space="preserve">a </w:t>
      </w:r>
      <w:r w:rsidR="00CA06C4">
        <w:rPr>
          <w:rFonts w:ascii="Arial" w:hAnsi="Arial" w:cs="Arial"/>
          <w:iCs/>
          <w:sz w:val="21"/>
          <w:szCs w:val="21"/>
        </w:rPr>
        <w:t>-2,2</w:t>
      </w:r>
      <w:r w:rsidRPr="00AB2A4D">
        <w:rPr>
          <w:rFonts w:ascii="Arial" w:hAnsi="Arial" w:cs="Arial"/>
          <w:iCs/>
          <w:sz w:val="21"/>
          <w:szCs w:val="21"/>
        </w:rPr>
        <w:t xml:space="preserve"> punti percentuali</w:t>
      </w:r>
      <w:r>
        <w:rPr>
          <w:rFonts w:ascii="Arial" w:hAnsi="Arial" w:cs="Arial"/>
          <w:iCs/>
          <w:sz w:val="21"/>
          <w:szCs w:val="21"/>
        </w:rPr>
        <w:t xml:space="preserve"> </w:t>
      </w:r>
      <w:r w:rsidRPr="00AB2A4D">
        <w:rPr>
          <w:rFonts w:ascii="Arial" w:hAnsi="Arial" w:cs="Arial"/>
          <w:iCs/>
          <w:sz w:val="21"/>
          <w:szCs w:val="21"/>
        </w:rPr>
        <w:t>(Prospetto 7).</w:t>
      </w:r>
    </w:p>
    <w:p w:rsidR="003346B6" w:rsidRPr="00AB2A4D" w:rsidRDefault="00CA06C4" w:rsidP="003346B6">
      <w:pPr>
        <w:tabs>
          <w:tab w:val="left" w:pos="2940"/>
        </w:tabs>
        <w:spacing w:before="0" w:after="120"/>
        <w:jc w:val="both"/>
        <w:rPr>
          <w:rFonts w:ascii="Arial" w:hAnsi="Arial" w:cs="Arial"/>
          <w:iCs/>
          <w:sz w:val="21"/>
          <w:szCs w:val="21"/>
        </w:rPr>
      </w:pPr>
      <w:r>
        <w:rPr>
          <w:rFonts w:ascii="Arial" w:hAnsi="Arial" w:cs="Arial"/>
          <w:iCs/>
          <w:sz w:val="21"/>
          <w:szCs w:val="21"/>
        </w:rPr>
        <w:t>Il rallentamento</w:t>
      </w:r>
      <w:r w:rsidR="003346B6" w:rsidRPr="00AB2A4D">
        <w:rPr>
          <w:rFonts w:ascii="Arial" w:hAnsi="Arial" w:cs="Arial"/>
          <w:iCs/>
          <w:sz w:val="21"/>
          <w:szCs w:val="21"/>
        </w:rPr>
        <w:t xml:space="preserve"> </w:t>
      </w:r>
      <w:r w:rsidR="003346B6">
        <w:rPr>
          <w:rFonts w:ascii="Arial" w:hAnsi="Arial" w:cs="Arial"/>
          <w:iCs/>
          <w:sz w:val="21"/>
          <w:szCs w:val="21"/>
        </w:rPr>
        <w:t>med</w:t>
      </w:r>
      <w:r>
        <w:rPr>
          <w:rFonts w:ascii="Arial" w:hAnsi="Arial" w:cs="Arial"/>
          <w:iCs/>
          <w:sz w:val="21"/>
          <w:szCs w:val="21"/>
        </w:rPr>
        <w:t>io annuo</w:t>
      </w:r>
      <w:r w:rsidR="003346B6">
        <w:rPr>
          <w:rFonts w:ascii="Arial" w:hAnsi="Arial" w:cs="Arial"/>
          <w:iCs/>
          <w:sz w:val="21"/>
          <w:szCs w:val="21"/>
        </w:rPr>
        <w:t xml:space="preserve"> dei prezzi dei </w:t>
      </w:r>
      <w:r w:rsidR="003346B6" w:rsidRPr="00AB2A4D">
        <w:rPr>
          <w:rFonts w:ascii="Arial" w:hAnsi="Arial" w:cs="Arial"/>
          <w:iCs/>
          <w:sz w:val="21"/>
          <w:szCs w:val="21"/>
        </w:rPr>
        <w:t xml:space="preserve">beni </w:t>
      </w:r>
      <w:r w:rsidR="00F933AA">
        <w:rPr>
          <w:rFonts w:ascii="Arial" w:hAnsi="Arial" w:cs="Arial"/>
          <w:iCs/>
          <w:sz w:val="21"/>
          <w:szCs w:val="21"/>
        </w:rPr>
        <w:t>riflette la</w:t>
      </w:r>
      <w:r w:rsidR="003346B6">
        <w:rPr>
          <w:rFonts w:ascii="Arial" w:hAnsi="Arial" w:cs="Arial"/>
          <w:iCs/>
          <w:sz w:val="21"/>
          <w:szCs w:val="21"/>
        </w:rPr>
        <w:t xml:space="preserve"> loro progressiva </w:t>
      </w:r>
      <w:r>
        <w:rPr>
          <w:rFonts w:ascii="Arial" w:hAnsi="Arial" w:cs="Arial"/>
          <w:iCs/>
          <w:sz w:val="21"/>
          <w:szCs w:val="21"/>
        </w:rPr>
        <w:t>de</w:t>
      </w:r>
      <w:r w:rsidR="003346B6">
        <w:rPr>
          <w:rFonts w:ascii="Arial" w:hAnsi="Arial" w:cs="Arial"/>
          <w:iCs/>
          <w:sz w:val="21"/>
          <w:szCs w:val="21"/>
        </w:rPr>
        <w:t>celerazione tendenziale</w:t>
      </w:r>
      <w:r w:rsidR="004C6E82">
        <w:rPr>
          <w:rFonts w:ascii="Arial" w:hAnsi="Arial" w:cs="Arial"/>
          <w:iCs/>
          <w:sz w:val="21"/>
          <w:szCs w:val="21"/>
        </w:rPr>
        <w:t>,</w:t>
      </w:r>
      <w:r w:rsidR="003346B6">
        <w:rPr>
          <w:rFonts w:ascii="Arial" w:hAnsi="Arial" w:cs="Arial"/>
          <w:iCs/>
          <w:sz w:val="21"/>
          <w:szCs w:val="21"/>
        </w:rPr>
        <w:t xml:space="preserve"> registrata nel corso dei quattro trimestri dell’anno: d</w:t>
      </w:r>
      <w:r w:rsidR="003346B6" w:rsidRPr="00AB2A4D">
        <w:rPr>
          <w:rFonts w:ascii="Arial" w:hAnsi="Arial" w:cs="Arial"/>
          <w:iCs/>
          <w:sz w:val="21"/>
          <w:szCs w:val="21"/>
        </w:rPr>
        <w:t xml:space="preserve">al </w:t>
      </w:r>
      <w:r>
        <w:rPr>
          <w:rFonts w:ascii="Arial" w:hAnsi="Arial" w:cs="Arial"/>
          <w:iCs/>
          <w:sz w:val="21"/>
          <w:szCs w:val="21"/>
        </w:rPr>
        <w:t>+12,0</w:t>
      </w:r>
      <w:r w:rsidR="003346B6">
        <w:rPr>
          <w:rFonts w:ascii="Arial" w:hAnsi="Arial" w:cs="Arial"/>
          <w:iCs/>
          <w:sz w:val="21"/>
          <w:szCs w:val="21"/>
        </w:rPr>
        <w:t xml:space="preserve">% del </w:t>
      </w:r>
      <w:r w:rsidR="003346B6" w:rsidRPr="00AB2A4D">
        <w:rPr>
          <w:rFonts w:ascii="Arial" w:hAnsi="Arial" w:cs="Arial"/>
          <w:iCs/>
          <w:sz w:val="21"/>
          <w:szCs w:val="21"/>
        </w:rPr>
        <w:t>primo trimestre</w:t>
      </w:r>
      <w:r w:rsidR="003346B6">
        <w:rPr>
          <w:rFonts w:ascii="Arial" w:hAnsi="Arial" w:cs="Arial"/>
          <w:iCs/>
          <w:sz w:val="21"/>
          <w:szCs w:val="21"/>
        </w:rPr>
        <w:t>,</w:t>
      </w:r>
      <w:r w:rsidR="003346B6" w:rsidRPr="00AB2A4D">
        <w:rPr>
          <w:rFonts w:ascii="Arial" w:hAnsi="Arial" w:cs="Arial"/>
          <w:iCs/>
          <w:sz w:val="21"/>
          <w:szCs w:val="21"/>
        </w:rPr>
        <w:t xml:space="preserve"> </w:t>
      </w:r>
      <w:r w:rsidR="003346B6">
        <w:rPr>
          <w:rFonts w:ascii="Arial" w:hAnsi="Arial" w:cs="Arial"/>
          <w:iCs/>
          <w:sz w:val="21"/>
          <w:szCs w:val="21"/>
        </w:rPr>
        <w:t>a</w:t>
      </w:r>
      <w:r w:rsidR="003346B6" w:rsidRPr="00AB2A4D">
        <w:rPr>
          <w:rFonts w:ascii="Arial" w:hAnsi="Arial" w:cs="Arial"/>
          <w:iCs/>
          <w:sz w:val="21"/>
          <w:szCs w:val="21"/>
        </w:rPr>
        <w:t xml:space="preserve">l </w:t>
      </w:r>
      <w:r w:rsidR="007D026B">
        <w:rPr>
          <w:rFonts w:ascii="Arial" w:hAnsi="Arial" w:cs="Arial"/>
          <w:iCs/>
          <w:sz w:val="21"/>
          <w:szCs w:val="21"/>
        </w:rPr>
        <w:t>minimo</w:t>
      </w:r>
      <w:r w:rsidR="003346B6" w:rsidRPr="00AB2A4D">
        <w:rPr>
          <w:rFonts w:ascii="Arial" w:hAnsi="Arial" w:cs="Arial"/>
          <w:iCs/>
          <w:sz w:val="21"/>
          <w:szCs w:val="21"/>
        </w:rPr>
        <w:t xml:space="preserve"> </w:t>
      </w:r>
      <w:r w:rsidR="003346B6">
        <w:rPr>
          <w:rFonts w:ascii="Arial" w:hAnsi="Arial" w:cs="Arial"/>
          <w:iCs/>
          <w:sz w:val="21"/>
          <w:szCs w:val="21"/>
        </w:rPr>
        <w:t>d</w:t>
      </w:r>
      <w:r w:rsidR="003346B6" w:rsidRPr="00AB2A4D">
        <w:rPr>
          <w:rFonts w:ascii="Arial" w:hAnsi="Arial" w:cs="Arial"/>
          <w:iCs/>
          <w:sz w:val="21"/>
          <w:szCs w:val="21"/>
        </w:rPr>
        <w:t>el quarto trimestre</w:t>
      </w:r>
      <w:r w:rsidR="003346B6">
        <w:rPr>
          <w:rFonts w:ascii="Arial" w:hAnsi="Arial" w:cs="Arial"/>
          <w:iCs/>
          <w:sz w:val="21"/>
          <w:szCs w:val="21"/>
        </w:rPr>
        <w:t xml:space="preserve">, quando </w:t>
      </w:r>
      <w:r w:rsidR="007D026B">
        <w:rPr>
          <w:rFonts w:ascii="Arial" w:hAnsi="Arial" w:cs="Arial"/>
          <w:iCs/>
          <w:sz w:val="21"/>
          <w:szCs w:val="21"/>
        </w:rPr>
        <w:t>la variazione media annua è scesa su valori negativi (-1,0</w:t>
      </w:r>
      <w:r w:rsidR="003346B6" w:rsidRPr="00AB2A4D">
        <w:rPr>
          <w:rFonts w:ascii="Arial" w:hAnsi="Arial" w:cs="Arial"/>
          <w:iCs/>
          <w:sz w:val="21"/>
          <w:szCs w:val="21"/>
        </w:rPr>
        <w:t>%</w:t>
      </w:r>
      <w:r w:rsidR="007D026B">
        <w:rPr>
          <w:rFonts w:ascii="Arial" w:hAnsi="Arial" w:cs="Arial"/>
          <w:iCs/>
          <w:sz w:val="21"/>
          <w:szCs w:val="21"/>
        </w:rPr>
        <w:t>)</w:t>
      </w:r>
      <w:r w:rsidR="003346B6" w:rsidRPr="00AB2A4D">
        <w:rPr>
          <w:rFonts w:ascii="Arial" w:hAnsi="Arial" w:cs="Arial"/>
          <w:iCs/>
          <w:sz w:val="21"/>
          <w:szCs w:val="21"/>
        </w:rPr>
        <w:t>.</w:t>
      </w:r>
    </w:p>
    <w:p w:rsidR="003346B6" w:rsidRPr="00AB2A4D" w:rsidRDefault="003346B6" w:rsidP="003346B6">
      <w:pPr>
        <w:tabs>
          <w:tab w:val="left" w:pos="2940"/>
        </w:tabs>
        <w:spacing w:before="0" w:after="120"/>
        <w:jc w:val="both"/>
        <w:rPr>
          <w:rFonts w:ascii="Arial" w:hAnsi="Arial" w:cs="Arial"/>
          <w:iCs/>
          <w:sz w:val="21"/>
          <w:szCs w:val="21"/>
        </w:rPr>
      </w:pPr>
      <w:r w:rsidRPr="00AB2A4D">
        <w:rPr>
          <w:rFonts w:ascii="Arial" w:hAnsi="Arial" w:cs="Arial"/>
          <w:iCs/>
          <w:sz w:val="21"/>
          <w:szCs w:val="21"/>
        </w:rPr>
        <w:t>L’andamento dei prezzi dei beni nel 202</w:t>
      </w:r>
      <w:r w:rsidR="00A34F9E">
        <w:rPr>
          <w:rFonts w:ascii="Arial" w:hAnsi="Arial" w:cs="Arial"/>
          <w:iCs/>
          <w:sz w:val="21"/>
          <w:szCs w:val="21"/>
        </w:rPr>
        <w:t>3</w:t>
      </w:r>
      <w:r w:rsidRPr="00AB2A4D">
        <w:rPr>
          <w:rFonts w:ascii="Arial" w:hAnsi="Arial" w:cs="Arial"/>
          <w:iCs/>
          <w:sz w:val="21"/>
          <w:szCs w:val="21"/>
        </w:rPr>
        <w:t xml:space="preserve">, così come quello dell’indice generale, è </w:t>
      </w:r>
      <w:r w:rsidR="0016436C">
        <w:rPr>
          <w:rFonts w:ascii="Arial" w:hAnsi="Arial" w:cs="Arial"/>
          <w:iCs/>
          <w:sz w:val="21"/>
          <w:szCs w:val="21"/>
        </w:rPr>
        <w:t>influenzato</w:t>
      </w:r>
      <w:r w:rsidRPr="00AB2A4D">
        <w:rPr>
          <w:rFonts w:ascii="Arial" w:hAnsi="Arial" w:cs="Arial"/>
          <w:iCs/>
          <w:sz w:val="21"/>
          <w:szCs w:val="21"/>
        </w:rPr>
        <w:t xml:space="preserve"> </w:t>
      </w:r>
      <w:r>
        <w:rPr>
          <w:rFonts w:ascii="Arial" w:hAnsi="Arial" w:cs="Arial"/>
          <w:iCs/>
          <w:sz w:val="21"/>
          <w:szCs w:val="21"/>
        </w:rPr>
        <w:t xml:space="preserve">essenzialmente </w:t>
      </w:r>
      <w:r w:rsidRPr="00AB2A4D">
        <w:rPr>
          <w:rFonts w:ascii="Arial" w:hAnsi="Arial" w:cs="Arial"/>
          <w:iCs/>
          <w:sz w:val="21"/>
          <w:szCs w:val="21"/>
        </w:rPr>
        <w:t xml:space="preserve">dai prezzi dei Beni energetici, che </w:t>
      </w:r>
      <w:r w:rsidR="0016436C">
        <w:rPr>
          <w:rFonts w:ascii="Arial" w:hAnsi="Arial" w:cs="Arial"/>
          <w:iCs/>
          <w:sz w:val="21"/>
          <w:szCs w:val="21"/>
        </w:rPr>
        <w:t>frenano in media d’anno da</w:t>
      </w:r>
      <w:r w:rsidRPr="00AB2A4D">
        <w:rPr>
          <w:rFonts w:ascii="Arial" w:hAnsi="Arial" w:cs="Arial"/>
          <w:iCs/>
          <w:sz w:val="21"/>
          <w:szCs w:val="21"/>
        </w:rPr>
        <w:t xml:space="preserve">l </w:t>
      </w:r>
      <w:r w:rsidR="00267BA3">
        <w:rPr>
          <w:rFonts w:ascii="Arial" w:hAnsi="Arial" w:cs="Arial"/>
          <w:iCs/>
          <w:sz w:val="21"/>
          <w:szCs w:val="21"/>
        </w:rPr>
        <w:t>+</w:t>
      </w:r>
      <w:r w:rsidRPr="00AB2A4D">
        <w:rPr>
          <w:rFonts w:ascii="Arial" w:hAnsi="Arial" w:cs="Arial"/>
          <w:iCs/>
          <w:sz w:val="21"/>
          <w:szCs w:val="21"/>
        </w:rPr>
        <w:t xml:space="preserve">50,9% </w:t>
      </w:r>
      <w:r w:rsidR="00267BA3">
        <w:rPr>
          <w:rFonts w:ascii="Arial" w:hAnsi="Arial" w:cs="Arial"/>
          <w:iCs/>
          <w:sz w:val="21"/>
          <w:szCs w:val="21"/>
        </w:rPr>
        <w:t>del 2022 al +</w:t>
      </w:r>
      <w:r w:rsidR="0016436C">
        <w:rPr>
          <w:rFonts w:ascii="Arial" w:hAnsi="Arial" w:cs="Arial"/>
          <w:iCs/>
          <w:sz w:val="21"/>
          <w:szCs w:val="21"/>
        </w:rPr>
        <w:t>1,2</w:t>
      </w:r>
      <w:r w:rsidR="00267BA3">
        <w:rPr>
          <w:rFonts w:ascii="Arial" w:hAnsi="Arial" w:cs="Arial"/>
          <w:iCs/>
          <w:sz w:val="21"/>
          <w:szCs w:val="21"/>
        </w:rPr>
        <w:t>%</w:t>
      </w:r>
      <w:r w:rsidRPr="00AB2A4D">
        <w:rPr>
          <w:rFonts w:ascii="Arial" w:hAnsi="Arial" w:cs="Arial"/>
          <w:iCs/>
          <w:sz w:val="21"/>
          <w:szCs w:val="21"/>
        </w:rPr>
        <w:t xml:space="preserve">, registrando anch’essi, in corso d’anno, la variazione più </w:t>
      </w:r>
      <w:r w:rsidR="0016436C">
        <w:rPr>
          <w:rFonts w:ascii="Arial" w:hAnsi="Arial" w:cs="Arial"/>
          <w:iCs/>
          <w:sz w:val="21"/>
          <w:szCs w:val="21"/>
        </w:rPr>
        <w:t>bassa</w:t>
      </w:r>
      <w:r w:rsidRPr="00AB2A4D">
        <w:rPr>
          <w:rFonts w:ascii="Arial" w:hAnsi="Arial" w:cs="Arial"/>
          <w:iCs/>
          <w:sz w:val="21"/>
          <w:szCs w:val="21"/>
        </w:rPr>
        <w:t xml:space="preserve"> nel</w:t>
      </w:r>
      <w:r>
        <w:rPr>
          <w:rFonts w:ascii="Arial" w:hAnsi="Arial" w:cs="Arial"/>
          <w:iCs/>
          <w:sz w:val="21"/>
          <w:szCs w:val="21"/>
        </w:rPr>
        <w:t xml:space="preserve">l’ultimo </w:t>
      </w:r>
      <w:r w:rsidRPr="00AB2A4D">
        <w:rPr>
          <w:rFonts w:ascii="Arial" w:hAnsi="Arial" w:cs="Arial"/>
          <w:iCs/>
          <w:sz w:val="21"/>
          <w:szCs w:val="21"/>
        </w:rPr>
        <w:t>trimestre (</w:t>
      </w:r>
      <w:r w:rsidR="0016436C">
        <w:rPr>
          <w:rFonts w:ascii="Arial" w:hAnsi="Arial" w:cs="Arial"/>
          <w:iCs/>
          <w:sz w:val="21"/>
          <w:szCs w:val="21"/>
        </w:rPr>
        <w:t>-23,0</w:t>
      </w:r>
      <w:r w:rsidRPr="00AB2A4D">
        <w:rPr>
          <w:rFonts w:ascii="Arial" w:hAnsi="Arial" w:cs="Arial"/>
          <w:iCs/>
          <w:sz w:val="21"/>
          <w:szCs w:val="21"/>
        </w:rPr>
        <w:t xml:space="preserve">%). </w:t>
      </w:r>
    </w:p>
    <w:p w:rsidR="003346B6" w:rsidRDefault="003346B6" w:rsidP="003346B6">
      <w:pPr>
        <w:tabs>
          <w:tab w:val="left" w:pos="2940"/>
        </w:tabs>
        <w:spacing w:before="0" w:after="120"/>
        <w:jc w:val="both"/>
        <w:rPr>
          <w:rFonts w:ascii="Arial" w:hAnsi="Arial" w:cs="Arial"/>
          <w:iCs/>
          <w:sz w:val="21"/>
          <w:szCs w:val="21"/>
        </w:rPr>
      </w:pPr>
      <w:r w:rsidRPr="00D25B26">
        <w:rPr>
          <w:rFonts w:ascii="Arial" w:hAnsi="Arial" w:cs="Arial"/>
          <w:iCs/>
          <w:sz w:val="21"/>
          <w:szCs w:val="21"/>
        </w:rPr>
        <w:t xml:space="preserve">In particolare i prezzi dei Beni energetici </w:t>
      </w:r>
      <w:r w:rsidR="001607C5">
        <w:rPr>
          <w:rFonts w:ascii="Arial" w:hAnsi="Arial" w:cs="Arial"/>
          <w:iCs/>
          <w:sz w:val="21"/>
          <w:szCs w:val="21"/>
        </w:rPr>
        <w:t xml:space="preserve">regolamentati </w:t>
      </w:r>
      <w:r w:rsidR="00C1478E">
        <w:rPr>
          <w:rFonts w:ascii="Arial" w:hAnsi="Arial" w:cs="Arial"/>
          <w:iCs/>
          <w:sz w:val="21"/>
          <w:szCs w:val="21"/>
        </w:rPr>
        <w:t>rallentano</w:t>
      </w:r>
      <w:r w:rsidR="008B45CF">
        <w:rPr>
          <w:rFonts w:ascii="Arial" w:hAnsi="Arial" w:cs="Arial"/>
          <w:iCs/>
          <w:sz w:val="21"/>
          <w:szCs w:val="21"/>
        </w:rPr>
        <w:t xml:space="preserve"> in misura consistente </w:t>
      </w:r>
      <w:r w:rsidR="00BA6FBA" w:rsidRPr="00D25B26">
        <w:rPr>
          <w:rFonts w:ascii="Arial" w:hAnsi="Arial" w:cs="Arial"/>
          <w:iCs/>
          <w:sz w:val="21"/>
          <w:szCs w:val="21"/>
        </w:rPr>
        <w:t>da +65,6% del 202</w:t>
      </w:r>
      <w:r w:rsidR="00BA6FBA">
        <w:rPr>
          <w:rFonts w:ascii="Arial" w:hAnsi="Arial" w:cs="Arial"/>
          <w:iCs/>
          <w:sz w:val="21"/>
          <w:szCs w:val="21"/>
        </w:rPr>
        <w:t>2 a</w:t>
      </w:r>
      <w:r w:rsidR="008B45CF">
        <w:rPr>
          <w:rFonts w:ascii="Arial" w:hAnsi="Arial" w:cs="Arial"/>
          <w:iCs/>
          <w:sz w:val="21"/>
          <w:szCs w:val="21"/>
        </w:rPr>
        <w:t xml:space="preserve"> </w:t>
      </w:r>
      <w:r w:rsidR="00FC3151">
        <w:rPr>
          <w:rFonts w:ascii="Arial" w:hAnsi="Arial" w:cs="Arial"/>
          <w:iCs/>
          <w:sz w:val="21"/>
          <w:szCs w:val="21"/>
        </w:rPr>
        <w:t>-</w:t>
      </w:r>
      <w:r w:rsidR="008B45CF">
        <w:rPr>
          <w:rFonts w:ascii="Arial" w:hAnsi="Arial" w:cs="Arial"/>
          <w:iCs/>
          <w:sz w:val="21"/>
          <w:szCs w:val="21"/>
        </w:rPr>
        <w:t>27,8%</w:t>
      </w:r>
      <w:r w:rsidRPr="00D25B26">
        <w:rPr>
          <w:rFonts w:ascii="Arial" w:hAnsi="Arial" w:cs="Arial"/>
          <w:iCs/>
          <w:sz w:val="21"/>
          <w:szCs w:val="21"/>
        </w:rPr>
        <w:t xml:space="preserve">, </w:t>
      </w:r>
      <w:r w:rsidRPr="001607C5">
        <w:rPr>
          <w:rFonts w:ascii="Arial" w:hAnsi="Arial" w:cs="Arial"/>
          <w:iCs/>
          <w:sz w:val="21"/>
          <w:szCs w:val="21"/>
        </w:rPr>
        <w:t xml:space="preserve">per effetto della dinamica </w:t>
      </w:r>
      <w:r w:rsidR="00EF54B4" w:rsidRPr="001607C5">
        <w:rPr>
          <w:rFonts w:ascii="Arial" w:hAnsi="Arial" w:cs="Arial"/>
          <w:iCs/>
          <w:sz w:val="21"/>
          <w:szCs w:val="21"/>
        </w:rPr>
        <w:t xml:space="preserve">sia </w:t>
      </w:r>
      <w:r w:rsidRPr="001607C5">
        <w:rPr>
          <w:rFonts w:ascii="Arial" w:hAnsi="Arial" w:cs="Arial"/>
          <w:iCs/>
          <w:sz w:val="21"/>
          <w:szCs w:val="21"/>
        </w:rPr>
        <w:t xml:space="preserve">dei prezzi </w:t>
      </w:r>
      <w:r w:rsidR="00914A7F" w:rsidRPr="001607C5">
        <w:rPr>
          <w:rFonts w:ascii="Arial" w:hAnsi="Arial" w:cs="Arial"/>
          <w:iCs/>
          <w:sz w:val="21"/>
          <w:szCs w:val="21"/>
        </w:rPr>
        <w:t>dell’Energia elettrica mercato tutelato (da +80,3% a -25,7%)</w:t>
      </w:r>
      <w:r w:rsidR="00914A7F">
        <w:rPr>
          <w:rFonts w:ascii="Arial" w:hAnsi="Arial" w:cs="Arial"/>
          <w:iCs/>
          <w:sz w:val="21"/>
          <w:szCs w:val="21"/>
        </w:rPr>
        <w:t xml:space="preserve"> </w:t>
      </w:r>
      <w:r w:rsidR="00914A7F" w:rsidRPr="001607C5">
        <w:rPr>
          <w:rFonts w:ascii="Arial" w:hAnsi="Arial" w:cs="Arial"/>
          <w:iCs/>
          <w:sz w:val="21"/>
          <w:szCs w:val="21"/>
        </w:rPr>
        <w:t xml:space="preserve">sia di quelli </w:t>
      </w:r>
      <w:r w:rsidRPr="001607C5">
        <w:rPr>
          <w:rFonts w:ascii="Arial" w:hAnsi="Arial" w:cs="Arial"/>
          <w:iCs/>
          <w:sz w:val="21"/>
          <w:szCs w:val="21"/>
        </w:rPr>
        <w:t>del Gas di città e gas naturale mercato tutelato (da +</w:t>
      </w:r>
      <w:r w:rsidR="001607C5" w:rsidRPr="001607C5">
        <w:rPr>
          <w:rFonts w:ascii="Arial" w:hAnsi="Arial" w:cs="Arial"/>
          <w:iCs/>
          <w:sz w:val="21"/>
          <w:szCs w:val="21"/>
        </w:rPr>
        <w:t>50,7% a -31,0</w:t>
      </w:r>
      <w:r w:rsidRPr="001607C5">
        <w:rPr>
          <w:rFonts w:ascii="Arial" w:hAnsi="Arial" w:cs="Arial"/>
          <w:iCs/>
          <w:sz w:val="21"/>
          <w:szCs w:val="21"/>
        </w:rPr>
        <w:t xml:space="preserve">%). </w:t>
      </w:r>
      <w:r w:rsidRPr="00E924AA">
        <w:rPr>
          <w:rFonts w:ascii="Arial" w:hAnsi="Arial" w:cs="Arial"/>
          <w:iCs/>
          <w:sz w:val="21"/>
          <w:szCs w:val="21"/>
        </w:rPr>
        <w:t xml:space="preserve">Analizzando le variazioni trimestrali, nel primo trimestre i prezzi dei Beni energetici regolamentati </w:t>
      </w:r>
      <w:r w:rsidR="00F933AA">
        <w:rPr>
          <w:rFonts w:ascii="Arial" w:hAnsi="Arial" w:cs="Arial"/>
          <w:iCs/>
          <w:sz w:val="21"/>
          <w:szCs w:val="21"/>
        </w:rPr>
        <w:t>si riducono sensibilmente</w:t>
      </w:r>
      <w:r w:rsidRPr="00E924AA">
        <w:rPr>
          <w:rFonts w:ascii="Arial" w:hAnsi="Arial" w:cs="Arial"/>
          <w:iCs/>
          <w:sz w:val="21"/>
          <w:szCs w:val="21"/>
        </w:rPr>
        <w:t xml:space="preserve"> </w:t>
      </w:r>
      <w:r w:rsidR="00267BA3" w:rsidRPr="00E924AA">
        <w:rPr>
          <w:rFonts w:ascii="Arial" w:hAnsi="Arial" w:cs="Arial"/>
          <w:iCs/>
          <w:sz w:val="21"/>
          <w:szCs w:val="21"/>
        </w:rPr>
        <w:t>(-16,2%</w:t>
      </w:r>
      <w:r w:rsidRPr="00E924AA">
        <w:rPr>
          <w:rFonts w:ascii="Arial" w:hAnsi="Arial" w:cs="Arial"/>
          <w:iCs/>
          <w:sz w:val="21"/>
          <w:szCs w:val="21"/>
        </w:rPr>
        <w:t xml:space="preserve">), per poi </w:t>
      </w:r>
      <w:r w:rsidR="00267BA3" w:rsidRPr="00E924AA">
        <w:rPr>
          <w:rFonts w:ascii="Arial" w:hAnsi="Arial" w:cs="Arial"/>
          <w:iCs/>
          <w:sz w:val="21"/>
          <w:szCs w:val="21"/>
        </w:rPr>
        <w:t xml:space="preserve">accentuare ulteriormente la </w:t>
      </w:r>
      <w:r w:rsidR="00F933AA">
        <w:rPr>
          <w:rFonts w:ascii="Arial" w:hAnsi="Arial" w:cs="Arial"/>
          <w:iCs/>
          <w:sz w:val="21"/>
          <w:szCs w:val="21"/>
        </w:rPr>
        <w:t>flessione</w:t>
      </w:r>
      <w:r w:rsidR="00267BA3" w:rsidRPr="00E924AA">
        <w:rPr>
          <w:rFonts w:ascii="Arial" w:hAnsi="Arial" w:cs="Arial"/>
          <w:iCs/>
          <w:sz w:val="21"/>
          <w:szCs w:val="21"/>
        </w:rPr>
        <w:t xml:space="preserve"> </w:t>
      </w:r>
      <w:r w:rsidRPr="00E924AA">
        <w:rPr>
          <w:rFonts w:ascii="Arial" w:hAnsi="Arial" w:cs="Arial"/>
          <w:iCs/>
          <w:sz w:val="21"/>
          <w:szCs w:val="21"/>
        </w:rPr>
        <w:t>nei trimestri successivi (</w:t>
      </w:r>
      <w:r w:rsidR="00267BA3" w:rsidRPr="00E924AA">
        <w:rPr>
          <w:rFonts w:ascii="Arial" w:hAnsi="Arial" w:cs="Arial"/>
          <w:iCs/>
          <w:sz w:val="21"/>
          <w:szCs w:val="21"/>
        </w:rPr>
        <w:t>-28,7</w:t>
      </w:r>
      <w:r w:rsidRPr="00E924AA">
        <w:rPr>
          <w:rFonts w:ascii="Arial" w:hAnsi="Arial" w:cs="Arial"/>
          <w:iCs/>
          <w:sz w:val="21"/>
          <w:szCs w:val="21"/>
        </w:rPr>
        <w:t xml:space="preserve">% nel secondo trimestre, </w:t>
      </w:r>
      <w:r w:rsidR="00267BA3" w:rsidRPr="00E924AA">
        <w:rPr>
          <w:rFonts w:ascii="Arial" w:hAnsi="Arial" w:cs="Arial"/>
          <w:iCs/>
          <w:sz w:val="21"/>
          <w:szCs w:val="21"/>
        </w:rPr>
        <w:t>-29,3%</w:t>
      </w:r>
      <w:r w:rsidRPr="00E924AA">
        <w:rPr>
          <w:rFonts w:ascii="Arial" w:hAnsi="Arial" w:cs="Arial"/>
          <w:iCs/>
          <w:sz w:val="21"/>
          <w:szCs w:val="21"/>
        </w:rPr>
        <w:t xml:space="preserve"> nel terzo</w:t>
      </w:r>
      <w:r w:rsidR="0068482D">
        <w:rPr>
          <w:rFonts w:ascii="Arial" w:hAnsi="Arial" w:cs="Arial"/>
          <w:iCs/>
          <w:sz w:val="21"/>
          <w:szCs w:val="21"/>
        </w:rPr>
        <w:t>,</w:t>
      </w:r>
      <w:r w:rsidRPr="00E924AA">
        <w:rPr>
          <w:rFonts w:ascii="Arial" w:hAnsi="Arial" w:cs="Arial"/>
          <w:iCs/>
          <w:sz w:val="21"/>
          <w:szCs w:val="21"/>
        </w:rPr>
        <w:t xml:space="preserve"> </w:t>
      </w:r>
      <w:r w:rsidR="00267BA3" w:rsidRPr="00E924AA">
        <w:rPr>
          <w:rFonts w:ascii="Arial" w:hAnsi="Arial" w:cs="Arial"/>
          <w:iCs/>
          <w:sz w:val="21"/>
          <w:szCs w:val="21"/>
        </w:rPr>
        <w:t>-36,2% nell’ultimo</w:t>
      </w:r>
      <w:r w:rsidRPr="00E924AA">
        <w:rPr>
          <w:rFonts w:ascii="Arial" w:hAnsi="Arial" w:cs="Arial"/>
          <w:iCs/>
          <w:sz w:val="21"/>
          <w:szCs w:val="21"/>
        </w:rPr>
        <w:t>).</w:t>
      </w:r>
    </w:p>
    <w:p w:rsidR="00126C93" w:rsidRPr="00483740" w:rsidRDefault="00126C93" w:rsidP="00FF2F4C">
      <w:pPr>
        <w:tabs>
          <w:tab w:val="left" w:pos="2940"/>
        </w:tabs>
        <w:spacing w:before="0" w:after="120"/>
        <w:jc w:val="both"/>
        <w:rPr>
          <w:rFonts w:ascii="Arial" w:hAnsi="Arial" w:cs="Arial"/>
          <w:iCs/>
          <w:sz w:val="16"/>
          <w:szCs w:val="16"/>
        </w:rPr>
      </w:pPr>
    </w:p>
    <w:p w:rsidR="001A7A55" w:rsidRPr="00C8504B" w:rsidRDefault="00934B53" w:rsidP="001A7A55">
      <w:pPr>
        <w:pStyle w:val="Corpotesto"/>
        <w:tabs>
          <w:tab w:val="left" w:pos="6237"/>
        </w:tabs>
        <w:spacing w:after="120" w:line="240" w:lineRule="exact"/>
        <w:jc w:val="both"/>
        <w:rPr>
          <w:rFonts w:ascii="Arial Narrow" w:hAnsi="Arial Narrow" w:cs="Arial"/>
          <w:color w:val="5F5F5F"/>
        </w:rPr>
      </w:pPr>
      <w:r>
        <w:rPr>
          <w:rFonts w:ascii="Arial Narrow" w:hAnsi="Arial Narrow" w:cs="Arial"/>
          <w:b/>
          <w:color w:val="E42618"/>
          <w:sz w:val="22"/>
          <w:szCs w:val="22"/>
        </w:rPr>
        <w:t>PROSPETTO 7</w:t>
      </w:r>
      <w:r w:rsidRPr="00C8504B">
        <w:rPr>
          <w:rFonts w:ascii="Arial Narrow" w:hAnsi="Arial Narrow" w:cs="Arial"/>
          <w:b/>
          <w:color w:val="E42618"/>
          <w:sz w:val="22"/>
          <w:szCs w:val="22"/>
        </w:rPr>
        <w:t>.</w:t>
      </w:r>
      <w:r w:rsidRPr="00C8504B">
        <w:rPr>
          <w:rFonts w:ascii="Arial Narrow" w:hAnsi="Arial Narrow" w:cs="Arial"/>
          <w:b/>
          <w:color w:val="2298D1"/>
          <w:sz w:val="22"/>
          <w:szCs w:val="22"/>
        </w:rPr>
        <w:t xml:space="preserve"> </w:t>
      </w:r>
      <w:r w:rsidR="00461E41" w:rsidRPr="00C8504B">
        <w:rPr>
          <w:rFonts w:ascii="Arial Narrow" w:hAnsi="Arial Narrow" w:cs="Calibri"/>
          <w:b/>
          <w:bCs/>
          <w:color w:val="5F5F5F"/>
          <w:kern w:val="0"/>
          <w:sz w:val="22"/>
          <w:szCs w:val="22"/>
        </w:rPr>
        <w:t>INDICE DEI PREZZI AL CONSUMO NIC PER TIPOLOGIA DI PRODOTTO</w:t>
      </w:r>
      <w:r w:rsidRPr="00C8504B">
        <w:rPr>
          <w:rFonts w:ascii="Arial Narrow" w:hAnsi="Arial Narrow" w:cs="Arial"/>
          <w:b/>
          <w:caps/>
          <w:color w:val="5F5F5F"/>
        </w:rPr>
        <w:br/>
      </w:r>
      <w:r w:rsidR="00320EE6">
        <w:rPr>
          <w:rFonts w:ascii="Arial Narrow" w:hAnsi="Arial Narrow" w:cs="Arial"/>
          <w:color w:val="5F5F5F"/>
        </w:rPr>
        <w:t>Anno 202</w:t>
      </w:r>
      <w:r w:rsidR="00ED4F77">
        <w:rPr>
          <w:rFonts w:ascii="Arial Narrow" w:hAnsi="Arial Narrow" w:cs="Arial"/>
          <w:color w:val="5F5F5F"/>
        </w:rPr>
        <w:t>3</w:t>
      </w:r>
      <w:r w:rsidR="001A7A55" w:rsidRPr="001A7A55">
        <w:rPr>
          <w:rFonts w:ascii="Arial Narrow" w:hAnsi="Arial Narrow" w:cs="Arial"/>
          <w:color w:val="5F5F5F"/>
        </w:rPr>
        <w:t>, variazioni percentuali tendenziali e contributi alla variazione tendenziale dell’indice generale (base 2015=100)</w:t>
      </w:r>
      <w:r w:rsidR="001A7A55" w:rsidRPr="00C8504B">
        <w:rPr>
          <w:rFonts w:ascii="Arial Narrow" w:hAnsi="Arial Narrow" w:cs="Arial"/>
          <w:color w:val="5F5F5F"/>
        </w:rPr>
        <w:t xml:space="preserve"> </w:t>
      </w:r>
    </w:p>
    <w:tbl>
      <w:tblPr>
        <w:tblW w:w="10206" w:type="dxa"/>
        <w:tblInd w:w="70" w:type="dxa"/>
        <w:tblBorders>
          <w:top w:val="single" w:sz="4" w:space="0" w:color="000000"/>
          <w:bottom w:val="single" w:sz="4" w:space="0" w:color="000000"/>
          <w:insideH w:val="single" w:sz="4" w:space="0" w:color="000000"/>
        </w:tblBorders>
        <w:tblLayout w:type="fixed"/>
        <w:tblCellMar>
          <w:left w:w="70" w:type="dxa"/>
          <w:right w:w="0" w:type="dxa"/>
        </w:tblCellMar>
        <w:tblLook w:val="0000" w:firstRow="0" w:lastRow="0" w:firstColumn="0" w:lastColumn="0" w:noHBand="0" w:noVBand="0"/>
      </w:tblPr>
      <w:tblGrid>
        <w:gridCol w:w="2694"/>
        <w:gridCol w:w="567"/>
        <w:gridCol w:w="567"/>
        <w:gridCol w:w="567"/>
        <w:gridCol w:w="567"/>
        <w:gridCol w:w="567"/>
        <w:gridCol w:w="669"/>
        <w:gridCol w:w="845"/>
        <w:gridCol w:w="895"/>
        <w:gridCol w:w="851"/>
        <w:gridCol w:w="1417"/>
      </w:tblGrid>
      <w:tr w:rsidR="008B07E9" w:rsidRPr="00C8504B" w:rsidTr="0003751C">
        <w:trPr>
          <w:trHeight w:val="311"/>
        </w:trPr>
        <w:tc>
          <w:tcPr>
            <w:tcW w:w="2694" w:type="dxa"/>
            <w:vMerge w:val="restart"/>
            <w:vAlign w:val="center"/>
          </w:tcPr>
          <w:p w:rsidR="008B07E9" w:rsidRPr="00C8504B" w:rsidRDefault="008B07E9" w:rsidP="008B07E9">
            <w:pPr>
              <w:spacing w:before="40" w:after="20"/>
              <w:rPr>
                <w:rFonts w:ascii="Arial Narrow" w:hAnsi="Arial Narrow" w:cs="Arial"/>
                <w:bCs/>
                <w:sz w:val="18"/>
                <w:szCs w:val="18"/>
              </w:rPr>
            </w:pPr>
            <w:r w:rsidRPr="00C8504B">
              <w:rPr>
                <w:rFonts w:ascii="Arial Narrow" w:hAnsi="Arial Narrow" w:cs="Arial"/>
                <w:b/>
                <w:bCs/>
                <w:sz w:val="18"/>
                <w:szCs w:val="18"/>
              </w:rPr>
              <w:t>TIPOLOGIE DI PRODOTTO</w:t>
            </w:r>
          </w:p>
        </w:tc>
        <w:tc>
          <w:tcPr>
            <w:tcW w:w="3504" w:type="dxa"/>
            <w:gridSpan w:val="6"/>
            <w:shd w:val="clear" w:color="auto" w:fill="auto"/>
            <w:vAlign w:val="center"/>
          </w:tcPr>
          <w:p w:rsidR="008B07E9" w:rsidRPr="008814F3" w:rsidRDefault="008B07E9" w:rsidP="008B07E9">
            <w:pPr>
              <w:spacing w:before="40" w:after="20"/>
              <w:ind w:right="57"/>
              <w:jc w:val="center"/>
              <w:rPr>
                <w:rFonts w:ascii="Arial Narrow" w:hAnsi="Arial Narrow" w:cs="Arial"/>
                <w:b/>
                <w:bCs/>
                <w:kern w:val="0"/>
                <w:sz w:val="18"/>
                <w:szCs w:val="18"/>
              </w:rPr>
            </w:pPr>
            <w:r>
              <w:rPr>
                <w:rFonts w:ascii="Arial Narrow" w:hAnsi="Arial Narrow" w:cs="Arial"/>
                <w:b/>
                <w:bCs/>
                <w:kern w:val="0"/>
                <w:sz w:val="18"/>
                <w:szCs w:val="18"/>
              </w:rPr>
              <w:t>V</w:t>
            </w:r>
            <w:r w:rsidRPr="00E35895">
              <w:rPr>
                <w:rFonts w:ascii="Arial Narrow" w:hAnsi="Arial Narrow" w:cs="Arial"/>
                <w:b/>
                <w:bCs/>
                <w:kern w:val="0"/>
                <w:sz w:val="18"/>
                <w:szCs w:val="18"/>
              </w:rPr>
              <w:t>ariazioni medi</w:t>
            </w:r>
            <w:r>
              <w:rPr>
                <w:rFonts w:ascii="Arial Narrow" w:hAnsi="Arial Narrow" w:cs="Arial"/>
                <w:b/>
                <w:bCs/>
                <w:kern w:val="0"/>
                <w:sz w:val="18"/>
                <w:szCs w:val="18"/>
              </w:rPr>
              <w:t>e</w:t>
            </w:r>
          </w:p>
        </w:tc>
        <w:tc>
          <w:tcPr>
            <w:tcW w:w="845" w:type="dxa"/>
            <w:vMerge w:val="restart"/>
            <w:shd w:val="clear" w:color="auto" w:fill="D9D9D9" w:themeFill="background1" w:themeFillShade="D9"/>
            <w:vAlign w:val="center"/>
          </w:tcPr>
          <w:p w:rsidR="008B07E9" w:rsidRPr="00FD599C" w:rsidRDefault="008B07E9" w:rsidP="00ED4F77">
            <w:pPr>
              <w:spacing w:before="40" w:after="20"/>
              <w:ind w:right="57"/>
              <w:jc w:val="center"/>
              <w:rPr>
                <w:rFonts w:ascii="Arial Narrow" w:hAnsi="Arial Narrow" w:cs="Arial"/>
                <w:b/>
                <w:bCs/>
                <w:kern w:val="0"/>
                <w:sz w:val="18"/>
                <w:szCs w:val="18"/>
              </w:rPr>
            </w:pPr>
            <w:r w:rsidRPr="00FD599C">
              <w:rPr>
                <w:rFonts w:ascii="Arial Narrow" w:hAnsi="Arial Narrow" w:cs="Arial"/>
                <w:b/>
                <w:bCs/>
                <w:kern w:val="0"/>
                <w:sz w:val="18"/>
                <w:szCs w:val="18"/>
              </w:rPr>
              <w:t>Inflazione ereditata</w:t>
            </w:r>
            <w:r>
              <w:rPr>
                <w:rFonts w:ascii="Arial Narrow" w:hAnsi="Arial Narrow" w:cs="Arial"/>
                <w:b/>
                <w:bCs/>
                <w:kern w:val="0"/>
                <w:sz w:val="18"/>
                <w:szCs w:val="18"/>
              </w:rPr>
              <w:t xml:space="preserve">      dal 202</w:t>
            </w:r>
            <w:r w:rsidR="00ED4F77">
              <w:rPr>
                <w:rFonts w:ascii="Arial Narrow" w:hAnsi="Arial Narrow" w:cs="Arial"/>
                <w:b/>
                <w:bCs/>
                <w:kern w:val="0"/>
                <w:sz w:val="18"/>
                <w:szCs w:val="18"/>
              </w:rPr>
              <w:t>2</w:t>
            </w:r>
          </w:p>
        </w:tc>
        <w:tc>
          <w:tcPr>
            <w:tcW w:w="895" w:type="dxa"/>
            <w:vMerge w:val="restart"/>
            <w:vAlign w:val="center"/>
          </w:tcPr>
          <w:p w:rsidR="008B07E9" w:rsidRPr="00FD599C" w:rsidRDefault="008B07E9" w:rsidP="008B07E9">
            <w:pPr>
              <w:spacing w:before="40" w:after="20"/>
              <w:ind w:left="-64"/>
              <w:jc w:val="center"/>
              <w:rPr>
                <w:rFonts w:ascii="Arial Narrow" w:hAnsi="Arial Narrow" w:cs="Arial"/>
                <w:b/>
                <w:bCs/>
                <w:kern w:val="0"/>
                <w:sz w:val="18"/>
                <w:szCs w:val="18"/>
              </w:rPr>
            </w:pPr>
            <w:r>
              <w:rPr>
                <w:rFonts w:ascii="Arial Narrow" w:hAnsi="Arial Narrow" w:cs="Arial"/>
                <w:b/>
                <w:bCs/>
                <w:kern w:val="0"/>
                <w:sz w:val="18"/>
                <w:szCs w:val="18"/>
              </w:rPr>
              <w:t>Inflazio</w:t>
            </w:r>
            <w:r w:rsidRPr="00FD599C">
              <w:rPr>
                <w:rFonts w:ascii="Arial Narrow" w:hAnsi="Arial Narrow" w:cs="Arial"/>
                <w:b/>
                <w:bCs/>
                <w:kern w:val="0"/>
                <w:sz w:val="18"/>
                <w:szCs w:val="18"/>
              </w:rPr>
              <w:t>ne propria</w:t>
            </w:r>
          </w:p>
        </w:tc>
        <w:tc>
          <w:tcPr>
            <w:tcW w:w="851" w:type="dxa"/>
            <w:vMerge w:val="restart"/>
            <w:shd w:val="clear" w:color="auto" w:fill="D9D9D9" w:themeFill="background1" w:themeFillShade="D9"/>
            <w:vAlign w:val="center"/>
          </w:tcPr>
          <w:p w:rsidR="008B07E9" w:rsidRPr="00FD599C" w:rsidRDefault="008B07E9" w:rsidP="008B07E9">
            <w:pPr>
              <w:spacing w:before="40" w:after="20"/>
              <w:ind w:right="57"/>
              <w:jc w:val="center"/>
              <w:rPr>
                <w:rFonts w:ascii="Arial Narrow" w:hAnsi="Arial Narrow" w:cs="Arial"/>
                <w:b/>
                <w:bCs/>
                <w:kern w:val="0"/>
                <w:sz w:val="18"/>
                <w:szCs w:val="18"/>
              </w:rPr>
            </w:pPr>
            <w:r>
              <w:rPr>
                <w:rFonts w:ascii="Arial Narrow" w:hAnsi="Arial Narrow" w:cs="Arial"/>
                <w:b/>
                <w:bCs/>
                <w:kern w:val="0"/>
                <w:sz w:val="18"/>
                <w:szCs w:val="18"/>
              </w:rPr>
              <w:t>Trascina-mento                  al 202</w:t>
            </w:r>
            <w:r w:rsidR="00ED4F77">
              <w:rPr>
                <w:rFonts w:ascii="Arial Narrow" w:hAnsi="Arial Narrow" w:cs="Arial"/>
                <w:b/>
                <w:bCs/>
                <w:kern w:val="0"/>
                <w:sz w:val="18"/>
                <w:szCs w:val="18"/>
              </w:rPr>
              <w:t>4</w:t>
            </w:r>
          </w:p>
        </w:tc>
        <w:tc>
          <w:tcPr>
            <w:tcW w:w="1417" w:type="dxa"/>
            <w:vMerge w:val="restart"/>
            <w:shd w:val="clear" w:color="auto" w:fill="auto"/>
          </w:tcPr>
          <w:p w:rsidR="008B07E9" w:rsidRDefault="008B07E9" w:rsidP="008B07E9">
            <w:pPr>
              <w:spacing w:before="40" w:after="20"/>
              <w:ind w:right="57"/>
              <w:jc w:val="center"/>
              <w:rPr>
                <w:rFonts w:ascii="Arial Narrow" w:hAnsi="Arial Narrow" w:cs="Arial"/>
                <w:b/>
                <w:bCs/>
                <w:kern w:val="0"/>
                <w:sz w:val="18"/>
                <w:szCs w:val="18"/>
              </w:rPr>
            </w:pPr>
            <w:r>
              <w:rPr>
                <w:rFonts w:ascii="Arial Narrow" w:hAnsi="Arial Narrow" w:cs="Arial"/>
                <w:b/>
                <w:bCs/>
                <w:kern w:val="0"/>
                <w:sz w:val="18"/>
                <w:szCs w:val="18"/>
              </w:rPr>
              <w:t>C</w:t>
            </w:r>
            <w:r w:rsidRPr="00D164E5">
              <w:rPr>
                <w:rFonts w:ascii="Arial Narrow" w:hAnsi="Arial Narrow" w:cs="Arial"/>
                <w:b/>
                <w:bCs/>
                <w:kern w:val="0"/>
                <w:sz w:val="18"/>
                <w:szCs w:val="18"/>
              </w:rPr>
              <w:t>ontributi alla variazione media annua dell’indice generale</w:t>
            </w:r>
          </w:p>
        </w:tc>
      </w:tr>
      <w:tr w:rsidR="003B3E1E" w:rsidRPr="00C8504B" w:rsidTr="0003751C">
        <w:trPr>
          <w:trHeight w:val="522"/>
        </w:trPr>
        <w:tc>
          <w:tcPr>
            <w:tcW w:w="2694" w:type="dxa"/>
            <w:vMerge/>
            <w:vAlign w:val="center"/>
          </w:tcPr>
          <w:p w:rsidR="003B3E1E" w:rsidRPr="00C8504B" w:rsidRDefault="003B3E1E" w:rsidP="003B3E1E">
            <w:pPr>
              <w:spacing w:before="40" w:after="20"/>
              <w:rPr>
                <w:rFonts w:ascii="Arial Narrow" w:hAnsi="Arial Narrow" w:cs="Arial"/>
                <w:b/>
                <w:bCs/>
                <w:sz w:val="18"/>
                <w:szCs w:val="18"/>
              </w:rPr>
            </w:pPr>
          </w:p>
        </w:tc>
        <w:tc>
          <w:tcPr>
            <w:tcW w:w="567" w:type="dxa"/>
            <w:shd w:val="clear" w:color="auto" w:fill="D9D9D9" w:themeFill="background1" w:themeFillShade="D9"/>
            <w:vAlign w:val="center"/>
          </w:tcPr>
          <w:p w:rsidR="003B3E1E" w:rsidRDefault="003B3E1E" w:rsidP="003B3E1E">
            <w:pPr>
              <w:widowControl/>
              <w:overflowPunct/>
              <w:autoSpaceDE/>
              <w:autoSpaceDN/>
              <w:adjustRightInd/>
              <w:spacing w:before="40" w:after="20"/>
              <w:jc w:val="center"/>
              <w:rPr>
                <w:rFonts w:ascii="Arial Narrow" w:hAnsi="Arial Narrow" w:cs="Arial"/>
                <w:kern w:val="0"/>
                <w:sz w:val="18"/>
                <w:szCs w:val="18"/>
                <w:u w:val="single"/>
              </w:rPr>
            </w:pPr>
            <w:r>
              <w:rPr>
                <w:rFonts w:ascii="Arial Narrow" w:hAnsi="Arial Narrow" w:cs="Arial"/>
                <w:kern w:val="0"/>
                <w:sz w:val="18"/>
                <w:szCs w:val="18"/>
                <w:u w:val="single"/>
              </w:rPr>
              <w:t>202</w:t>
            </w:r>
            <w:r w:rsidR="00ED4F77">
              <w:rPr>
                <w:rFonts w:ascii="Arial Narrow" w:hAnsi="Arial Narrow" w:cs="Arial"/>
                <w:kern w:val="0"/>
                <w:sz w:val="18"/>
                <w:szCs w:val="18"/>
                <w:u w:val="single"/>
              </w:rPr>
              <w:t>2</w:t>
            </w:r>
          </w:p>
          <w:p w:rsidR="003B3E1E" w:rsidRPr="008814F3" w:rsidRDefault="003B3E1E" w:rsidP="003B3E1E">
            <w:pPr>
              <w:widowControl/>
              <w:overflowPunct/>
              <w:autoSpaceDE/>
              <w:autoSpaceDN/>
              <w:adjustRightInd/>
              <w:spacing w:before="40" w:after="20"/>
              <w:jc w:val="center"/>
              <w:rPr>
                <w:rFonts w:ascii="Arial Narrow" w:hAnsi="Arial Narrow" w:cs="Arial"/>
                <w:b/>
                <w:bCs/>
                <w:kern w:val="0"/>
                <w:sz w:val="18"/>
                <w:szCs w:val="18"/>
              </w:rPr>
            </w:pPr>
            <w:r>
              <w:rPr>
                <w:rFonts w:ascii="Arial Narrow" w:hAnsi="Arial Narrow" w:cs="Arial"/>
                <w:kern w:val="0"/>
                <w:sz w:val="18"/>
                <w:szCs w:val="18"/>
              </w:rPr>
              <w:t>202</w:t>
            </w:r>
            <w:r w:rsidR="00ED4F77">
              <w:rPr>
                <w:rFonts w:ascii="Arial Narrow" w:hAnsi="Arial Narrow" w:cs="Arial"/>
                <w:kern w:val="0"/>
                <w:sz w:val="18"/>
                <w:szCs w:val="18"/>
              </w:rPr>
              <w:t>1</w:t>
            </w:r>
          </w:p>
        </w:tc>
        <w:tc>
          <w:tcPr>
            <w:tcW w:w="567" w:type="dxa"/>
            <w:vAlign w:val="center"/>
          </w:tcPr>
          <w:p w:rsidR="003B3E1E" w:rsidRDefault="003B3E1E" w:rsidP="003B3E1E">
            <w:pPr>
              <w:spacing w:before="40" w:after="20"/>
              <w:jc w:val="center"/>
              <w:rPr>
                <w:rFonts w:ascii="Arial Narrow" w:hAnsi="Arial Narrow" w:cs="Arial"/>
                <w:bCs/>
                <w:sz w:val="18"/>
                <w:szCs w:val="18"/>
              </w:rPr>
            </w:pPr>
            <w:r w:rsidRPr="00FD599C">
              <w:rPr>
                <w:rFonts w:ascii="Arial Narrow" w:hAnsi="Arial Narrow" w:cs="Arial"/>
                <w:bCs/>
                <w:sz w:val="18"/>
                <w:szCs w:val="18"/>
              </w:rPr>
              <w:t>I trim</w:t>
            </w:r>
          </w:p>
          <w:p w:rsidR="003B3E1E" w:rsidRPr="00FD599C" w:rsidRDefault="003B3E1E" w:rsidP="00ED4F77">
            <w:pPr>
              <w:spacing w:before="40" w:after="20"/>
              <w:jc w:val="center"/>
              <w:rPr>
                <w:rFonts w:ascii="Arial Narrow" w:hAnsi="Arial Narrow" w:cs="Arial"/>
                <w:bCs/>
                <w:sz w:val="18"/>
                <w:szCs w:val="18"/>
              </w:rPr>
            </w:pPr>
            <w:r>
              <w:rPr>
                <w:rFonts w:ascii="Arial Narrow" w:hAnsi="Arial Narrow" w:cs="Arial"/>
                <w:bCs/>
                <w:sz w:val="18"/>
                <w:szCs w:val="18"/>
              </w:rPr>
              <w:t>202</w:t>
            </w:r>
            <w:r w:rsidR="00ED4F77">
              <w:rPr>
                <w:rFonts w:ascii="Arial Narrow" w:hAnsi="Arial Narrow" w:cs="Arial"/>
                <w:bCs/>
                <w:sz w:val="18"/>
                <w:szCs w:val="18"/>
              </w:rPr>
              <w:t>3</w:t>
            </w:r>
          </w:p>
        </w:tc>
        <w:tc>
          <w:tcPr>
            <w:tcW w:w="567" w:type="dxa"/>
            <w:shd w:val="clear" w:color="auto" w:fill="D9D9D9" w:themeFill="background1" w:themeFillShade="D9"/>
            <w:vAlign w:val="center"/>
          </w:tcPr>
          <w:p w:rsidR="003B3E1E" w:rsidRDefault="003B3E1E" w:rsidP="003B3E1E">
            <w:pPr>
              <w:spacing w:before="40" w:after="20"/>
              <w:jc w:val="center"/>
              <w:rPr>
                <w:rFonts w:ascii="Arial Narrow" w:hAnsi="Arial Narrow" w:cs="Arial"/>
                <w:bCs/>
                <w:sz w:val="18"/>
                <w:szCs w:val="18"/>
              </w:rPr>
            </w:pPr>
            <w:r>
              <w:rPr>
                <w:rFonts w:ascii="Arial Narrow" w:hAnsi="Arial Narrow" w:cs="Arial"/>
                <w:bCs/>
                <w:sz w:val="18"/>
                <w:szCs w:val="18"/>
              </w:rPr>
              <w:t>II</w:t>
            </w:r>
            <w:r w:rsidRPr="00FD599C">
              <w:rPr>
                <w:rFonts w:ascii="Arial Narrow" w:hAnsi="Arial Narrow" w:cs="Arial"/>
                <w:bCs/>
                <w:sz w:val="18"/>
                <w:szCs w:val="18"/>
              </w:rPr>
              <w:t xml:space="preserve"> trim</w:t>
            </w:r>
          </w:p>
          <w:p w:rsidR="003B3E1E" w:rsidRPr="00FD599C" w:rsidRDefault="003B3E1E" w:rsidP="00ED4F77">
            <w:pPr>
              <w:spacing w:before="40" w:after="20"/>
              <w:jc w:val="center"/>
              <w:rPr>
                <w:rFonts w:ascii="Arial Narrow" w:hAnsi="Arial Narrow" w:cs="Arial"/>
                <w:bCs/>
                <w:sz w:val="18"/>
                <w:szCs w:val="18"/>
              </w:rPr>
            </w:pPr>
            <w:r>
              <w:rPr>
                <w:rFonts w:ascii="Arial Narrow" w:hAnsi="Arial Narrow" w:cs="Arial"/>
                <w:bCs/>
                <w:sz w:val="18"/>
                <w:szCs w:val="18"/>
              </w:rPr>
              <w:t>202</w:t>
            </w:r>
            <w:r w:rsidR="00ED4F77">
              <w:rPr>
                <w:rFonts w:ascii="Arial Narrow" w:hAnsi="Arial Narrow" w:cs="Arial"/>
                <w:bCs/>
                <w:sz w:val="18"/>
                <w:szCs w:val="18"/>
              </w:rPr>
              <w:t>3</w:t>
            </w:r>
          </w:p>
        </w:tc>
        <w:tc>
          <w:tcPr>
            <w:tcW w:w="567" w:type="dxa"/>
            <w:vAlign w:val="center"/>
          </w:tcPr>
          <w:p w:rsidR="003B3E1E" w:rsidRDefault="003B3E1E" w:rsidP="003B3E1E">
            <w:pPr>
              <w:spacing w:before="40" w:after="20"/>
              <w:jc w:val="center"/>
              <w:rPr>
                <w:rFonts w:ascii="Arial Narrow" w:hAnsi="Arial Narrow" w:cs="Arial"/>
                <w:bCs/>
                <w:sz w:val="18"/>
                <w:szCs w:val="18"/>
              </w:rPr>
            </w:pPr>
            <w:r w:rsidRPr="00FD599C">
              <w:rPr>
                <w:rFonts w:ascii="Arial Narrow" w:hAnsi="Arial Narrow" w:cs="Arial"/>
                <w:bCs/>
                <w:sz w:val="18"/>
                <w:szCs w:val="18"/>
              </w:rPr>
              <w:t>III trim</w:t>
            </w:r>
          </w:p>
          <w:p w:rsidR="003B3E1E" w:rsidRPr="00FD599C" w:rsidRDefault="003B3E1E" w:rsidP="00ED4F77">
            <w:pPr>
              <w:spacing w:before="40" w:after="20"/>
              <w:jc w:val="center"/>
              <w:rPr>
                <w:rFonts w:ascii="Arial Narrow" w:hAnsi="Arial Narrow" w:cs="Arial"/>
                <w:bCs/>
                <w:sz w:val="18"/>
                <w:szCs w:val="18"/>
              </w:rPr>
            </w:pPr>
            <w:r>
              <w:rPr>
                <w:rFonts w:ascii="Arial Narrow" w:hAnsi="Arial Narrow" w:cs="Arial"/>
                <w:bCs/>
                <w:sz w:val="18"/>
                <w:szCs w:val="18"/>
              </w:rPr>
              <w:t>202</w:t>
            </w:r>
            <w:r w:rsidR="00ED4F77">
              <w:rPr>
                <w:rFonts w:ascii="Arial Narrow" w:hAnsi="Arial Narrow" w:cs="Arial"/>
                <w:bCs/>
                <w:sz w:val="18"/>
                <w:szCs w:val="18"/>
              </w:rPr>
              <w:t>3</w:t>
            </w:r>
          </w:p>
        </w:tc>
        <w:tc>
          <w:tcPr>
            <w:tcW w:w="567" w:type="dxa"/>
            <w:shd w:val="clear" w:color="auto" w:fill="D9D9D9" w:themeFill="background1" w:themeFillShade="D9"/>
            <w:vAlign w:val="center"/>
          </w:tcPr>
          <w:p w:rsidR="003B3E1E" w:rsidRDefault="003B3E1E" w:rsidP="003B3E1E">
            <w:pPr>
              <w:spacing w:before="40" w:after="20"/>
              <w:jc w:val="center"/>
              <w:rPr>
                <w:rFonts w:ascii="Arial Narrow" w:hAnsi="Arial Narrow" w:cs="Arial"/>
                <w:bCs/>
                <w:sz w:val="18"/>
                <w:szCs w:val="18"/>
              </w:rPr>
            </w:pPr>
            <w:r w:rsidRPr="00FD599C">
              <w:rPr>
                <w:rFonts w:ascii="Arial Narrow" w:hAnsi="Arial Narrow" w:cs="Arial"/>
                <w:bCs/>
                <w:sz w:val="18"/>
                <w:szCs w:val="18"/>
              </w:rPr>
              <w:t>IV trim</w:t>
            </w:r>
          </w:p>
          <w:p w:rsidR="003B3E1E" w:rsidRPr="00FD599C" w:rsidRDefault="003B3E1E" w:rsidP="00ED4F77">
            <w:pPr>
              <w:spacing w:before="40" w:after="20"/>
              <w:jc w:val="center"/>
              <w:rPr>
                <w:rFonts w:ascii="Arial Narrow" w:hAnsi="Arial Narrow" w:cs="Arial"/>
                <w:bCs/>
                <w:sz w:val="18"/>
                <w:szCs w:val="18"/>
              </w:rPr>
            </w:pPr>
            <w:r>
              <w:rPr>
                <w:rFonts w:ascii="Arial Narrow" w:hAnsi="Arial Narrow" w:cs="Arial"/>
                <w:bCs/>
                <w:sz w:val="18"/>
                <w:szCs w:val="18"/>
              </w:rPr>
              <w:t>202</w:t>
            </w:r>
            <w:r w:rsidR="00ED4F77">
              <w:rPr>
                <w:rFonts w:ascii="Arial Narrow" w:hAnsi="Arial Narrow" w:cs="Arial"/>
                <w:bCs/>
                <w:sz w:val="18"/>
                <w:szCs w:val="18"/>
              </w:rPr>
              <w:t>3</w:t>
            </w:r>
          </w:p>
        </w:tc>
        <w:tc>
          <w:tcPr>
            <w:tcW w:w="669" w:type="dxa"/>
            <w:shd w:val="clear" w:color="auto" w:fill="auto"/>
            <w:vAlign w:val="center"/>
          </w:tcPr>
          <w:p w:rsidR="003B3E1E" w:rsidRDefault="003B3E1E" w:rsidP="003B3E1E">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202</w:t>
            </w:r>
            <w:r w:rsidR="00ED4F77">
              <w:rPr>
                <w:rFonts w:ascii="Arial Narrow" w:hAnsi="Arial Narrow" w:cs="Arial"/>
                <w:kern w:val="0"/>
                <w:sz w:val="18"/>
                <w:szCs w:val="18"/>
                <w:u w:val="single"/>
              </w:rPr>
              <w:t>3</w:t>
            </w:r>
          </w:p>
          <w:p w:rsidR="003B3E1E" w:rsidRPr="008814F3" w:rsidRDefault="003B3E1E" w:rsidP="00ED4F77">
            <w:pPr>
              <w:widowControl/>
              <w:overflowPunct/>
              <w:autoSpaceDE/>
              <w:autoSpaceDN/>
              <w:adjustRightInd/>
              <w:spacing w:before="0" w:after="0"/>
              <w:ind w:right="57"/>
              <w:jc w:val="right"/>
              <w:rPr>
                <w:rFonts w:ascii="Arial Narrow" w:hAnsi="Arial Narrow" w:cs="Arial"/>
                <w:b/>
                <w:bCs/>
                <w:kern w:val="0"/>
                <w:sz w:val="18"/>
                <w:szCs w:val="18"/>
              </w:rPr>
            </w:pPr>
            <w:r>
              <w:rPr>
                <w:rFonts w:ascii="Arial Narrow" w:hAnsi="Arial Narrow" w:cs="Arial"/>
                <w:kern w:val="0"/>
                <w:sz w:val="18"/>
                <w:szCs w:val="18"/>
              </w:rPr>
              <w:t>202</w:t>
            </w:r>
            <w:r w:rsidR="00ED4F77">
              <w:rPr>
                <w:rFonts w:ascii="Arial Narrow" w:hAnsi="Arial Narrow" w:cs="Arial"/>
                <w:kern w:val="0"/>
                <w:sz w:val="18"/>
                <w:szCs w:val="18"/>
              </w:rPr>
              <w:t>2</w:t>
            </w:r>
          </w:p>
        </w:tc>
        <w:tc>
          <w:tcPr>
            <w:tcW w:w="845" w:type="dxa"/>
            <w:vMerge/>
            <w:shd w:val="clear" w:color="auto" w:fill="D9D9D9" w:themeFill="background1" w:themeFillShade="D9"/>
            <w:vAlign w:val="center"/>
          </w:tcPr>
          <w:p w:rsidR="003B3E1E" w:rsidRDefault="003B3E1E" w:rsidP="003B3E1E">
            <w:pPr>
              <w:widowControl/>
              <w:overflowPunct/>
              <w:autoSpaceDE/>
              <w:autoSpaceDN/>
              <w:adjustRightInd/>
              <w:spacing w:before="0" w:after="0"/>
              <w:jc w:val="right"/>
              <w:rPr>
                <w:rFonts w:ascii="Arial Narrow" w:hAnsi="Arial Narrow" w:cs="Arial"/>
                <w:kern w:val="0"/>
                <w:sz w:val="18"/>
                <w:szCs w:val="18"/>
                <w:u w:val="single"/>
              </w:rPr>
            </w:pPr>
          </w:p>
        </w:tc>
        <w:tc>
          <w:tcPr>
            <w:tcW w:w="895" w:type="dxa"/>
            <w:vMerge/>
            <w:vAlign w:val="center"/>
          </w:tcPr>
          <w:p w:rsidR="003B3E1E" w:rsidRDefault="003B3E1E" w:rsidP="003B3E1E">
            <w:pPr>
              <w:widowControl/>
              <w:overflowPunct/>
              <w:autoSpaceDE/>
              <w:autoSpaceDN/>
              <w:adjustRightInd/>
              <w:spacing w:before="0" w:after="0"/>
              <w:jc w:val="right"/>
              <w:rPr>
                <w:rFonts w:ascii="Arial Narrow" w:hAnsi="Arial Narrow" w:cs="Arial"/>
                <w:kern w:val="0"/>
                <w:sz w:val="18"/>
                <w:szCs w:val="18"/>
                <w:u w:val="single"/>
              </w:rPr>
            </w:pPr>
          </w:p>
        </w:tc>
        <w:tc>
          <w:tcPr>
            <w:tcW w:w="851" w:type="dxa"/>
            <w:vMerge/>
            <w:shd w:val="clear" w:color="auto" w:fill="D9D9D9" w:themeFill="background1" w:themeFillShade="D9"/>
            <w:vAlign w:val="center"/>
          </w:tcPr>
          <w:p w:rsidR="003B3E1E" w:rsidRDefault="003B3E1E" w:rsidP="003B3E1E">
            <w:pPr>
              <w:widowControl/>
              <w:overflowPunct/>
              <w:autoSpaceDE/>
              <w:autoSpaceDN/>
              <w:adjustRightInd/>
              <w:spacing w:before="0" w:after="0"/>
              <w:jc w:val="right"/>
              <w:rPr>
                <w:rFonts w:ascii="Arial Narrow" w:hAnsi="Arial Narrow" w:cs="Arial"/>
                <w:kern w:val="0"/>
                <w:sz w:val="18"/>
                <w:szCs w:val="18"/>
                <w:u w:val="single"/>
              </w:rPr>
            </w:pPr>
          </w:p>
        </w:tc>
        <w:tc>
          <w:tcPr>
            <w:tcW w:w="1417" w:type="dxa"/>
            <w:vMerge/>
            <w:shd w:val="clear" w:color="auto" w:fill="auto"/>
          </w:tcPr>
          <w:p w:rsidR="003B3E1E" w:rsidRDefault="003B3E1E" w:rsidP="003B3E1E">
            <w:pPr>
              <w:widowControl/>
              <w:overflowPunct/>
              <w:autoSpaceDE/>
              <w:autoSpaceDN/>
              <w:adjustRightInd/>
              <w:spacing w:before="0" w:after="0"/>
              <w:jc w:val="right"/>
              <w:rPr>
                <w:rFonts w:ascii="Arial Narrow" w:hAnsi="Arial Narrow" w:cs="Arial"/>
                <w:kern w:val="0"/>
                <w:sz w:val="18"/>
                <w:szCs w:val="18"/>
                <w:u w:val="single"/>
              </w:rPr>
            </w:pPr>
          </w:p>
        </w:tc>
      </w:tr>
      <w:tr w:rsidR="00572C4C" w:rsidRPr="00C8504B" w:rsidTr="00A16A13">
        <w:trPr>
          <w:trHeight w:val="255"/>
        </w:trPr>
        <w:tc>
          <w:tcPr>
            <w:tcW w:w="2694" w:type="dxa"/>
            <w:vAlign w:val="center"/>
          </w:tcPr>
          <w:p w:rsidR="00572C4C" w:rsidRPr="00C8504B" w:rsidRDefault="00572C4C" w:rsidP="00E737F1">
            <w:pPr>
              <w:spacing w:before="0" w:after="0"/>
              <w:ind w:left="-68"/>
              <w:rPr>
                <w:rFonts w:ascii="Arial Narrow" w:hAnsi="Arial Narrow" w:cs="Arial"/>
                <w:sz w:val="18"/>
                <w:szCs w:val="18"/>
              </w:rPr>
            </w:pPr>
            <w:r w:rsidRPr="00C8504B">
              <w:rPr>
                <w:rFonts w:ascii="Arial Narrow" w:hAnsi="Arial Narrow" w:cs="Arial"/>
                <w:sz w:val="18"/>
                <w:szCs w:val="18"/>
              </w:rPr>
              <w:t>Beni alimentari, di cui:</w:t>
            </w:r>
          </w:p>
        </w:tc>
        <w:tc>
          <w:tcPr>
            <w:tcW w:w="567" w:type="dxa"/>
            <w:shd w:val="clear" w:color="auto" w:fill="D9D9D9" w:themeFill="background1" w:themeFillShade="D9"/>
            <w:vAlign w:val="center"/>
          </w:tcPr>
          <w:p w:rsidR="00572C4C" w:rsidRPr="001630C6" w:rsidRDefault="00572C4C" w:rsidP="00A16A13">
            <w:pPr>
              <w:spacing w:before="0" w:after="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8,8</w:t>
            </w:r>
          </w:p>
        </w:tc>
        <w:tc>
          <w:tcPr>
            <w:tcW w:w="567" w:type="dxa"/>
            <w:vAlign w:val="center"/>
          </w:tcPr>
          <w:p w:rsidR="00572C4C" w:rsidRPr="00A807E5" w:rsidRDefault="00572C4C" w:rsidP="00A16A13">
            <w:pPr>
              <w:spacing w:before="0" w:after="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12,7</w:t>
            </w:r>
          </w:p>
        </w:tc>
        <w:tc>
          <w:tcPr>
            <w:tcW w:w="567" w:type="dxa"/>
            <w:shd w:val="clear" w:color="auto" w:fill="D9D9D9" w:themeFill="background1" w:themeFillShade="D9"/>
            <w:vAlign w:val="center"/>
          </w:tcPr>
          <w:p w:rsidR="00572C4C" w:rsidRPr="00A807E5" w:rsidRDefault="00572C4C" w:rsidP="00A16A13">
            <w:pPr>
              <w:spacing w:before="0" w:after="0"/>
              <w:ind w:right="46"/>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11,3</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9,5</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6</w:t>
            </w:r>
            <w:r>
              <w:rPr>
                <w:rFonts w:ascii="Arial Narrow" w:hAnsi="Arial Narrow" w:cs="Arial"/>
                <w:sz w:val="18"/>
                <w:szCs w:val="18"/>
              </w:rPr>
              <w:t>,0</w:t>
            </w:r>
          </w:p>
        </w:tc>
        <w:tc>
          <w:tcPr>
            <w:tcW w:w="669" w:type="dxa"/>
            <w:shd w:val="clear" w:color="auto" w:fill="auto"/>
            <w:vAlign w:val="center"/>
          </w:tcPr>
          <w:p w:rsidR="00572C4C" w:rsidRPr="0086374D" w:rsidRDefault="00572C4C" w:rsidP="00A16A13">
            <w:pPr>
              <w:spacing w:before="0" w:after="0"/>
              <w:ind w:left="-68" w:right="57"/>
              <w:jc w:val="right"/>
              <w:rPr>
                <w:rFonts w:ascii="Arial Narrow" w:hAnsi="Arial Narrow" w:cs="Arial"/>
                <w:sz w:val="18"/>
                <w:szCs w:val="18"/>
              </w:rPr>
            </w:pPr>
            <w:r w:rsidRPr="0086374D">
              <w:rPr>
                <w:rFonts w:ascii="Arial Narrow" w:hAnsi="Arial Narrow" w:cs="Arial"/>
                <w:sz w:val="18"/>
                <w:szCs w:val="18"/>
              </w:rPr>
              <w:t>+9,8</w:t>
            </w:r>
          </w:p>
        </w:tc>
        <w:tc>
          <w:tcPr>
            <w:tcW w:w="845" w:type="dxa"/>
            <w:shd w:val="clear" w:color="auto" w:fill="D9D9D9" w:themeFill="background1" w:themeFillShade="D9"/>
            <w:vAlign w:val="center"/>
          </w:tcPr>
          <w:p w:rsidR="00572C4C" w:rsidRPr="00DD6C97" w:rsidRDefault="00572C4C" w:rsidP="00A16A13">
            <w:pPr>
              <w:spacing w:before="0" w:after="0"/>
              <w:ind w:left="-68" w:right="57"/>
              <w:jc w:val="right"/>
              <w:rPr>
                <w:rFonts w:ascii="Arial Narrow" w:hAnsi="Arial Narrow" w:cs="Arial"/>
                <w:sz w:val="18"/>
                <w:szCs w:val="18"/>
              </w:rPr>
            </w:pPr>
            <w:r w:rsidRPr="00DD6C97">
              <w:rPr>
                <w:rFonts w:ascii="Arial Narrow" w:hAnsi="Arial Narrow" w:cs="Arial"/>
                <w:sz w:val="18"/>
                <w:szCs w:val="18"/>
              </w:rPr>
              <w:t>+5,2</w:t>
            </w:r>
          </w:p>
        </w:tc>
        <w:tc>
          <w:tcPr>
            <w:tcW w:w="895" w:type="dxa"/>
            <w:vAlign w:val="center"/>
          </w:tcPr>
          <w:p w:rsidR="00572C4C" w:rsidRPr="00370EB6" w:rsidRDefault="00572C4C" w:rsidP="00A16A13">
            <w:pPr>
              <w:spacing w:before="0" w:after="0"/>
              <w:ind w:left="-68" w:right="57"/>
              <w:jc w:val="right"/>
              <w:rPr>
                <w:rFonts w:ascii="Arial Narrow" w:hAnsi="Arial Narrow" w:cs="Arial"/>
                <w:sz w:val="18"/>
                <w:szCs w:val="18"/>
              </w:rPr>
            </w:pPr>
            <w:r w:rsidRPr="00370EB6">
              <w:rPr>
                <w:rFonts w:ascii="Arial Narrow" w:hAnsi="Arial Narrow" w:cs="Arial"/>
                <w:sz w:val="18"/>
                <w:szCs w:val="18"/>
              </w:rPr>
              <w:t>+4,4</w:t>
            </w:r>
          </w:p>
        </w:tc>
        <w:tc>
          <w:tcPr>
            <w:tcW w:w="851" w:type="dxa"/>
            <w:shd w:val="clear" w:color="auto" w:fill="D9D9D9" w:themeFill="background1" w:themeFillShade="D9"/>
            <w:vAlign w:val="center"/>
          </w:tcPr>
          <w:p w:rsidR="00572C4C" w:rsidRPr="004F2A9A" w:rsidRDefault="00572C4C" w:rsidP="00A16A13">
            <w:pPr>
              <w:spacing w:before="0" w:after="0"/>
              <w:ind w:left="-68" w:right="57"/>
              <w:jc w:val="right"/>
              <w:rPr>
                <w:rFonts w:ascii="Arial Narrow" w:hAnsi="Arial Narrow" w:cs="Arial"/>
                <w:sz w:val="18"/>
                <w:szCs w:val="18"/>
              </w:rPr>
            </w:pPr>
            <w:r w:rsidRPr="004F2A9A">
              <w:rPr>
                <w:rFonts w:ascii="Arial Narrow" w:hAnsi="Arial Narrow" w:cs="Arial"/>
                <w:sz w:val="18"/>
                <w:szCs w:val="18"/>
              </w:rPr>
              <w:t>+1,3</w:t>
            </w:r>
          </w:p>
        </w:tc>
        <w:tc>
          <w:tcPr>
            <w:tcW w:w="1417" w:type="dxa"/>
            <w:shd w:val="clear" w:color="auto" w:fill="auto"/>
            <w:vAlign w:val="center"/>
          </w:tcPr>
          <w:p w:rsidR="00572C4C" w:rsidRPr="00572C4C" w:rsidRDefault="00572C4C" w:rsidP="00A16A13">
            <w:pPr>
              <w:spacing w:before="0" w:after="0"/>
              <w:ind w:left="-68" w:right="57"/>
              <w:jc w:val="right"/>
              <w:rPr>
                <w:rFonts w:ascii="Arial Narrow" w:hAnsi="Arial Narrow" w:cs="Arial"/>
                <w:sz w:val="18"/>
                <w:szCs w:val="18"/>
              </w:rPr>
            </w:pPr>
            <w:r w:rsidRPr="00572C4C">
              <w:rPr>
                <w:rFonts w:ascii="Arial Narrow" w:hAnsi="Arial Narrow" w:cs="Arial"/>
                <w:sz w:val="18"/>
                <w:szCs w:val="18"/>
              </w:rPr>
              <w:t>1,874</w:t>
            </w:r>
          </w:p>
        </w:tc>
      </w:tr>
      <w:tr w:rsidR="00572C4C" w:rsidRPr="00C8504B" w:rsidTr="00A16A13">
        <w:trPr>
          <w:trHeight w:val="255"/>
        </w:trPr>
        <w:tc>
          <w:tcPr>
            <w:tcW w:w="2694" w:type="dxa"/>
            <w:vAlign w:val="center"/>
          </w:tcPr>
          <w:p w:rsidR="00572C4C" w:rsidRPr="00C8504B" w:rsidRDefault="00572C4C" w:rsidP="00572C4C">
            <w:pPr>
              <w:spacing w:before="40" w:after="20"/>
              <w:ind w:firstLine="214"/>
              <w:rPr>
                <w:rFonts w:ascii="Arial Narrow" w:hAnsi="Arial Narrow" w:cs="Arial"/>
                <w:sz w:val="18"/>
                <w:szCs w:val="18"/>
              </w:rPr>
            </w:pPr>
            <w:r w:rsidRPr="00C8504B">
              <w:rPr>
                <w:rFonts w:ascii="Arial Narrow" w:hAnsi="Arial Narrow" w:cs="Arial"/>
                <w:sz w:val="18"/>
                <w:szCs w:val="18"/>
              </w:rPr>
              <w:t>Alimentari lavorati</w:t>
            </w:r>
          </w:p>
        </w:tc>
        <w:tc>
          <w:tcPr>
            <w:tcW w:w="567" w:type="dxa"/>
            <w:shd w:val="clear" w:color="auto" w:fill="D9D9D9" w:themeFill="background1" w:themeFillShade="D9"/>
            <w:vAlign w:val="center"/>
          </w:tcPr>
          <w:p w:rsidR="00572C4C" w:rsidRPr="001630C6"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8,5</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15,2</w:t>
            </w:r>
          </w:p>
        </w:tc>
        <w:tc>
          <w:tcPr>
            <w:tcW w:w="567" w:type="dxa"/>
            <w:shd w:val="clear" w:color="auto" w:fill="D9D9D9" w:themeFill="background1" w:themeFillShade="D9"/>
            <w:vAlign w:val="center"/>
          </w:tcPr>
          <w:p w:rsidR="00572C4C" w:rsidRPr="00A807E5" w:rsidRDefault="00572C4C" w:rsidP="00A16A13">
            <w:pPr>
              <w:spacing w:before="40" w:after="20"/>
              <w:ind w:left="-68" w:right="46"/>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12,9</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9,7</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6</w:t>
            </w:r>
            <w:r>
              <w:rPr>
                <w:rFonts w:ascii="Arial Narrow" w:hAnsi="Arial Narrow" w:cs="Arial"/>
                <w:sz w:val="18"/>
                <w:szCs w:val="18"/>
              </w:rPr>
              <w:t>,0</w:t>
            </w:r>
          </w:p>
        </w:tc>
        <w:tc>
          <w:tcPr>
            <w:tcW w:w="669" w:type="dxa"/>
            <w:shd w:val="clear" w:color="auto" w:fill="auto"/>
            <w:vAlign w:val="center"/>
          </w:tcPr>
          <w:p w:rsidR="00572C4C" w:rsidRPr="0086374D" w:rsidRDefault="00572C4C" w:rsidP="00A16A13">
            <w:pPr>
              <w:spacing w:before="40" w:after="20"/>
              <w:ind w:left="-68" w:right="57"/>
              <w:jc w:val="right"/>
              <w:rPr>
                <w:rFonts w:ascii="Arial Narrow" w:hAnsi="Arial Narrow" w:cs="Arial"/>
                <w:sz w:val="18"/>
                <w:szCs w:val="18"/>
              </w:rPr>
            </w:pPr>
            <w:r w:rsidRPr="0086374D">
              <w:rPr>
                <w:rFonts w:ascii="Arial Narrow" w:hAnsi="Arial Narrow" w:cs="Arial"/>
                <w:sz w:val="18"/>
                <w:szCs w:val="18"/>
              </w:rPr>
              <w:t>+10,9</w:t>
            </w:r>
          </w:p>
        </w:tc>
        <w:tc>
          <w:tcPr>
            <w:tcW w:w="845" w:type="dxa"/>
            <w:shd w:val="clear" w:color="auto" w:fill="D9D9D9" w:themeFill="background1" w:themeFillShade="D9"/>
            <w:vAlign w:val="center"/>
          </w:tcPr>
          <w:p w:rsidR="00572C4C" w:rsidRPr="00DD6C97" w:rsidRDefault="00572C4C" w:rsidP="00A16A13">
            <w:pPr>
              <w:spacing w:before="40" w:after="20"/>
              <w:ind w:left="-68" w:right="57"/>
              <w:jc w:val="right"/>
              <w:rPr>
                <w:rFonts w:ascii="Arial Narrow" w:hAnsi="Arial Narrow" w:cs="Arial"/>
                <w:sz w:val="18"/>
                <w:szCs w:val="18"/>
              </w:rPr>
            </w:pPr>
            <w:r w:rsidRPr="00DD6C97">
              <w:rPr>
                <w:rFonts w:ascii="Arial Narrow" w:hAnsi="Arial Narrow" w:cs="Arial"/>
                <w:sz w:val="18"/>
                <w:szCs w:val="18"/>
              </w:rPr>
              <w:t>+6,6</w:t>
            </w:r>
          </w:p>
        </w:tc>
        <w:tc>
          <w:tcPr>
            <w:tcW w:w="895" w:type="dxa"/>
            <w:vAlign w:val="center"/>
          </w:tcPr>
          <w:p w:rsidR="00572C4C" w:rsidRPr="00370EB6" w:rsidRDefault="00572C4C" w:rsidP="00A16A13">
            <w:pPr>
              <w:spacing w:before="40" w:after="20"/>
              <w:ind w:left="-68" w:right="57"/>
              <w:jc w:val="right"/>
              <w:rPr>
                <w:rFonts w:ascii="Arial Narrow" w:hAnsi="Arial Narrow" w:cs="Arial"/>
                <w:sz w:val="18"/>
                <w:szCs w:val="18"/>
              </w:rPr>
            </w:pPr>
            <w:r w:rsidRPr="00370EB6">
              <w:rPr>
                <w:rFonts w:ascii="Arial Narrow" w:hAnsi="Arial Narrow" w:cs="Arial"/>
                <w:sz w:val="18"/>
                <w:szCs w:val="18"/>
              </w:rPr>
              <w:t>+4,0</w:t>
            </w:r>
          </w:p>
        </w:tc>
        <w:tc>
          <w:tcPr>
            <w:tcW w:w="851" w:type="dxa"/>
            <w:shd w:val="clear" w:color="auto" w:fill="D9D9D9" w:themeFill="background1" w:themeFillShade="D9"/>
            <w:vAlign w:val="center"/>
          </w:tcPr>
          <w:p w:rsidR="00572C4C" w:rsidRPr="004F2A9A" w:rsidRDefault="00572C4C" w:rsidP="00A16A13">
            <w:pPr>
              <w:spacing w:before="40" w:after="20"/>
              <w:ind w:left="-68" w:right="57"/>
              <w:jc w:val="right"/>
              <w:rPr>
                <w:rFonts w:ascii="Arial Narrow" w:hAnsi="Arial Narrow" w:cs="Arial"/>
                <w:sz w:val="18"/>
                <w:szCs w:val="18"/>
              </w:rPr>
            </w:pPr>
            <w:r w:rsidRPr="004F2A9A">
              <w:rPr>
                <w:rFonts w:ascii="Arial Narrow" w:hAnsi="Arial Narrow" w:cs="Arial"/>
                <w:sz w:val="18"/>
                <w:szCs w:val="18"/>
              </w:rPr>
              <w:t>+0,9</w:t>
            </w:r>
          </w:p>
        </w:tc>
        <w:tc>
          <w:tcPr>
            <w:tcW w:w="1417" w:type="dxa"/>
            <w:shd w:val="clear" w:color="auto" w:fill="auto"/>
            <w:vAlign w:val="center"/>
          </w:tcPr>
          <w:p w:rsidR="00572C4C" w:rsidRPr="00572C4C" w:rsidRDefault="00572C4C" w:rsidP="00A16A13">
            <w:pPr>
              <w:spacing w:before="40" w:after="20"/>
              <w:ind w:left="-68" w:right="57"/>
              <w:jc w:val="right"/>
              <w:rPr>
                <w:rFonts w:ascii="Arial Narrow" w:hAnsi="Arial Narrow" w:cs="Arial"/>
                <w:sz w:val="18"/>
                <w:szCs w:val="18"/>
              </w:rPr>
            </w:pPr>
            <w:r w:rsidRPr="00572C4C">
              <w:rPr>
                <w:rFonts w:ascii="Arial Narrow" w:hAnsi="Arial Narrow" w:cs="Arial"/>
                <w:sz w:val="18"/>
                <w:szCs w:val="18"/>
              </w:rPr>
              <w:t>1,300</w:t>
            </w:r>
          </w:p>
        </w:tc>
      </w:tr>
      <w:tr w:rsidR="00572C4C" w:rsidRPr="00C8504B" w:rsidTr="00A16A13">
        <w:trPr>
          <w:trHeight w:val="255"/>
        </w:trPr>
        <w:tc>
          <w:tcPr>
            <w:tcW w:w="2694" w:type="dxa"/>
            <w:vAlign w:val="center"/>
          </w:tcPr>
          <w:p w:rsidR="00572C4C" w:rsidRPr="00C8504B" w:rsidRDefault="00572C4C" w:rsidP="00572C4C">
            <w:pPr>
              <w:spacing w:before="40" w:after="20"/>
              <w:ind w:firstLine="214"/>
              <w:rPr>
                <w:rFonts w:ascii="Arial Narrow" w:hAnsi="Arial Narrow" w:cs="Arial"/>
                <w:sz w:val="18"/>
                <w:szCs w:val="18"/>
              </w:rPr>
            </w:pPr>
            <w:r w:rsidRPr="00C8504B">
              <w:rPr>
                <w:rFonts w:ascii="Arial Narrow" w:hAnsi="Arial Narrow" w:cs="Arial"/>
                <w:sz w:val="18"/>
                <w:szCs w:val="18"/>
              </w:rPr>
              <w:t>Alimentari non lavorati</w:t>
            </w:r>
          </w:p>
        </w:tc>
        <w:tc>
          <w:tcPr>
            <w:tcW w:w="567" w:type="dxa"/>
            <w:shd w:val="clear" w:color="auto" w:fill="D9D9D9" w:themeFill="background1" w:themeFillShade="D9"/>
            <w:vAlign w:val="center"/>
          </w:tcPr>
          <w:p w:rsidR="00572C4C" w:rsidRPr="001630C6"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9,1</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8,5</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8,8</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9,1</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5,9</w:t>
            </w:r>
          </w:p>
        </w:tc>
        <w:tc>
          <w:tcPr>
            <w:tcW w:w="669" w:type="dxa"/>
            <w:shd w:val="clear" w:color="auto" w:fill="auto"/>
            <w:vAlign w:val="center"/>
          </w:tcPr>
          <w:p w:rsidR="00572C4C" w:rsidRPr="0086374D" w:rsidRDefault="00572C4C" w:rsidP="00A16A13">
            <w:pPr>
              <w:spacing w:before="40" w:after="20"/>
              <w:ind w:left="-68" w:right="57"/>
              <w:jc w:val="right"/>
              <w:rPr>
                <w:rFonts w:ascii="Arial Narrow" w:hAnsi="Arial Narrow" w:cs="Arial"/>
                <w:sz w:val="18"/>
                <w:szCs w:val="18"/>
              </w:rPr>
            </w:pPr>
            <w:r w:rsidRPr="0086374D">
              <w:rPr>
                <w:rFonts w:ascii="Arial Narrow" w:hAnsi="Arial Narrow" w:cs="Arial"/>
                <w:sz w:val="18"/>
                <w:szCs w:val="18"/>
              </w:rPr>
              <w:t>+8,1</w:t>
            </w:r>
          </w:p>
        </w:tc>
        <w:tc>
          <w:tcPr>
            <w:tcW w:w="845" w:type="dxa"/>
            <w:shd w:val="clear" w:color="auto" w:fill="D9D9D9" w:themeFill="background1" w:themeFillShade="D9"/>
            <w:vAlign w:val="center"/>
          </w:tcPr>
          <w:p w:rsidR="00572C4C" w:rsidRPr="00DD6C97" w:rsidRDefault="00572C4C" w:rsidP="00A16A13">
            <w:pPr>
              <w:spacing w:before="40" w:after="20"/>
              <w:ind w:left="-68" w:right="57"/>
              <w:jc w:val="right"/>
              <w:rPr>
                <w:rFonts w:ascii="Arial Narrow" w:hAnsi="Arial Narrow" w:cs="Arial"/>
                <w:sz w:val="18"/>
                <w:szCs w:val="18"/>
              </w:rPr>
            </w:pPr>
            <w:r w:rsidRPr="00DD6C97">
              <w:rPr>
                <w:rFonts w:ascii="Arial Narrow" w:hAnsi="Arial Narrow" w:cs="Arial"/>
                <w:sz w:val="18"/>
                <w:szCs w:val="18"/>
              </w:rPr>
              <w:t>+3,0</w:t>
            </w:r>
          </w:p>
        </w:tc>
        <w:tc>
          <w:tcPr>
            <w:tcW w:w="895" w:type="dxa"/>
            <w:vAlign w:val="center"/>
          </w:tcPr>
          <w:p w:rsidR="00572C4C" w:rsidRPr="00370EB6" w:rsidRDefault="00572C4C" w:rsidP="00A16A13">
            <w:pPr>
              <w:spacing w:before="40" w:after="20"/>
              <w:ind w:left="-68" w:right="57"/>
              <w:jc w:val="right"/>
              <w:rPr>
                <w:rFonts w:ascii="Arial Narrow" w:hAnsi="Arial Narrow" w:cs="Arial"/>
                <w:sz w:val="18"/>
                <w:szCs w:val="18"/>
              </w:rPr>
            </w:pPr>
            <w:r w:rsidRPr="00370EB6">
              <w:rPr>
                <w:rFonts w:ascii="Arial Narrow" w:hAnsi="Arial Narrow" w:cs="Arial"/>
                <w:sz w:val="18"/>
                <w:szCs w:val="18"/>
              </w:rPr>
              <w:t>+5,0</w:t>
            </w:r>
          </w:p>
        </w:tc>
        <w:tc>
          <w:tcPr>
            <w:tcW w:w="851" w:type="dxa"/>
            <w:shd w:val="clear" w:color="auto" w:fill="D9D9D9" w:themeFill="background1" w:themeFillShade="D9"/>
            <w:vAlign w:val="center"/>
          </w:tcPr>
          <w:p w:rsidR="00572C4C" w:rsidRPr="004F2A9A" w:rsidRDefault="00572C4C" w:rsidP="00A16A13">
            <w:pPr>
              <w:spacing w:before="40" w:after="20"/>
              <w:ind w:left="-68" w:right="57"/>
              <w:jc w:val="right"/>
              <w:rPr>
                <w:rFonts w:ascii="Arial Narrow" w:hAnsi="Arial Narrow" w:cs="Arial"/>
                <w:sz w:val="18"/>
                <w:szCs w:val="18"/>
              </w:rPr>
            </w:pPr>
            <w:r w:rsidRPr="004F2A9A">
              <w:rPr>
                <w:rFonts w:ascii="Arial Narrow" w:hAnsi="Arial Narrow" w:cs="Arial"/>
                <w:sz w:val="18"/>
                <w:szCs w:val="18"/>
              </w:rPr>
              <w:t>+1,9</w:t>
            </w:r>
          </w:p>
        </w:tc>
        <w:tc>
          <w:tcPr>
            <w:tcW w:w="1417" w:type="dxa"/>
            <w:shd w:val="clear" w:color="auto" w:fill="auto"/>
            <w:vAlign w:val="center"/>
          </w:tcPr>
          <w:p w:rsidR="00572C4C" w:rsidRPr="00572C4C" w:rsidRDefault="00572C4C" w:rsidP="00A16A13">
            <w:pPr>
              <w:spacing w:before="40" w:after="20"/>
              <w:ind w:left="-68" w:right="57"/>
              <w:jc w:val="right"/>
              <w:rPr>
                <w:rFonts w:ascii="Arial Narrow" w:hAnsi="Arial Narrow" w:cs="Arial"/>
                <w:sz w:val="18"/>
                <w:szCs w:val="18"/>
              </w:rPr>
            </w:pPr>
            <w:r w:rsidRPr="00572C4C">
              <w:rPr>
                <w:rFonts w:ascii="Arial Narrow" w:hAnsi="Arial Narrow" w:cs="Arial"/>
                <w:sz w:val="18"/>
                <w:szCs w:val="18"/>
              </w:rPr>
              <w:t>0,574</w:t>
            </w:r>
          </w:p>
        </w:tc>
      </w:tr>
      <w:tr w:rsidR="00572C4C" w:rsidRPr="00C8504B" w:rsidTr="00A16A13">
        <w:trPr>
          <w:trHeight w:val="255"/>
        </w:trPr>
        <w:tc>
          <w:tcPr>
            <w:tcW w:w="2694" w:type="dxa"/>
            <w:vAlign w:val="center"/>
          </w:tcPr>
          <w:p w:rsidR="00572C4C" w:rsidRPr="00C8504B" w:rsidRDefault="00572C4C" w:rsidP="00572C4C">
            <w:pPr>
              <w:spacing w:before="40" w:after="20"/>
              <w:ind w:left="-68"/>
              <w:rPr>
                <w:rFonts w:ascii="Arial Narrow" w:hAnsi="Arial Narrow" w:cs="Arial"/>
                <w:sz w:val="18"/>
                <w:szCs w:val="18"/>
              </w:rPr>
            </w:pPr>
            <w:r w:rsidRPr="00C8504B">
              <w:rPr>
                <w:rFonts w:ascii="Arial Narrow" w:hAnsi="Arial Narrow" w:cs="Arial"/>
                <w:sz w:val="18"/>
                <w:szCs w:val="18"/>
              </w:rPr>
              <w:t>Beni energetici, di cui:</w:t>
            </w:r>
          </w:p>
        </w:tc>
        <w:tc>
          <w:tcPr>
            <w:tcW w:w="567" w:type="dxa"/>
            <w:shd w:val="clear" w:color="auto" w:fill="D9D9D9" w:themeFill="background1" w:themeFillShade="D9"/>
            <w:vAlign w:val="center"/>
          </w:tcPr>
          <w:p w:rsidR="00572C4C" w:rsidRPr="001630C6"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50,9</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26,5</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9,8</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0,8</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sidRPr="00A807E5">
              <w:rPr>
                <w:rFonts w:ascii="Arial Narrow" w:hAnsi="Arial Narrow" w:cs="Arial"/>
                <w:sz w:val="18"/>
                <w:szCs w:val="18"/>
              </w:rPr>
              <w:t>-23</w:t>
            </w:r>
            <w:r>
              <w:rPr>
                <w:rFonts w:ascii="Arial Narrow" w:hAnsi="Arial Narrow" w:cs="Arial"/>
                <w:sz w:val="18"/>
                <w:szCs w:val="18"/>
              </w:rPr>
              <w:t>,0</w:t>
            </w:r>
          </w:p>
        </w:tc>
        <w:tc>
          <w:tcPr>
            <w:tcW w:w="669" w:type="dxa"/>
            <w:shd w:val="clear" w:color="auto" w:fill="auto"/>
            <w:vAlign w:val="center"/>
          </w:tcPr>
          <w:p w:rsidR="00572C4C" w:rsidRPr="0086374D" w:rsidRDefault="00572C4C" w:rsidP="00A16A13">
            <w:pPr>
              <w:spacing w:before="40" w:after="20"/>
              <w:ind w:left="-68" w:right="57"/>
              <w:jc w:val="right"/>
              <w:rPr>
                <w:rFonts w:ascii="Arial Narrow" w:hAnsi="Arial Narrow" w:cs="Arial"/>
                <w:sz w:val="18"/>
                <w:szCs w:val="18"/>
              </w:rPr>
            </w:pPr>
            <w:r w:rsidRPr="0086374D">
              <w:rPr>
                <w:rFonts w:ascii="Arial Narrow" w:hAnsi="Arial Narrow" w:cs="Arial"/>
                <w:sz w:val="18"/>
                <w:szCs w:val="18"/>
              </w:rPr>
              <w:t>+1,2</w:t>
            </w:r>
          </w:p>
        </w:tc>
        <w:tc>
          <w:tcPr>
            <w:tcW w:w="845" w:type="dxa"/>
            <w:shd w:val="clear" w:color="auto" w:fill="D9D9D9" w:themeFill="background1" w:themeFillShade="D9"/>
            <w:vAlign w:val="center"/>
          </w:tcPr>
          <w:p w:rsidR="00572C4C" w:rsidRPr="00DD6C97" w:rsidRDefault="00572C4C" w:rsidP="00A16A13">
            <w:pPr>
              <w:spacing w:before="40" w:after="20"/>
              <w:ind w:left="-68" w:right="57"/>
              <w:jc w:val="right"/>
              <w:rPr>
                <w:rFonts w:ascii="Arial Narrow" w:hAnsi="Arial Narrow" w:cs="Arial"/>
                <w:sz w:val="18"/>
                <w:szCs w:val="18"/>
              </w:rPr>
            </w:pPr>
            <w:r w:rsidRPr="00DD6C97">
              <w:rPr>
                <w:rFonts w:ascii="Arial Narrow" w:hAnsi="Arial Narrow" w:cs="Arial"/>
                <w:sz w:val="18"/>
                <w:szCs w:val="18"/>
              </w:rPr>
              <w:t>+23,8</w:t>
            </w:r>
          </w:p>
        </w:tc>
        <w:tc>
          <w:tcPr>
            <w:tcW w:w="895" w:type="dxa"/>
            <w:vAlign w:val="center"/>
          </w:tcPr>
          <w:p w:rsidR="00572C4C" w:rsidRPr="00370EB6" w:rsidRDefault="00572C4C" w:rsidP="00A16A13">
            <w:pPr>
              <w:spacing w:before="40" w:after="20"/>
              <w:ind w:left="-68" w:right="57"/>
              <w:jc w:val="right"/>
              <w:rPr>
                <w:rFonts w:ascii="Arial Narrow" w:hAnsi="Arial Narrow" w:cs="Arial"/>
                <w:sz w:val="18"/>
                <w:szCs w:val="18"/>
              </w:rPr>
            </w:pPr>
            <w:r w:rsidRPr="00370EB6">
              <w:rPr>
                <w:rFonts w:ascii="Arial Narrow" w:hAnsi="Arial Narrow" w:cs="Arial"/>
                <w:sz w:val="18"/>
                <w:szCs w:val="18"/>
              </w:rPr>
              <w:t>-18,3</w:t>
            </w:r>
          </w:p>
        </w:tc>
        <w:tc>
          <w:tcPr>
            <w:tcW w:w="851" w:type="dxa"/>
            <w:shd w:val="clear" w:color="auto" w:fill="D9D9D9" w:themeFill="background1" w:themeFillShade="D9"/>
            <w:vAlign w:val="center"/>
          </w:tcPr>
          <w:p w:rsidR="00572C4C" w:rsidRPr="004F2A9A" w:rsidRDefault="00572C4C" w:rsidP="00A16A13">
            <w:pPr>
              <w:spacing w:before="40" w:after="20"/>
              <w:ind w:left="-68" w:right="57"/>
              <w:jc w:val="right"/>
              <w:rPr>
                <w:rFonts w:ascii="Arial Narrow" w:hAnsi="Arial Narrow" w:cs="Arial"/>
                <w:sz w:val="18"/>
                <w:szCs w:val="18"/>
              </w:rPr>
            </w:pPr>
            <w:r w:rsidRPr="004F2A9A">
              <w:rPr>
                <w:rFonts w:ascii="Arial Narrow" w:hAnsi="Arial Narrow" w:cs="Arial"/>
                <w:sz w:val="18"/>
                <w:szCs w:val="18"/>
              </w:rPr>
              <w:t>-7,9</w:t>
            </w:r>
          </w:p>
        </w:tc>
        <w:tc>
          <w:tcPr>
            <w:tcW w:w="1417" w:type="dxa"/>
            <w:shd w:val="clear" w:color="auto" w:fill="auto"/>
            <w:vAlign w:val="center"/>
          </w:tcPr>
          <w:p w:rsidR="00572C4C" w:rsidRPr="00572C4C" w:rsidRDefault="00572C4C" w:rsidP="00A16A13">
            <w:pPr>
              <w:spacing w:before="40" w:after="20"/>
              <w:ind w:left="-68" w:right="57"/>
              <w:jc w:val="right"/>
              <w:rPr>
                <w:rFonts w:ascii="Arial Narrow" w:hAnsi="Arial Narrow" w:cs="Arial"/>
                <w:sz w:val="18"/>
                <w:szCs w:val="18"/>
              </w:rPr>
            </w:pPr>
            <w:r w:rsidRPr="00572C4C">
              <w:rPr>
                <w:rFonts w:ascii="Arial Narrow" w:hAnsi="Arial Narrow" w:cs="Arial"/>
                <w:sz w:val="18"/>
                <w:szCs w:val="18"/>
              </w:rPr>
              <w:t>0,880</w:t>
            </w:r>
          </w:p>
        </w:tc>
      </w:tr>
      <w:tr w:rsidR="00572C4C" w:rsidRPr="00C8504B" w:rsidTr="00A16A13">
        <w:trPr>
          <w:trHeight w:val="255"/>
        </w:trPr>
        <w:tc>
          <w:tcPr>
            <w:tcW w:w="2694" w:type="dxa"/>
            <w:vAlign w:val="center"/>
          </w:tcPr>
          <w:p w:rsidR="00572C4C" w:rsidRPr="00C8504B" w:rsidRDefault="00572C4C" w:rsidP="00572C4C">
            <w:pPr>
              <w:spacing w:before="40" w:after="20"/>
              <w:ind w:firstLine="214"/>
              <w:rPr>
                <w:rFonts w:ascii="Arial Narrow" w:hAnsi="Arial Narrow" w:cs="Arial"/>
                <w:sz w:val="18"/>
                <w:szCs w:val="18"/>
              </w:rPr>
            </w:pPr>
            <w:r w:rsidRPr="00C8504B">
              <w:rPr>
                <w:rFonts w:ascii="Arial Narrow" w:hAnsi="Arial Narrow" w:cs="Arial"/>
                <w:sz w:val="18"/>
                <w:szCs w:val="18"/>
              </w:rPr>
              <w:t>Energetici regolamentati</w:t>
            </w:r>
          </w:p>
        </w:tc>
        <w:tc>
          <w:tcPr>
            <w:tcW w:w="567" w:type="dxa"/>
            <w:shd w:val="clear" w:color="auto" w:fill="D9D9D9" w:themeFill="background1" w:themeFillShade="D9"/>
            <w:vAlign w:val="center"/>
          </w:tcPr>
          <w:p w:rsidR="00572C4C" w:rsidRPr="001630C6"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65,6</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sidRPr="00A807E5">
              <w:rPr>
                <w:rFonts w:ascii="Arial Narrow" w:hAnsi="Arial Narrow" w:cs="Arial"/>
                <w:sz w:val="18"/>
                <w:szCs w:val="18"/>
              </w:rPr>
              <w:t>-16,2</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sidRPr="00A807E5">
              <w:rPr>
                <w:rFonts w:ascii="Arial Narrow" w:hAnsi="Arial Narrow" w:cs="Arial"/>
                <w:sz w:val="18"/>
                <w:szCs w:val="18"/>
              </w:rPr>
              <w:t>-28,7</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sidRPr="00A807E5">
              <w:rPr>
                <w:rFonts w:ascii="Arial Narrow" w:hAnsi="Arial Narrow" w:cs="Arial"/>
                <w:sz w:val="18"/>
                <w:szCs w:val="18"/>
              </w:rPr>
              <w:t>-29,3</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sidRPr="00A807E5">
              <w:rPr>
                <w:rFonts w:ascii="Arial Narrow" w:hAnsi="Arial Narrow" w:cs="Arial"/>
                <w:sz w:val="18"/>
                <w:szCs w:val="18"/>
              </w:rPr>
              <w:t>-36,2</w:t>
            </w:r>
          </w:p>
        </w:tc>
        <w:tc>
          <w:tcPr>
            <w:tcW w:w="669" w:type="dxa"/>
            <w:shd w:val="clear" w:color="auto" w:fill="auto"/>
            <w:vAlign w:val="center"/>
          </w:tcPr>
          <w:p w:rsidR="00572C4C" w:rsidRPr="0086374D" w:rsidRDefault="00572C4C" w:rsidP="00A16A13">
            <w:pPr>
              <w:spacing w:before="40" w:after="20"/>
              <w:ind w:left="-68" w:right="57"/>
              <w:jc w:val="right"/>
              <w:rPr>
                <w:rFonts w:ascii="Arial Narrow" w:hAnsi="Arial Narrow" w:cs="Arial"/>
                <w:sz w:val="18"/>
                <w:szCs w:val="18"/>
              </w:rPr>
            </w:pPr>
            <w:r w:rsidRPr="0086374D">
              <w:rPr>
                <w:rFonts w:ascii="Arial Narrow" w:hAnsi="Arial Narrow" w:cs="Arial"/>
                <w:sz w:val="18"/>
                <w:szCs w:val="18"/>
              </w:rPr>
              <w:t>-27,8</w:t>
            </w:r>
          </w:p>
        </w:tc>
        <w:tc>
          <w:tcPr>
            <w:tcW w:w="845" w:type="dxa"/>
            <w:shd w:val="clear" w:color="auto" w:fill="D9D9D9" w:themeFill="background1" w:themeFillShade="D9"/>
            <w:vAlign w:val="center"/>
          </w:tcPr>
          <w:p w:rsidR="00572C4C" w:rsidRPr="00DD6C97" w:rsidRDefault="00572C4C" w:rsidP="00A16A13">
            <w:pPr>
              <w:spacing w:before="40" w:after="20"/>
              <w:ind w:left="-68" w:right="57"/>
              <w:jc w:val="right"/>
              <w:rPr>
                <w:rFonts w:ascii="Arial Narrow" w:hAnsi="Arial Narrow" w:cs="Arial"/>
                <w:sz w:val="18"/>
                <w:szCs w:val="18"/>
              </w:rPr>
            </w:pPr>
            <w:r w:rsidRPr="00DD6C97">
              <w:rPr>
                <w:rFonts w:ascii="Arial Narrow" w:hAnsi="Arial Narrow" w:cs="Arial"/>
                <w:sz w:val="18"/>
                <w:szCs w:val="18"/>
              </w:rPr>
              <w:t>+22,5</w:t>
            </w:r>
          </w:p>
        </w:tc>
        <w:tc>
          <w:tcPr>
            <w:tcW w:w="895" w:type="dxa"/>
            <w:vAlign w:val="center"/>
          </w:tcPr>
          <w:p w:rsidR="00572C4C" w:rsidRPr="00370EB6" w:rsidRDefault="00572C4C" w:rsidP="00A16A13">
            <w:pPr>
              <w:spacing w:before="40" w:after="20"/>
              <w:ind w:left="-68" w:right="57"/>
              <w:jc w:val="right"/>
              <w:rPr>
                <w:rFonts w:ascii="Arial Narrow" w:hAnsi="Arial Narrow" w:cs="Arial"/>
                <w:sz w:val="18"/>
                <w:szCs w:val="18"/>
              </w:rPr>
            </w:pPr>
            <w:r w:rsidRPr="00370EB6">
              <w:rPr>
                <w:rFonts w:ascii="Arial Narrow" w:hAnsi="Arial Narrow" w:cs="Arial"/>
                <w:sz w:val="18"/>
                <w:szCs w:val="18"/>
              </w:rPr>
              <w:t>-41,0</w:t>
            </w:r>
          </w:p>
        </w:tc>
        <w:tc>
          <w:tcPr>
            <w:tcW w:w="851" w:type="dxa"/>
            <w:shd w:val="clear" w:color="auto" w:fill="D9D9D9" w:themeFill="background1" w:themeFillShade="D9"/>
            <w:vAlign w:val="center"/>
          </w:tcPr>
          <w:p w:rsidR="00572C4C" w:rsidRPr="004F2A9A" w:rsidRDefault="00572C4C" w:rsidP="00A16A13">
            <w:pPr>
              <w:spacing w:before="40" w:after="20"/>
              <w:ind w:left="-68" w:right="57"/>
              <w:jc w:val="right"/>
              <w:rPr>
                <w:rFonts w:ascii="Arial Narrow" w:hAnsi="Arial Narrow" w:cs="Arial"/>
                <w:sz w:val="18"/>
                <w:szCs w:val="18"/>
              </w:rPr>
            </w:pPr>
            <w:r w:rsidRPr="004F2A9A">
              <w:rPr>
                <w:rFonts w:ascii="Arial Narrow" w:hAnsi="Arial Narrow" w:cs="Arial"/>
                <w:sz w:val="18"/>
                <w:szCs w:val="18"/>
              </w:rPr>
              <w:t>-0,9</w:t>
            </w:r>
          </w:p>
        </w:tc>
        <w:tc>
          <w:tcPr>
            <w:tcW w:w="1417" w:type="dxa"/>
            <w:shd w:val="clear" w:color="auto" w:fill="auto"/>
            <w:vAlign w:val="center"/>
          </w:tcPr>
          <w:p w:rsidR="00572C4C" w:rsidRPr="00572C4C" w:rsidRDefault="00572C4C" w:rsidP="00A16A13">
            <w:pPr>
              <w:spacing w:before="40" w:after="20"/>
              <w:ind w:left="-68" w:right="57"/>
              <w:jc w:val="right"/>
              <w:rPr>
                <w:rFonts w:ascii="Arial Narrow" w:hAnsi="Arial Narrow" w:cs="Arial"/>
                <w:sz w:val="18"/>
                <w:szCs w:val="18"/>
              </w:rPr>
            </w:pPr>
            <w:r w:rsidRPr="00572C4C">
              <w:rPr>
                <w:rFonts w:ascii="Arial Narrow" w:hAnsi="Arial Narrow" w:cs="Arial"/>
                <w:sz w:val="18"/>
                <w:szCs w:val="18"/>
              </w:rPr>
              <w:t>-0,256</w:t>
            </w:r>
          </w:p>
        </w:tc>
      </w:tr>
      <w:tr w:rsidR="00572C4C" w:rsidRPr="00C8504B" w:rsidTr="00A16A13">
        <w:trPr>
          <w:trHeight w:val="255"/>
        </w:trPr>
        <w:tc>
          <w:tcPr>
            <w:tcW w:w="2694" w:type="dxa"/>
            <w:vAlign w:val="center"/>
          </w:tcPr>
          <w:p w:rsidR="00572C4C" w:rsidRPr="004A35C3" w:rsidRDefault="00572C4C" w:rsidP="00572C4C">
            <w:pPr>
              <w:spacing w:before="40" w:after="20"/>
              <w:ind w:firstLine="214"/>
              <w:rPr>
                <w:rFonts w:ascii="Arial Narrow" w:hAnsi="Arial Narrow" w:cs="Arial"/>
                <w:sz w:val="18"/>
                <w:szCs w:val="18"/>
              </w:rPr>
            </w:pPr>
            <w:r w:rsidRPr="004A35C3">
              <w:rPr>
                <w:rFonts w:ascii="Arial Narrow" w:hAnsi="Arial Narrow" w:cs="Arial"/>
                <w:sz w:val="18"/>
                <w:szCs w:val="18"/>
              </w:rPr>
              <w:t>Energetici non regolamentati</w:t>
            </w:r>
          </w:p>
        </w:tc>
        <w:tc>
          <w:tcPr>
            <w:tcW w:w="567" w:type="dxa"/>
            <w:shd w:val="clear" w:color="auto" w:fill="D9D9D9" w:themeFill="background1" w:themeFillShade="D9"/>
            <w:vAlign w:val="center"/>
          </w:tcPr>
          <w:p w:rsidR="00572C4C" w:rsidRPr="001630C6"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44,7</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38,6</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18,2</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6,7</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sidRPr="00A807E5">
              <w:rPr>
                <w:rFonts w:ascii="Arial Narrow" w:hAnsi="Arial Narrow" w:cs="Arial"/>
                <w:sz w:val="18"/>
                <w:szCs w:val="18"/>
              </w:rPr>
              <w:t>-20,4</w:t>
            </w:r>
          </w:p>
        </w:tc>
        <w:tc>
          <w:tcPr>
            <w:tcW w:w="669" w:type="dxa"/>
            <w:shd w:val="clear" w:color="auto" w:fill="auto"/>
            <w:vAlign w:val="center"/>
          </w:tcPr>
          <w:p w:rsidR="00572C4C" w:rsidRPr="0086374D" w:rsidRDefault="00572C4C" w:rsidP="00A16A13">
            <w:pPr>
              <w:spacing w:before="40" w:after="20"/>
              <w:ind w:left="-68" w:right="57"/>
              <w:jc w:val="right"/>
              <w:rPr>
                <w:rFonts w:ascii="Arial Narrow" w:hAnsi="Arial Narrow" w:cs="Arial"/>
                <w:sz w:val="18"/>
                <w:szCs w:val="18"/>
              </w:rPr>
            </w:pPr>
            <w:r w:rsidRPr="0086374D">
              <w:rPr>
                <w:rFonts w:ascii="Arial Narrow" w:hAnsi="Arial Narrow" w:cs="Arial"/>
                <w:sz w:val="18"/>
                <w:szCs w:val="18"/>
              </w:rPr>
              <w:t>+7,5</w:t>
            </w:r>
          </w:p>
        </w:tc>
        <w:tc>
          <w:tcPr>
            <w:tcW w:w="845" w:type="dxa"/>
            <w:shd w:val="clear" w:color="auto" w:fill="D9D9D9" w:themeFill="background1" w:themeFillShade="D9"/>
            <w:vAlign w:val="center"/>
          </w:tcPr>
          <w:p w:rsidR="00572C4C" w:rsidRPr="00DD6C97" w:rsidRDefault="00572C4C" w:rsidP="00A16A13">
            <w:pPr>
              <w:spacing w:before="40" w:after="20"/>
              <w:ind w:left="-68" w:right="57"/>
              <w:jc w:val="right"/>
              <w:rPr>
                <w:rFonts w:ascii="Arial Narrow" w:hAnsi="Arial Narrow" w:cs="Arial"/>
                <w:sz w:val="18"/>
                <w:szCs w:val="18"/>
              </w:rPr>
            </w:pPr>
            <w:r w:rsidRPr="00DD6C97">
              <w:rPr>
                <w:rFonts w:ascii="Arial Narrow" w:hAnsi="Arial Narrow" w:cs="Arial"/>
                <w:sz w:val="18"/>
                <w:szCs w:val="18"/>
              </w:rPr>
              <w:t>+24,0</w:t>
            </w:r>
          </w:p>
        </w:tc>
        <w:tc>
          <w:tcPr>
            <w:tcW w:w="895" w:type="dxa"/>
            <w:vAlign w:val="center"/>
          </w:tcPr>
          <w:p w:rsidR="00572C4C" w:rsidRPr="00370EB6" w:rsidRDefault="00572C4C" w:rsidP="00A16A13">
            <w:pPr>
              <w:spacing w:before="40" w:after="20"/>
              <w:ind w:left="-68" w:right="57"/>
              <w:jc w:val="right"/>
              <w:rPr>
                <w:rFonts w:ascii="Arial Narrow" w:hAnsi="Arial Narrow" w:cs="Arial"/>
                <w:sz w:val="18"/>
                <w:szCs w:val="18"/>
              </w:rPr>
            </w:pPr>
            <w:r w:rsidRPr="00370EB6">
              <w:rPr>
                <w:rFonts w:ascii="Arial Narrow" w:hAnsi="Arial Narrow" w:cs="Arial"/>
                <w:sz w:val="18"/>
                <w:szCs w:val="18"/>
              </w:rPr>
              <w:t>-13,4</w:t>
            </w:r>
          </w:p>
        </w:tc>
        <w:tc>
          <w:tcPr>
            <w:tcW w:w="851" w:type="dxa"/>
            <w:shd w:val="clear" w:color="auto" w:fill="D9D9D9" w:themeFill="background1" w:themeFillShade="D9"/>
            <w:vAlign w:val="center"/>
          </w:tcPr>
          <w:p w:rsidR="00572C4C" w:rsidRPr="004F2A9A" w:rsidRDefault="00572C4C" w:rsidP="00A16A13">
            <w:pPr>
              <w:spacing w:before="40" w:after="20"/>
              <w:ind w:left="-68" w:right="57"/>
              <w:jc w:val="right"/>
              <w:rPr>
                <w:rFonts w:ascii="Arial Narrow" w:hAnsi="Arial Narrow" w:cs="Arial"/>
                <w:sz w:val="18"/>
                <w:szCs w:val="18"/>
              </w:rPr>
            </w:pPr>
            <w:r w:rsidRPr="004F2A9A">
              <w:rPr>
                <w:rFonts w:ascii="Arial Narrow" w:hAnsi="Arial Narrow" w:cs="Arial"/>
                <w:sz w:val="18"/>
                <w:szCs w:val="18"/>
              </w:rPr>
              <w:t>-8,9</w:t>
            </w:r>
          </w:p>
        </w:tc>
        <w:tc>
          <w:tcPr>
            <w:tcW w:w="1417" w:type="dxa"/>
            <w:shd w:val="clear" w:color="auto" w:fill="auto"/>
            <w:vAlign w:val="center"/>
          </w:tcPr>
          <w:p w:rsidR="00572C4C" w:rsidRPr="00572C4C" w:rsidRDefault="00572C4C" w:rsidP="00A16A13">
            <w:pPr>
              <w:spacing w:before="40" w:after="20"/>
              <w:ind w:left="-68" w:right="57"/>
              <w:jc w:val="right"/>
              <w:rPr>
                <w:rFonts w:ascii="Arial Narrow" w:hAnsi="Arial Narrow" w:cs="Arial"/>
                <w:sz w:val="18"/>
                <w:szCs w:val="18"/>
              </w:rPr>
            </w:pPr>
            <w:r w:rsidRPr="00572C4C">
              <w:rPr>
                <w:rFonts w:ascii="Arial Narrow" w:hAnsi="Arial Narrow" w:cs="Arial"/>
                <w:sz w:val="18"/>
                <w:szCs w:val="18"/>
              </w:rPr>
              <w:t>1,136</w:t>
            </w:r>
          </w:p>
        </w:tc>
      </w:tr>
      <w:tr w:rsidR="00572C4C" w:rsidRPr="00C8504B" w:rsidTr="00A16A13">
        <w:trPr>
          <w:trHeight w:val="255"/>
        </w:trPr>
        <w:tc>
          <w:tcPr>
            <w:tcW w:w="2694" w:type="dxa"/>
            <w:vAlign w:val="center"/>
          </w:tcPr>
          <w:p w:rsidR="00572C4C" w:rsidRPr="00C8504B" w:rsidRDefault="00572C4C" w:rsidP="00572C4C">
            <w:pPr>
              <w:spacing w:before="40" w:after="20"/>
              <w:ind w:left="-68"/>
              <w:rPr>
                <w:rFonts w:ascii="Arial Narrow" w:hAnsi="Arial Narrow" w:cs="Arial"/>
                <w:sz w:val="18"/>
                <w:szCs w:val="18"/>
              </w:rPr>
            </w:pPr>
            <w:r w:rsidRPr="00C8504B">
              <w:rPr>
                <w:rFonts w:ascii="Arial Narrow" w:hAnsi="Arial Narrow" w:cs="Arial"/>
                <w:sz w:val="18"/>
                <w:szCs w:val="18"/>
              </w:rPr>
              <w:t>Tabacchi</w:t>
            </w:r>
          </w:p>
        </w:tc>
        <w:tc>
          <w:tcPr>
            <w:tcW w:w="567" w:type="dxa"/>
            <w:shd w:val="clear" w:color="auto" w:fill="D9D9D9" w:themeFill="background1" w:themeFillShade="D9"/>
            <w:vAlign w:val="center"/>
          </w:tcPr>
          <w:p w:rsidR="00572C4C" w:rsidRPr="001630C6"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0,2</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1,4</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2,5</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1,9</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2,2</w:t>
            </w:r>
          </w:p>
        </w:tc>
        <w:tc>
          <w:tcPr>
            <w:tcW w:w="669" w:type="dxa"/>
            <w:shd w:val="clear" w:color="auto" w:fill="auto"/>
            <w:vAlign w:val="center"/>
          </w:tcPr>
          <w:p w:rsidR="00572C4C" w:rsidRPr="0086374D" w:rsidRDefault="00572C4C" w:rsidP="00A16A13">
            <w:pPr>
              <w:spacing w:before="40" w:after="20"/>
              <w:ind w:left="-68" w:right="57"/>
              <w:jc w:val="right"/>
              <w:rPr>
                <w:rFonts w:ascii="Arial Narrow" w:hAnsi="Arial Narrow" w:cs="Arial"/>
                <w:sz w:val="18"/>
                <w:szCs w:val="18"/>
              </w:rPr>
            </w:pPr>
            <w:r w:rsidRPr="0086374D">
              <w:rPr>
                <w:rFonts w:ascii="Arial Narrow" w:hAnsi="Arial Narrow" w:cs="Arial"/>
                <w:sz w:val="18"/>
                <w:szCs w:val="18"/>
              </w:rPr>
              <w:t>+2,0</w:t>
            </w:r>
          </w:p>
        </w:tc>
        <w:tc>
          <w:tcPr>
            <w:tcW w:w="845" w:type="dxa"/>
            <w:shd w:val="clear" w:color="auto" w:fill="D9D9D9" w:themeFill="background1" w:themeFillShade="D9"/>
            <w:vAlign w:val="center"/>
          </w:tcPr>
          <w:p w:rsidR="00572C4C" w:rsidRPr="00DD6C97" w:rsidRDefault="00572C4C" w:rsidP="00A16A13">
            <w:pPr>
              <w:spacing w:before="40" w:after="20"/>
              <w:ind w:left="-68" w:right="57"/>
              <w:jc w:val="right"/>
              <w:rPr>
                <w:rFonts w:ascii="Arial Narrow" w:hAnsi="Arial Narrow" w:cs="Arial"/>
                <w:sz w:val="18"/>
                <w:szCs w:val="18"/>
              </w:rPr>
            </w:pPr>
            <w:r w:rsidRPr="00DD6C97">
              <w:rPr>
                <w:rFonts w:ascii="Arial Narrow" w:hAnsi="Arial Narrow" w:cs="Arial"/>
                <w:sz w:val="18"/>
                <w:szCs w:val="18"/>
              </w:rPr>
              <w:t>-0,1</w:t>
            </w:r>
          </w:p>
        </w:tc>
        <w:tc>
          <w:tcPr>
            <w:tcW w:w="895" w:type="dxa"/>
            <w:vAlign w:val="center"/>
          </w:tcPr>
          <w:p w:rsidR="00572C4C" w:rsidRPr="00370EB6" w:rsidRDefault="00572C4C" w:rsidP="00A16A13">
            <w:pPr>
              <w:spacing w:before="40" w:after="20"/>
              <w:ind w:left="-68" w:right="57"/>
              <w:jc w:val="right"/>
              <w:rPr>
                <w:rFonts w:ascii="Arial Narrow" w:hAnsi="Arial Narrow" w:cs="Arial"/>
                <w:sz w:val="18"/>
                <w:szCs w:val="18"/>
              </w:rPr>
            </w:pPr>
            <w:r w:rsidRPr="00370EB6">
              <w:rPr>
                <w:rFonts w:ascii="Arial Narrow" w:hAnsi="Arial Narrow" w:cs="Arial"/>
                <w:sz w:val="18"/>
                <w:szCs w:val="18"/>
              </w:rPr>
              <w:t>+2,1</w:t>
            </w:r>
          </w:p>
        </w:tc>
        <w:tc>
          <w:tcPr>
            <w:tcW w:w="851" w:type="dxa"/>
            <w:shd w:val="clear" w:color="auto" w:fill="D9D9D9" w:themeFill="background1" w:themeFillShade="D9"/>
            <w:vAlign w:val="center"/>
          </w:tcPr>
          <w:p w:rsidR="00572C4C" w:rsidRPr="004F2A9A" w:rsidRDefault="00572C4C" w:rsidP="00A16A13">
            <w:pPr>
              <w:spacing w:before="40" w:after="20"/>
              <w:ind w:left="-68" w:right="57"/>
              <w:jc w:val="right"/>
              <w:rPr>
                <w:rFonts w:ascii="Arial Narrow" w:hAnsi="Arial Narrow" w:cs="Arial"/>
                <w:sz w:val="18"/>
                <w:szCs w:val="18"/>
              </w:rPr>
            </w:pPr>
            <w:r w:rsidRPr="004F2A9A">
              <w:rPr>
                <w:rFonts w:ascii="Arial Narrow" w:hAnsi="Arial Narrow" w:cs="Arial"/>
                <w:sz w:val="18"/>
                <w:szCs w:val="18"/>
              </w:rPr>
              <w:t>+0,1</w:t>
            </w:r>
          </w:p>
        </w:tc>
        <w:tc>
          <w:tcPr>
            <w:tcW w:w="1417" w:type="dxa"/>
            <w:shd w:val="clear" w:color="auto" w:fill="auto"/>
            <w:vAlign w:val="center"/>
          </w:tcPr>
          <w:p w:rsidR="00572C4C" w:rsidRPr="00572C4C" w:rsidRDefault="00572C4C" w:rsidP="00A16A13">
            <w:pPr>
              <w:spacing w:before="40" w:after="20"/>
              <w:ind w:left="-68" w:right="57"/>
              <w:jc w:val="right"/>
              <w:rPr>
                <w:rFonts w:ascii="Arial Narrow" w:hAnsi="Arial Narrow" w:cs="Arial"/>
                <w:sz w:val="18"/>
                <w:szCs w:val="18"/>
              </w:rPr>
            </w:pPr>
            <w:r w:rsidRPr="00572C4C">
              <w:rPr>
                <w:rFonts w:ascii="Arial Narrow" w:hAnsi="Arial Narrow" w:cs="Arial"/>
                <w:sz w:val="18"/>
                <w:szCs w:val="18"/>
              </w:rPr>
              <w:t>0,041</w:t>
            </w:r>
          </w:p>
        </w:tc>
      </w:tr>
      <w:tr w:rsidR="00572C4C" w:rsidRPr="00C8504B" w:rsidTr="00A16A13">
        <w:trPr>
          <w:trHeight w:val="255"/>
        </w:trPr>
        <w:tc>
          <w:tcPr>
            <w:tcW w:w="2694" w:type="dxa"/>
            <w:vAlign w:val="center"/>
          </w:tcPr>
          <w:p w:rsidR="00572C4C" w:rsidRPr="00C8504B" w:rsidRDefault="00572C4C" w:rsidP="00572C4C">
            <w:pPr>
              <w:spacing w:before="40" w:after="20"/>
              <w:ind w:left="-68"/>
              <w:rPr>
                <w:rFonts w:ascii="Arial Narrow" w:hAnsi="Arial Narrow" w:cs="Arial"/>
                <w:sz w:val="18"/>
                <w:szCs w:val="18"/>
              </w:rPr>
            </w:pPr>
            <w:r w:rsidRPr="00C8504B">
              <w:rPr>
                <w:rFonts w:ascii="Arial Narrow" w:hAnsi="Arial Narrow" w:cs="Arial"/>
                <w:sz w:val="18"/>
                <w:szCs w:val="18"/>
              </w:rPr>
              <w:t>Altri beni, di cui:</w:t>
            </w:r>
          </w:p>
        </w:tc>
        <w:tc>
          <w:tcPr>
            <w:tcW w:w="567" w:type="dxa"/>
            <w:shd w:val="clear" w:color="auto" w:fill="D9D9D9" w:themeFill="background1" w:themeFillShade="D9"/>
            <w:vAlign w:val="center"/>
          </w:tcPr>
          <w:p w:rsidR="00572C4C" w:rsidRPr="001630C6"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3</w:t>
            </w:r>
            <w:r>
              <w:rPr>
                <w:rFonts w:ascii="Arial Narrow" w:hAnsi="Arial Narrow" w:cs="Arial"/>
                <w:sz w:val="18"/>
                <w:szCs w:val="18"/>
              </w:rPr>
              <w:t>,0</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5,4</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5</w:t>
            </w:r>
            <w:r>
              <w:rPr>
                <w:rFonts w:ascii="Arial Narrow" w:hAnsi="Arial Narrow" w:cs="Arial"/>
                <w:sz w:val="18"/>
                <w:szCs w:val="18"/>
              </w:rPr>
              <w:t>,0</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4,1</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2,5</w:t>
            </w:r>
          </w:p>
        </w:tc>
        <w:tc>
          <w:tcPr>
            <w:tcW w:w="669" w:type="dxa"/>
            <w:shd w:val="clear" w:color="auto" w:fill="auto"/>
            <w:vAlign w:val="center"/>
          </w:tcPr>
          <w:p w:rsidR="00572C4C" w:rsidRPr="0086374D" w:rsidRDefault="00572C4C" w:rsidP="00A16A13">
            <w:pPr>
              <w:spacing w:before="40" w:after="20"/>
              <w:ind w:left="-68" w:right="57"/>
              <w:jc w:val="right"/>
              <w:rPr>
                <w:rFonts w:ascii="Arial Narrow" w:hAnsi="Arial Narrow" w:cs="Arial"/>
                <w:sz w:val="18"/>
                <w:szCs w:val="18"/>
              </w:rPr>
            </w:pPr>
            <w:r w:rsidRPr="0086374D">
              <w:rPr>
                <w:rFonts w:ascii="Arial Narrow" w:hAnsi="Arial Narrow" w:cs="Arial"/>
                <w:sz w:val="18"/>
                <w:szCs w:val="18"/>
              </w:rPr>
              <w:t>+4,2</w:t>
            </w:r>
          </w:p>
        </w:tc>
        <w:tc>
          <w:tcPr>
            <w:tcW w:w="845" w:type="dxa"/>
            <w:shd w:val="clear" w:color="auto" w:fill="D9D9D9" w:themeFill="background1" w:themeFillShade="D9"/>
            <w:vAlign w:val="center"/>
          </w:tcPr>
          <w:p w:rsidR="00572C4C" w:rsidRPr="00DD6C97" w:rsidRDefault="00572C4C" w:rsidP="00A16A13">
            <w:pPr>
              <w:spacing w:before="40" w:after="20"/>
              <w:ind w:left="-68" w:right="57"/>
              <w:jc w:val="right"/>
              <w:rPr>
                <w:rFonts w:ascii="Arial Narrow" w:hAnsi="Arial Narrow" w:cs="Arial"/>
                <w:sz w:val="18"/>
                <w:szCs w:val="18"/>
              </w:rPr>
            </w:pPr>
            <w:r w:rsidRPr="00DD6C97">
              <w:rPr>
                <w:rFonts w:ascii="Arial Narrow" w:hAnsi="Arial Narrow" w:cs="Arial"/>
                <w:sz w:val="18"/>
                <w:szCs w:val="18"/>
              </w:rPr>
              <w:t>+2,6</w:t>
            </w:r>
          </w:p>
        </w:tc>
        <w:tc>
          <w:tcPr>
            <w:tcW w:w="895" w:type="dxa"/>
            <w:vAlign w:val="center"/>
          </w:tcPr>
          <w:p w:rsidR="00572C4C" w:rsidRPr="00370EB6" w:rsidRDefault="00572C4C" w:rsidP="00A16A13">
            <w:pPr>
              <w:spacing w:before="40" w:after="20"/>
              <w:ind w:left="-68" w:right="57"/>
              <w:jc w:val="right"/>
              <w:rPr>
                <w:rFonts w:ascii="Arial Narrow" w:hAnsi="Arial Narrow" w:cs="Arial"/>
                <w:sz w:val="18"/>
                <w:szCs w:val="18"/>
              </w:rPr>
            </w:pPr>
            <w:r w:rsidRPr="00370EB6">
              <w:rPr>
                <w:rFonts w:ascii="Arial Narrow" w:hAnsi="Arial Narrow" w:cs="Arial"/>
                <w:sz w:val="18"/>
                <w:szCs w:val="18"/>
              </w:rPr>
              <w:t>+1,6</w:t>
            </w:r>
          </w:p>
        </w:tc>
        <w:tc>
          <w:tcPr>
            <w:tcW w:w="851" w:type="dxa"/>
            <w:shd w:val="clear" w:color="auto" w:fill="D9D9D9" w:themeFill="background1" w:themeFillShade="D9"/>
            <w:vAlign w:val="center"/>
          </w:tcPr>
          <w:p w:rsidR="00572C4C" w:rsidRPr="004F2A9A" w:rsidRDefault="00572C4C" w:rsidP="00A16A13">
            <w:pPr>
              <w:spacing w:before="40" w:after="20"/>
              <w:ind w:left="-68" w:right="57"/>
              <w:jc w:val="right"/>
              <w:rPr>
                <w:rFonts w:ascii="Arial Narrow" w:hAnsi="Arial Narrow" w:cs="Arial"/>
                <w:sz w:val="18"/>
                <w:szCs w:val="18"/>
              </w:rPr>
            </w:pPr>
            <w:r w:rsidRPr="004F2A9A">
              <w:rPr>
                <w:rFonts w:ascii="Arial Narrow" w:hAnsi="Arial Narrow" w:cs="Arial"/>
                <w:sz w:val="18"/>
                <w:szCs w:val="18"/>
              </w:rPr>
              <w:t>+0,5</w:t>
            </w:r>
          </w:p>
        </w:tc>
        <w:tc>
          <w:tcPr>
            <w:tcW w:w="1417" w:type="dxa"/>
            <w:shd w:val="clear" w:color="auto" w:fill="auto"/>
            <w:vAlign w:val="center"/>
          </w:tcPr>
          <w:p w:rsidR="00572C4C" w:rsidRPr="00572C4C" w:rsidRDefault="00572C4C" w:rsidP="00A16A13">
            <w:pPr>
              <w:spacing w:before="40" w:after="20"/>
              <w:ind w:left="-68" w:right="57"/>
              <w:jc w:val="right"/>
              <w:rPr>
                <w:rFonts w:ascii="Arial Narrow" w:hAnsi="Arial Narrow" w:cs="Arial"/>
                <w:sz w:val="18"/>
                <w:szCs w:val="18"/>
              </w:rPr>
            </w:pPr>
            <w:r w:rsidRPr="00572C4C">
              <w:rPr>
                <w:rFonts w:ascii="Arial Narrow" w:hAnsi="Arial Narrow" w:cs="Arial"/>
                <w:sz w:val="18"/>
                <w:szCs w:val="18"/>
              </w:rPr>
              <w:t>1,150</w:t>
            </w:r>
          </w:p>
        </w:tc>
      </w:tr>
      <w:tr w:rsidR="00572C4C" w:rsidRPr="00C8504B" w:rsidTr="00A16A13">
        <w:trPr>
          <w:trHeight w:val="255"/>
        </w:trPr>
        <w:tc>
          <w:tcPr>
            <w:tcW w:w="2694" w:type="dxa"/>
            <w:vAlign w:val="center"/>
          </w:tcPr>
          <w:p w:rsidR="00572C4C" w:rsidRPr="00C8504B" w:rsidRDefault="00572C4C" w:rsidP="00572C4C">
            <w:pPr>
              <w:spacing w:before="40" w:after="20"/>
              <w:ind w:firstLine="214"/>
              <w:rPr>
                <w:rFonts w:ascii="Arial Narrow" w:hAnsi="Arial Narrow" w:cs="Arial"/>
                <w:sz w:val="18"/>
                <w:szCs w:val="18"/>
              </w:rPr>
            </w:pPr>
            <w:r w:rsidRPr="00C8504B">
              <w:rPr>
                <w:rFonts w:ascii="Arial Narrow" w:hAnsi="Arial Narrow" w:cs="Arial"/>
                <w:sz w:val="18"/>
                <w:szCs w:val="18"/>
              </w:rPr>
              <w:t>Beni durevoli</w:t>
            </w:r>
          </w:p>
        </w:tc>
        <w:tc>
          <w:tcPr>
            <w:tcW w:w="567" w:type="dxa"/>
            <w:shd w:val="clear" w:color="auto" w:fill="D9D9D9" w:themeFill="background1" w:themeFillShade="D9"/>
            <w:vAlign w:val="center"/>
          </w:tcPr>
          <w:p w:rsidR="00572C4C" w:rsidRPr="001630C6"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3,3</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6,5</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5,9</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4,6</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2,3</w:t>
            </w:r>
          </w:p>
        </w:tc>
        <w:tc>
          <w:tcPr>
            <w:tcW w:w="669" w:type="dxa"/>
            <w:shd w:val="clear" w:color="auto" w:fill="auto"/>
            <w:vAlign w:val="center"/>
          </w:tcPr>
          <w:p w:rsidR="00572C4C" w:rsidRPr="0086374D" w:rsidRDefault="00572C4C" w:rsidP="00A16A13">
            <w:pPr>
              <w:spacing w:before="40" w:after="20"/>
              <w:ind w:left="-68" w:right="57"/>
              <w:jc w:val="right"/>
              <w:rPr>
                <w:rFonts w:ascii="Arial Narrow" w:hAnsi="Arial Narrow" w:cs="Arial"/>
                <w:sz w:val="18"/>
                <w:szCs w:val="18"/>
              </w:rPr>
            </w:pPr>
            <w:r w:rsidRPr="0086374D">
              <w:rPr>
                <w:rFonts w:ascii="Arial Narrow" w:hAnsi="Arial Narrow" w:cs="Arial"/>
                <w:sz w:val="18"/>
                <w:szCs w:val="18"/>
              </w:rPr>
              <w:t>+4,9</w:t>
            </w:r>
          </w:p>
        </w:tc>
        <w:tc>
          <w:tcPr>
            <w:tcW w:w="845" w:type="dxa"/>
            <w:shd w:val="clear" w:color="auto" w:fill="D9D9D9" w:themeFill="background1" w:themeFillShade="D9"/>
            <w:vAlign w:val="center"/>
          </w:tcPr>
          <w:p w:rsidR="00572C4C" w:rsidRPr="00DD6C97" w:rsidRDefault="00572C4C" w:rsidP="00A16A13">
            <w:pPr>
              <w:spacing w:before="40" w:after="20"/>
              <w:ind w:left="-68" w:right="57"/>
              <w:jc w:val="right"/>
              <w:rPr>
                <w:rFonts w:ascii="Arial Narrow" w:hAnsi="Arial Narrow" w:cs="Arial"/>
                <w:sz w:val="18"/>
                <w:szCs w:val="18"/>
              </w:rPr>
            </w:pPr>
            <w:r w:rsidRPr="00DD6C97">
              <w:rPr>
                <w:rFonts w:ascii="Arial Narrow" w:hAnsi="Arial Narrow" w:cs="Arial"/>
                <w:sz w:val="18"/>
                <w:szCs w:val="18"/>
              </w:rPr>
              <w:t>+3,1</w:t>
            </w:r>
          </w:p>
        </w:tc>
        <w:tc>
          <w:tcPr>
            <w:tcW w:w="895" w:type="dxa"/>
            <w:vAlign w:val="center"/>
          </w:tcPr>
          <w:p w:rsidR="00572C4C" w:rsidRPr="00370EB6" w:rsidRDefault="00572C4C" w:rsidP="00A16A13">
            <w:pPr>
              <w:spacing w:before="40" w:after="20"/>
              <w:ind w:left="-68" w:right="57"/>
              <w:jc w:val="right"/>
              <w:rPr>
                <w:rFonts w:ascii="Arial Narrow" w:hAnsi="Arial Narrow" w:cs="Arial"/>
                <w:sz w:val="18"/>
                <w:szCs w:val="18"/>
              </w:rPr>
            </w:pPr>
            <w:r w:rsidRPr="00370EB6">
              <w:rPr>
                <w:rFonts w:ascii="Arial Narrow" w:hAnsi="Arial Narrow" w:cs="Arial"/>
                <w:sz w:val="18"/>
                <w:szCs w:val="18"/>
              </w:rPr>
              <w:t>+1,7</w:t>
            </w:r>
          </w:p>
        </w:tc>
        <w:tc>
          <w:tcPr>
            <w:tcW w:w="851" w:type="dxa"/>
            <w:shd w:val="clear" w:color="auto" w:fill="D9D9D9" w:themeFill="background1" w:themeFillShade="D9"/>
            <w:vAlign w:val="center"/>
          </w:tcPr>
          <w:p w:rsidR="00572C4C" w:rsidRPr="004F2A9A" w:rsidRDefault="00572C4C" w:rsidP="00A16A13">
            <w:pPr>
              <w:spacing w:before="40" w:after="20"/>
              <w:ind w:left="-68" w:right="57"/>
              <w:jc w:val="right"/>
              <w:rPr>
                <w:rFonts w:ascii="Arial Narrow" w:hAnsi="Arial Narrow" w:cs="Arial"/>
                <w:sz w:val="18"/>
                <w:szCs w:val="18"/>
              </w:rPr>
            </w:pPr>
            <w:r w:rsidRPr="004F2A9A">
              <w:rPr>
                <w:rFonts w:ascii="Arial Narrow" w:hAnsi="Arial Narrow" w:cs="Arial"/>
                <w:sz w:val="18"/>
                <w:szCs w:val="18"/>
              </w:rPr>
              <w:t>-0,2</w:t>
            </w:r>
          </w:p>
        </w:tc>
        <w:tc>
          <w:tcPr>
            <w:tcW w:w="1417" w:type="dxa"/>
            <w:shd w:val="clear" w:color="auto" w:fill="auto"/>
            <w:vAlign w:val="center"/>
          </w:tcPr>
          <w:p w:rsidR="00572C4C" w:rsidRPr="00572C4C" w:rsidRDefault="00572C4C" w:rsidP="00A16A13">
            <w:pPr>
              <w:spacing w:before="40" w:after="20"/>
              <w:ind w:left="-68" w:right="57"/>
              <w:jc w:val="right"/>
              <w:rPr>
                <w:rFonts w:ascii="Arial Narrow" w:hAnsi="Arial Narrow" w:cs="Arial"/>
                <w:sz w:val="18"/>
                <w:szCs w:val="18"/>
              </w:rPr>
            </w:pPr>
            <w:r w:rsidRPr="00572C4C">
              <w:rPr>
                <w:rFonts w:ascii="Arial Narrow" w:hAnsi="Arial Narrow" w:cs="Arial"/>
                <w:sz w:val="18"/>
                <w:szCs w:val="18"/>
              </w:rPr>
              <w:t>0,508</w:t>
            </w:r>
          </w:p>
        </w:tc>
      </w:tr>
      <w:tr w:rsidR="00572C4C" w:rsidRPr="00C8504B" w:rsidTr="00A16A13">
        <w:trPr>
          <w:trHeight w:val="255"/>
        </w:trPr>
        <w:tc>
          <w:tcPr>
            <w:tcW w:w="2694" w:type="dxa"/>
            <w:vAlign w:val="center"/>
          </w:tcPr>
          <w:p w:rsidR="00572C4C" w:rsidRPr="00C8504B" w:rsidRDefault="00572C4C" w:rsidP="00572C4C">
            <w:pPr>
              <w:spacing w:before="40" w:after="20"/>
              <w:ind w:firstLine="214"/>
              <w:rPr>
                <w:rFonts w:ascii="Arial Narrow" w:hAnsi="Arial Narrow" w:cs="Arial"/>
                <w:sz w:val="18"/>
                <w:szCs w:val="18"/>
              </w:rPr>
            </w:pPr>
            <w:r w:rsidRPr="00C8504B">
              <w:rPr>
                <w:rFonts w:ascii="Arial Narrow" w:hAnsi="Arial Narrow" w:cs="Arial"/>
                <w:sz w:val="18"/>
                <w:szCs w:val="18"/>
              </w:rPr>
              <w:t>Beni non durevoli</w:t>
            </w:r>
          </w:p>
        </w:tc>
        <w:tc>
          <w:tcPr>
            <w:tcW w:w="567" w:type="dxa"/>
            <w:shd w:val="clear" w:color="auto" w:fill="D9D9D9" w:themeFill="background1" w:themeFillShade="D9"/>
            <w:vAlign w:val="center"/>
          </w:tcPr>
          <w:p w:rsidR="00572C4C" w:rsidRPr="001630C6"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3,3</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6,9</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6,4</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5,1</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3,2</w:t>
            </w:r>
          </w:p>
        </w:tc>
        <w:tc>
          <w:tcPr>
            <w:tcW w:w="669" w:type="dxa"/>
            <w:shd w:val="clear" w:color="auto" w:fill="auto"/>
            <w:vAlign w:val="center"/>
          </w:tcPr>
          <w:p w:rsidR="00572C4C" w:rsidRPr="0086374D" w:rsidRDefault="00572C4C" w:rsidP="00A16A13">
            <w:pPr>
              <w:spacing w:before="40" w:after="20"/>
              <w:ind w:left="-68" w:right="57"/>
              <w:jc w:val="right"/>
              <w:rPr>
                <w:rFonts w:ascii="Arial Narrow" w:hAnsi="Arial Narrow" w:cs="Arial"/>
                <w:sz w:val="18"/>
                <w:szCs w:val="18"/>
              </w:rPr>
            </w:pPr>
            <w:r w:rsidRPr="0086374D">
              <w:rPr>
                <w:rFonts w:ascii="Arial Narrow" w:hAnsi="Arial Narrow" w:cs="Arial"/>
                <w:sz w:val="18"/>
                <w:szCs w:val="18"/>
              </w:rPr>
              <w:t>+5,4</w:t>
            </w:r>
          </w:p>
        </w:tc>
        <w:tc>
          <w:tcPr>
            <w:tcW w:w="845" w:type="dxa"/>
            <w:shd w:val="clear" w:color="auto" w:fill="D9D9D9" w:themeFill="background1" w:themeFillShade="D9"/>
            <w:vAlign w:val="center"/>
          </w:tcPr>
          <w:p w:rsidR="00572C4C" w:rsidRPr="00DD6C97" w:rsidRDefault="00572C4C" w:rsidP="00A16A13">
            <w:pPr>
              <w:spacing w:before="40" w:after="20"/>
              <w:ind w:left="-68" w:right="57"/>
              <w:jc w:val="right"/>
              <w:rPr>
                <w:rFonts w:ascii="Arial Narrow" w:hAnsi="Arial Narrow" w:cs="Arial"/>
                <w:sz w:val="18"/>
                <w:szCs w:val="18"/>
              </w:rPr>
            </w:pPr>
            <w:r w:rsidRPr="00DD6C97">
              <w:rPr>
                <w:rFonts w:ascii="Arial Narrow" w:hAnsi="Arial Narrow" w:cs="Arial"/>
                <w:sz w:val="18"/>
                <w:szCs w:val="18"/>
              </w:rPr>
              <w:t>+3,2</w:t>
            </w:r>
          </w:p>
        </w:tc>
        <w:tc>
          <w:tcPr>
            <w:tcW w:w="895" w:type="dxa"/>
            <w:vAlign w:val="center"/>
          </w:tcPr>
          <w:p w:rsidR="00572C4C" w:rsidRPr="00370EB6" w:rsidRDefault="00572C4C" w:rsidP="00A16A13">
            <w:pPr>
              <w:spacing w:before="40" w:after="20"/>
              <w:ind w:left="-68" w:right="57"/>
              <w:jc w:val="right"/>
              <w:rPr>
                <w:rFonts w:ascii="Arial Narrow" w:hAnsi="Arial Narrow" w:cs="Arial"/>
                <w:sz w:val="18"/>
                <w:szCs w:val="18"/>
              </w:rPr>
            </w:pPr>
            <w:r w:rsidRPr="00370EB6">
              <w:rPr>
                <w:rFonts w:ascii="Arial Narrow" w:hAnsi="Arial Narrow" w:cs="Arial"/>
                <w:sz w:val="18"/>
                <w:szCs w:val="18"/>
              </w:rPr>
              <w:t>+2,1</w:t>
            </w:r>
          </w:p>
        </w:tc>
        <w:tc>
          <w:tcPr>
            <w:tcW w:w="851" w:type="dxa"/>
            <w:shd w:val="clear" w:color="auto" w:fill="D9D9D9" w:themeFill="background1" w:themeFillShade="D9"/>
            <w:vAlign w:val="center"/>
          </w:tcPr>
          <w:p w:rsidR="00572C4C" w:rsidRPr="004F2A9A" w:rsidRDefault="00572C4C" w:rsidP="00A16A13">
            <w:pPr>
              <w:spacing w:before="40" w:after="20"/>
              <w:ind w:left="-68" w:right="57"/>
              <w:jc w:val="right"/>
              <w:rPr>
                <w:rFonts w:ascii="Arial Narrow" w:hAnsi="Arial Narrow" w:cs="Arial"/>
                <w:sz w:val="18"/>
                <w:szCs w:val="18"/>
              </w:rPr>
            </w:pPr>
            <w:r w:rsidRPr="004F2A9A">
              <w:rPr>
                <w:rFonts w:ascii="Arial Narrow" w:hAnsi="Arial Narrow" w:cs="Arial"/>
                <w:sz w:val="18"/>
                <w:szCs w:val="18"/>
              </w:rPr>
              <w:t>+0,6</w:t>
            </w:r>
          </w:p>
        </w:tc>
        <w:tc>
          <w:tcPr>
            <w:tcW w:w="1417" w:type="dxa"/>
            <w:shd w:val="clear" w:color="auto" w:fill="auto"/>
            <w:vAlign w:val="center"/>
          </w:tcPr>
          <w:p w:rsidR="00572C4C" w:rsidRPr="00572C4C" w:rsidRDefault="00572C4C" w:rsidP="00A16A13">
            <w:pPr>
              <w:spacing w:before="40" w:after="20"/>
              <w:ind w:left="-68" w:right="57"/>
              <w:jc w:val="right"/>
              <w:rPr>
                <w:rFonts w:ascii="Arial Narrow" w:hAnsi="Arial Narrow" w:cs="Arial"/>
                <w:sz w:val="18"/>
                <w:szCs w:val="18"/>
              </w:rPr>
            </w:pPr>
            <w:r w:rsidRPr="00572C4C">
              <w:rPr>
                <w:rFonts w:ascii="Arial Narrow" w:hAnsi="Arial Narrow" w:cs="Arial"/>
                <w:sz w:val="18"/>
                <w:szCs w:val="18"/>
              </w:rPr>
              <w:t>0,377</w:t>
            </w:r>
          </w:p>
        </w:tc>
      </w:tr>
      <w:tr w:rsidR="00572C4C" w:rsidRPr="00C8504B" w:rsidTr="00A16A13">
        <w:trPr>
          <w:trHeight w:val="255"/>
        </w:trPr>
        <w:tc>
          <w:tcPr>
            <w:tcW w:w="2694" w:type="dxa"/>
            <w:vAlign w:val="center"/>
          </w:tcPr>
          <w:p w:rsidR="00572C4C" w:rsidRPr="00C8504B" w:rsidRDefault="00572C4C" w:rsidP="00572C4C">
            <w:pPr>
              <w:spacing w:before="40" w:after="20"/>
              <w:ind w:firstLine="214"/>
              <w:rPr>
                <w:rFonts w:ascii="Arial Narrow" w:hAnsi="Arial Narrow" w:cs="Arial"/>
                <w:sz w:val="18"/>
                <w:szCs w:val="18"/>
              </w:rPr>
            </w:pPr>
            <w:r w:rsidRPr="00C8504B">
              <w:rPr>
                <w:rFonts w:ascii="Arial Narrow" w:hAnsi="Arial Narrow" w:cs="Arial"/>
                <w:sz w:val="18"/>
                <w:szCs w:val="18"/>
              </w:rPr>
              <w:t>Beni semidurevoli</w:t>
            </w:r>
          </w:p>
        </w:tc>
        <w:tc>
          <w:tcPr>
            <w:tcW w:w="567" w:type="dxa"/>
            <w:shd w:val="clear" w:color="auto" w:fill="D9D9D9" w:themeFill="background1" w:themeFillShade="D9"/>
            <w:vAlign w:val="center"/>
          </w:tcPr>
          <w:p w:rsidR="00572C4C" w:rsidRPr="001630C6"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2,2</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3,1</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3,2</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2,8</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2,1</w:t>
            </w:r>
          </w:p>
        </w:tc>
        <w:tc>
          <w:tcPr>
            <w:tcW w:w="669" w:type="dxa"/>
            <w:shd w:val="clear" w:color="auto" w:fill="auto"/>
            <w:vAlign w:val="center"/>
          </w:tcPr>
          <w:p w:rsidR="00572C4C" w:rsidRPr="0086374D" w:rsidRDefault="00572C4C" w:rsidP="00A16A13">
            <w:pPr>
              <w:spacing w:before="40" w:after="20"/>
              <w:ind w:left="-68" w:right="57"/>
              <w:jc w:val="right"/>
              <w:rPr>
                <w:rFonts w:ascii="Arial Narrow" w:hAnsi="Arial Narrow" w:cs="Arial"/>
                <w:sz w:val="18"/>
                <w:szCs w:val="18"/>
              </w:rPr>
            </w:pPr>
            <w:r w:rsidRPr="0086374D">
              <w:rPr>
                <w:rFonts w:ascii="Arial Narrow" w:hAnsi="Arial Narrow" w:cs="Arial"/>
                <w:sz w:val="18"/>
                <w:szCs w:val="18"/>
              </w:rPr>
              <w:t>+2,7</w:t>
            </w:r>
          </w:p>
        </w:tc>
        <w:tc>
          <w:tcPr>
            <w:tcW w:w="845" w:type="dxa"/>
            <w:shd w:val="clear" w:color="auto" w:fill="D9D9D9" w:themeFill="background1" w:themeFillShade="D9"/>
            <w:vAlign w:val="center"/>
          </w:tcPr>
          <w:p w:rsidR="00572C4C" w:rsidRPr="00DD6C97" w:rsidRDefault="00572C4C" w:rsidP="00A16A13">
            <w:pPr>
              <w:spacing w:before="40" w:after="20"/>
              <w:ind w:left="-68" w:right="57"/>
              <w:jc w:val="right"/>
              <w:rPr>
                <w:rFonts w:ascii="Arial Narrow" w:hAnsi="Arial Narrow" w:cs="Arial"/>
                <w:sz w:val="18"/>
                <w:szCs w:val="18"/>
              </w:rPr>
            </w:pPr>
            <w:r w:rsidRPr="00DD6C97">
              <w:rPr>
                <w:rFonts w:ascii="Arial Narrow" w:hAnsi="Arial Narrow" w:cs="Arial"/>
                <w:sz w:val="18"/>
                <w:szCs w:val="18"/>
              </w:rPr>
              <w:t>+1,6</w:t>
            </w:r>
          </w:p>
        </w:tc>
        <w:tc>
          <w:tcPr>
            <w:tcW w:w="895" w:type="dxa"/>
            <w:vAlign w:val="center"/>
          </w:tcPr>
          <w:p w:rsidR="00572C4C" w:rsidRPr="00370EB6" w:rsidRDefault="00572C4C" w:rsidP="00A16A13">
            <w:pPr>
              <w:spacing w:before="40" w:after="20"/>
              <w:ind w:left="-68" w:right="57"/>
              <w:jc w:val="right"/>
              <w:rPr>
                <w:rFonts w:ascii="Arial Narrow" w:hAnsi="Arial Narrow" w:cs="Arial"/>
                <w:sz w:val="18"/>
                <w:szCs w:val="18"/>
              </w:rPr>
            </w:pPr>
            <w:r w:rsidRPr="00370EB6">
              <w:rPr>
                <w:rFonts w:ascii="Arial Narrow" w:hAnsi="Arial Narrow" w:cs="Arial"/>
                <w:sz w:val="18"/>
                <w:szCs w:val="18"/>
              </w:rPr>
              <w:t>+1,0</w:t>
            </w:r>
          </w:p>
        </w:tc>
        <w:tc>
          <w:tcPr>
            <w:tcW w:w="851" w:type="dxa"/>
            <w:shd w:val="clear" w:color="auto" w:fill="D9D9D9" w:themeFill="background1" w:themeFillShade="D9"/>
            <w:vAlign w:val="center"/>
          </w:tcPr>
          <w:p w:rsidR="00572C4C" w:rsidRPr="004F2A9A" w:rsidRDefault="00572C4C" w:rsidP="00A16A13">
            <w:pPr>
              <w:spacing w:before="40" w:after="20"/>
              <w:ind w:left="-68" w:right="57"/>
              <w:jc w:val="right"/>
              <w:rPr>
                <w:rFonts w:ascii="Arial Narrow" w:hAnsi="Arial Narrow" w:cs="Arial"/>
                <w:sz w:val="18"/>
                <w:szCs w:val="18"/>
              </w:rPr>
            </w:pPr>
            <w:r w:rsidRPr="004F2A9A">
              <w:rPr>
                <w:rFonts w:ascii="Arial Narrow" w:hAnsi="Arial Narrow" w:cs="Arial"/>
                <w:sz w:val="18"/>
                <w:szCs w:val="18"/>
              </w:rPr>
              <w:t>+1,0</w:t>
            </w:r>
          </w:p>
        </w:tc>
        <w:tc>
          <w:tcPr>
            <w:tcW w:w="1417" w:type="dxa"/>
            <w:shd w:val="clear" w:color="auto" w:fill="auto"/>
            <w:vAlign w:val="center"/>
          </w:tcPr>
          <w:p w:rsidR="00572C4C" w:rsidRPr="00572C4C" w:rsidRDefault="00572C4C" w:rsidP="00A16A13">
            <w:pPr>
              <w:spacing w:before="40" w:after="20"/>
              <w:ind w:left="-68" w:right="57"/>
              <w:jc w:val="right"/>
              <w:rPr>
                <w:rFonts w:ascii="Arial Narrow" w:hAnsi="Arial Narrow" w:cs="Arial"/>
                <w:sz w:val="18"/>
                <w:szCs w:val="18"/>
              </w:rPr>
            </w:pPr>
            <w:r w:rsidRPr="00572C4C">
              <w:rPr>
                <w:rFonts w:ascii="Arial Narrow" w:hAnsi="Arial Narrow" w:cs="Arial"/>
                <w:sz w:val="18"/>
                <w:szCs w:val="18"/>
              </w:rPr>
              <w:t>0,266</w:t>
            </w:r>
          </w:p>
        </w:tc>
      </w:tr>
      <w:tr w:rsidR="00572C4C" w:rsidRPr="004F7F02" w:rsidTr="00A16A13">
        <w:trPr>
          <w:trHeight w:val="255"/>
        </w:trPr>
        <w:tc>
          <w:tcPr>
            <w:tcW w:w="2694" w:type="dxa"/>
            <w:shd w:val="clear" w:color="auto" w:fill="A6A6A6" w:themeFill="background1" w:themeFillShade="A6"/>
            <w:vAlign w:val="center"/>
          </w:tcPr>
          <w:p w:rsidR="00572C4C" w:rsidRPr="00C8504B" w:rsidRDefault="00572C4C" w:rsidP="00572C4C">
            <w:pPr>
              <w:spacing w:before="40" w:after="20"/>
              <w:rPr>
                <w:rFonts w:ascii="Arial Narrow" w:hAnsi="Arial Narrow" w:cs="Arial"/>
                <w:b/>
                <w:color w:val="FFFFFF"/>
                <w:sz w:val="18"/>
                <w:szCs w:val="18"/>
              </w:rPr>
            </w:pPr>
            <w:r w:rsidRPr="00C8504B">
              <w:rPr>
                <w:rFonts w:ascii="Arial Narrow" w:hAnsi="Arial Narrow" w:cs="Arial"/>
                <w:b/>
                <w:color w:val="FFFFFF"/>
                <w:sz w:val="18"/>
                <w:szCs w:val="18"/>
              </w:rPr>
              <w:t>Beni</w:t>
            </w:r>
          </w:p>
        </w:tc>
        <w:tc>
          <w:tcPr>
            <w:tcW w:w="567" w:type="dxa"/>
            <w:shd w:val="clear" w:color="auto" w:fill="A6A6A6" w:themeFill="background1" w:themeFillShade="A6"/>
            <w:vAlign w:val="center"/>
          </w:tcPr>
          <w:p w:rsidR="00572C4C" w:rsidRPr="001630C6" w:rsidRDefault="00572C4C" w:rsidP="00A16A13">
            <w:pPr>
              <w:spacing w:before="40" w:after="20"/>
              <w:ind w:left="-68" w:right="57"/>
              <w:jc w:val="right"/>
              <w:rPr>
                <w:rFonts w:ascii="Arial Narrow" w:hAnsi="Arial Narrow" w:cs="Arial"/>
                <w:b/>
                <w:color w:val="FFFFFF" w:themeColor="background1"/>
                <w:sz w:val="18"/>
                <w:szCs w:val="18"/>
              </w:rPr>
            </w:pPr>
            <w:r>
              <w:rPr>
                <w:rFonts w:ascii="Arial Narrow" w:hAnsi="Arial Narrow" w:cs="Arial"/>
                <w:b/>
                <w:color w:val="FFFFFF" w:themeColor="background1"/>
                <w:sz w:val="18"/>
                <w:szCs w:val="18"/>
              </w:rPr>
              <w:t>+</w:t>
            </w:r>
            <w:r w:rsidRPr="001630C6">
              <w:rPr>
                <w:rFonts w:ascii="Arial Narrow" w:hAnsi="Arial Narrow" w:cs="Arial"/>
                <w:b/>
                <w:color w:val="FFFFFF" w:themeColor="background1"/>
                <w:sz w:val="18"/>
                <w:szCs w:val="18"/>
              </w:rPr>
              <w:t>11,9</w:t>
            </w:r>
          </w:p>
        </w:tc>
        <w:tc>
          <w:tcPr>
            <w:tcW w:w="567" w:type="dxa"/>
            <w:shd w:val="clear" w:color="auto" w:fill="A6A6A6" w:themeFill="background1" w:themeFillShade="A6"/>
            <w:vAlign w:val="center"/>
          </w:tcPr>
          <w:p w:rsidR="00572C4C" w:rsidRPr="00347DDC" w:rsidRDefault="00572C4C" w:rsidP="00A16A13">
            <w:pPr>
              <w:spacing w:before="40" w:after="20"/>
              <w:ind w:left="-68" w:right="57"/>
              <w:jc w:val="right"/>
              <w:rPr>
                <w:rFonts w:ascii="Arial Narrow" w:hAnsi="Arial Narrow" w:cs="Arial"/>
                <w:b/>
                <w:color w:val="FFFFFF" w:themeColor="background1"/>
                <w:sz w:val="18"/>
                <w:szCs w:val="18"/>
              </w:rPr>
            </w:pPr>
            <w:r w:rsidRPr="00347DDC">
              <w:rPr>
                <w:rFonts w:ascii="Arial Narrow" w:hAnsi="Arial Narrow" w:cs="Arial"/>
                <w:b/>
                <w:color w:val="FFFFFF" w:themeColor="background1"/>
                <w:sz w:val="18"/>
                <w:szCs w:val="18"/>
              </w:rPr>
              <w:t>+12,0</w:t>
            </w:r>
          </w:p>
        </w:tc>
        <w:tc>
          <w:tcPr>
            <w:tcW w:w="567" w:type="dxa"/>
            <w:shd w:val="clear" w:color="auto" w:fill="A6A6A6" w:themeFill="background1" w:themeFillShade="A6"/>
            <w:vAlign w:val="center"/>
          </w:tcPr>
          <w:p w:rsidR="00572C4C" w:rsidRPr="00347DDC" w:rsidRDefault="00572C4C" w:rsidP="00A16A13">
            <w:pPr>
              <w:spacing w:before="40" w:after="20"/>
              <w:ind w:left="-68" w:right="57"/>
              <w:jc w:val="right"/>
              <w:rPr>
                <w:rFonts w:ascii="Arial Narrow" w:hAnsi="Arial Narrow" w:cs="Arial"/>
                <w:b/>
                <w:color w:val="FFFFFF" w:themeColor="background1"/>
                <w:sz w:val="18"/>
                <w:szCs w:val="18"/>
              </w:rPr>
            </w:pPr>
            <w:r w:rsidRPr="00347DDC">
              <w:rPr>
                <w:rFonts w:ascii="Arial Narrow" w:hAnsi="Arial Narrow" w:cs="Arial"/>
                <w:b/>
                <w:color w:val="FFFFFF" w:themeColor="background1"/>
                <w:sz w:val="18"/>
                <w:szCs w:val="18"/>
              </w:rPr>
              <w:t>+9,1</w:t>
            </w:r>
          </w:p>
        </w:tc>
        <w:tc>
          <w:tcPr>
            <w:tcW w:w="567" w:type="dxa"/>
            <w:shd w:val="clear" w:color="auto" w:fill="A6A6A6" w:themeFill="background1" w:themeFillShade="A6"/>
            <w:vAlign w:val="center"/>
          </w:tcPr>
          <w:p w:rsidR="00572C4C" w:rsidRPr="00347DDC" w:rsidRDefault="00572C4C" w:rsidP="00A16A13">
            <w:pPr>
              <w:spacing w:before="40" w:after="20"/>
              <w:ind w:left="-68" w:right="57"/>
              <w:jc w:val="right"/>
              <w:rPr>
                <w:rFonts w:ascii="Arial Narrow" w:hAnsi="Arial Narrow" w:cs="Arial"/>
                <w:b/>
                <w:color w:val="FFFFFF" w:themeColor="background1"/>
                <w:sz w:val="18"/>
                <w:szCs w:val="18"/>
              </w:rPr>
            </w:pPr>
            <w:r w:rsidRPr="00347DDC">
              <w:rPr>
                <w:rFonts w:ascii="Arial Narrow" w:hAnsi="Arial Narrow" w:cs="Arial"/>
                <w:b/>
                <w:color w:val="FFFFFF" w:themeColor="background1"/>
                <w:sz w:val="18"/>
                <w:szCs w:val="18"/>
              </w:rPr>
              <w:t>+6,4</w:t>
            </w:r>
          </w:p>
        </w:tc>
        <w:tc>
          <w:tcPr>
            <w:tcW w:w="567" w:type="dxa"/>
            <w:shd w:val="clear" w:color="auto" w:fill="A6A6A6" w:themeFill="background1" w:themeFillShade="A6"/>
            <w:vAlign w:val="center"/>
          </w:tcPr>
          <w:p w:rsidR="00572C4C" w:rsidRPr="00347DDC" w:rsidRDefault="00572C4C" w:rsidP="00A16A13">
            <w:pPr>
              <w:spacing w:before="40" w:after="20"/>
              <w:ind w:left="-68" w:right="57"/>
              <w:jc w:val="right"/>
              <w:rPr>
                <w:rFonts w:ascii="Arial Narrow" w:hAnsi="Arial Narrow" w:cs="Arial"/>
                <w:b/>
                <w:color w:val="FFFFFF" w:themeColor="background1"/>
                <w:sz w:val="18"/>
                <w:szCs w:val="18"/>
              </w:rPr>
            </w:pPr>
            <w:r w:rsidRPr="00347DDC">
              <w:rPr>
                <w:rFonts w:ascii="Arial Narrow" w:hAnsi="Arial Narrow" w:cs="Arial"/>
                <w:b/>
                <w:color w:val="FFFFFF" w:themeColor="background1"/>
                <w:sz w:val="18"/>
                <w:szCs w:val="18"/>
              </w:rPr>
              <w:t>-1,0</w:t>
            </w:r>
          </w:p>
        </w:tc>
        <w:tc>
          <w:tcPr>
            <w:tcW w:w="669" w:type="dxa"/>
            <w:shd w:val="clear" w:color="auto" w:fill="A6A6A6" w:themeFill="background1" w:themeFillShade="A6"/>
            <w:vAlign w:val="center"/>
          </w:tcPr>
          <w:p w:rsidR="00572C4C" w:rsidRPr="0086374D" w:rsidRDefault="00572C4C" w:rsidP="00A16A13">
            <w:pPr>
              <w:spacing w:before="40" w:after="20"/>
              <w:ind w:left="-68" w:right="57"/>
              <w:jc w:val="right"/>
              <w:rPr>
                <w:rFonts w:ascii="Arial Narrow" w:hAnsi="Arial Narrow" w:cs="Arial"/>
                <w:b/>
                <w:color w:val="FFFFFF" w:themeColor="background1"/>
                <w:sz w:val="18"/>
                <w:szCs w:val="18"/>
              </w:rPr>
            </w:pPr>
            <w:r w:rsidRPr="0086374D">
              <w:rPr>
                <w:rFonts w:ascii="Arial Narrow" w:hAnsi="Arial Narrow" w:cs="Arial"/>
                <w:b/>
                <w:color w:val="FFFFFF" w:themeColor="background1"/>
                <w:sz w:val="18"/>
                <w:szCs w:val="18"/>
              </w:rPr>
              <w:t>+6,4</w:t>
            </w:r>
          </w:p>
        </w:tc>
        <w:tc>
          <w:tcPr>
            <w:tcW w:w="845" w:type="dxa"/>
            <w:shd w:val="clear" w:color="auto" w:fill="A6A6A6" w:themeFill="background1" w:themeFillShade="A6"/>
            <w:vAlign w:val="center"/>
          </w:tcPr>
          <w:p w:rsidR="00572C4C" w:rsidRPr="00DD6C97" w:rsidRDefault="00572C4C" w:rsidP="00A16A13">
            <w:pPr>
              <w:spacing w:before="40" w:after="20"/>
              <w:ind w:left="-68" w:right="57"/>
              <w:jc w:val="right"/>
              <w:rPr>
                <w:rFonts w:ascii="Arial Narrow" w:hAnsi="Arial Narrow" w:cs="Arial"/>
                <w:b/>
                <w:color w:val="FFFFFF" w:themeColor="background1"/>
                <w:sz w:val="18"/>
                <w:szCs w:val="18"/>
              </w:rPr>
            </w:pPr>
            <w:r w:rsidRPr="00DD6C97">
              <w:rPr>
                <w:rFonts w:ascii="Arial Narrow" w:hAnsi="Arial Narrow" w:cs="Arial"/>
                <w:b/>
                <w:color w:val="FFFFFF" w:themeColor="background1"/>
                <w:sz w:val="18"/>
                <w:szCs w:val="18"/>
              </w:rPr>
              <w:t>+7,5</w:t>
            </w:r>
          </w:p>
        </w:tc>
        <w:tc>
          <w:tcPr>
            <w:tcW w:w="895" w:type="dxa"/>
            <w:shd w:val="clear" w:color="auto" w:fill="A6A6A6" w:themeFill="background1" w:themeFillShade="A6"/>
            <w:vAlign w:val="center"/>
          </w:tcPr>
          <w:p w:rsidR="00572C4C" w:rsidRPr="00370EB6" w:rsidRDefault="00572C4C" w:rsidP="00A16A13">
            <w:pPr>
              <w:spacing w:before="40" w:after="20"/>
              <w:ind w:left="-68" w:right="57"/>
              <w:jc w:val="right"/>
              <w:rPr>
                <w:rFonts w:ascii="Arial Narrow" w:hAnsi="Arial Narrow" w:cs="Arial"/>
                <w:b/>
                <w:color w:val="FFFFFF" w:themeColor="background1"/>
                <w:sz w:val="18"/>
                <w:szCs w:val="18"/>
              </w:rPr>
            </w:pPr>
            <w:r w:rsidRPr="00370EB6">
              <w:rPr>
                <w:rFonts w:ascii="Arial Narrow" w:hAnsi="Arial Narrow" w:cs="Arial"/>
                <w:b/>
                <w:color w:val="FFFFFF" w:themeColor="background1"/>
                <w:sz w:val="18"/>
                <w:szCs w:val="18"/>
              </w:rPr>
              <w:t>-1,0</w:t>
            </w:r>
          </w:p>
        </w:tc>
        <w:tc>
          <w:tcPr>
            <w:tcW w:w="851" w:type="dxa"/>
            <w:shd w:val="clear" w:color="auto" w:fill="A6A6A6" w:themeFill="background1" w:themeFillShade="A6"/>
            <w:vAlign w:val="center"/>
          </w:tcPr>
          <w:p w:rsidR="00572C4C" w:rsidRPr="004F2A9A" w:rsidRDefault="00572C4C" w:rsidP="00A16A13">
            <w:pPr>
              <w:spacing w:before="40" w:after="20"/>
              <w:ind w:left="-68" w:right="57"/>
              <w:jc w:val="right"/>
              <w:rPr>
                <w:rFonts w:ascii="Arial Narrow" w:hAnsi="Arial Narrow" w:cs="Arial"/>
                <w:b/>
                <w:color w:val="FFFFFF" w:themeColor="background1"/>
                <w:sz w:val="18"/>
                <w:szCs w:val="18"/>
              </w:rPr>
            </w:pPr>
            <w:r w:rsidRPr="004F2A9A">
              <w:rPr>
                <w:rFonts w:ascii="Arial Narrow" w:hAnsi="Arial Narrow" w:cs="Arial"/>
                <w:b/>
                <w:color w:val="FFFFFF" w:themeColor="background1"/>
                <w:sz w:val="18"/>
                <w:szCs w:val="18"/>
              </w:rPr>
              <w:t>-0,5</w:t>
            </w:r>
          </w:p>
        </w:tc>
        <w:tc>
          <w:tcPr>
            <w:tcW w:w="1417" w:type="dxa"/>
            <w:shd w:val="clear" w:color="auto" w:fill="A6A6A6" w:themeFill="background1" w:themeFillShade="A6"/>
            <w:vAlign w:val="center"/>
          </w:tcPr>
          <w:p w:rsidR="00572C4C" w:rsidRPr="00572C4C" w:rsidRDefault="00572C4C" w:rsidP="00A16A13">
            <w:pPr>
              <w:spacing w:before="40" w:after="20"/>
              <w:ind w:left="-68" w:right="57"/>
              <w:jc w:val="right"/>
              <w:rPr>
                <w:rFonts w:ascii="Arial Narrow" w:hAnsi="Arial Narrow" w:cs="Arial"/>
                <w:b/>
                <w:color w:val="FFFFFF" w:themeColor="background1"/>
                <w:sz w:val="18"/>
                <w:szCs w:val="18"/>
              </w:rPr>
            </w:pPr>
            <w:r w:rsidRPr="00572C4C">
              <w:rPr>
                <w:rFonts w:ascii="Arial Narrow" w:hAnsi="Arial Narrow" w:cs="Arial"/>
                <w:b/>
                <w:color w:val="FFFFFF" w:themeColor="background1"/>
                <w:sz w:val="18"/>
                <w:szCs w:val="18"/>
              </w:rPr>
              <w:t>3,946</w:t>
            </w:r>
          </w:p>
        </w:tc>
      </w:tr>
      <w:tr w:rsidR="00572C4C" w:rsidRPr="00C8504B" w:rsidTr="00A16A13">
        <w:trPr>
          <w:trHeight w:val="255"/>
        </w:trPr>
        <w:tc>
          <w:tcPr>
            <w:tcW w:w="2694" w:type="dxa"/>
            <w:vAlign w:val="center"/>
          </w:tcPr>
          <w:p w:rsidR="00572C4C" w:rsidRPr="00C8504B" w:rsidRDefault="00572C4C" w:rsidP="00572C4C">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all'abitazione</w:t>
            </w:r>
          </w:p>
        </w:tc>
        <w:tc>
          <w:tcPr>
            <w:tcW w:w="567" w:type="dxa"/>
            <w:shd w:val="clear" w:color="auto" w:fill="D9D9D9" w:themeFill="background1" w:themeFillShade="D9"/>
            <w:vAlign w:val="center"/>
          </w:tcPr>
          <w:p w:rsidR="00572C4C" w:rsidRPr="001630C6"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1,6</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3,3</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3,4</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3,8</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4,1</w:t>
            </w:r>
          </w:p>
        </w:tc>
        <w:tc>
          <w:tcPr>
            <w:tcW w:w="669" w:type="dxa"/>
            <w:shd w:val="clear" w:color="auto" w:fill="auto"/>
            <w:vAlign w:val="center"/>
          </w:tcPr>
          <w:p w:rsidR="00572C4C" w:rsidRPr="0086374D" w:rsidRDefault="00572C4C" w:rsidP="00A16A13">
            <w:pPr>
              <w:spacing w:before="40" w:after="20"/>
              <w:ind w:left="-68" w:right="57"/>
              <w:jc w:val="right"/>
              <w:rPr>
                <w:rFonts w:ascii="Arial Narrow" w:hAnsi="Arial Narrow" w:cs="Arial"/>
                <w:sz w:val="18"/>
                <w:szCs w:val="18"/>
              </w:rPr>
            </w:pPr>
            <w:r w:rsidRPr="0086374D">
              <w:rPr>
                <w:rFonts w:ascii="Arial Narrow" w:hAnsi="Arial Narrow" w:cs="Arial"/>
                <w:sz w:val="18"/>
                <w:szCs w:val="18"/>
              </w:rPr>
              <w:t>+3,6</w:t>
            </w:r>
          </w:p>
        </w:tc>
        <w:tc>
          <w:tcPr>
            <w:tcW w:w="845" w:type="dxa"/>
            <w:shd w:val="clear" w:color="auto" w:fill="D9D9D9" w:themeFill="background1" w:themeFillShade="D9"/>
            <w:vAlign w:val="center"/>
          </w:tcPr>
          <w:p w:rsidR="00572C4C" w:rsidRPr="00DD6C97" w:rsidRDefault="00572C4C" w:rsidP="00A16A13">
            <w:pPr>
              <w:spacing w:before="40" w:after="20"/>
              <w:ind w:left="-68" w:right="57"/>
              <w:jc w:val="right"/>
              <w:rPr>
                <w:rFonts w:ascii="Arial Narrow" w:hAnsi="Arial Narrow" w:cs="Arial"/>
                <w:sz w:val="18"/>
                <w:szCs w:val="18"/>
              </w:rPr>
            </w:pPr>
            <w:r w:rsidRPr="00DD6C97">
              <w:rPr>
                <w:rFonts w:ascii="Arial Narrow" w:hAnsi="Arial Narrow" w:cs="Arial"/>
                <w:sz w:val="18"/>
                <w:szCs w:val="18"/>
              </w:rPr>
              <w:t>+0,7</w:t>
            </w:r>
          </w:p>
        </w:tc>
        <w:tc>
          <w:tcPr>
            <w:tcW w:w="895" w:type="dxa"/>
            <w:vAlign w:val="center"/>
          </w:tcPr>
          <w:p w:rsidR="00572C4C" w:rsidRPr="00370EB6" w:rsidRDefault="00572C4C" w:rsidP="00A16A13">
            <w:pPr>
              <w:spacing w:before="40" w:after="20"/>
              <w:ind w:left="-68" w:right="57"/>
              <w:jc w:val="right"/>
              <w:rPr>
                <w:rFonts w:ascii="Arial Narrow" w:hAnsi="Arial Narrow" w:cs="Arial"/>
                <w:sz w:val="18"/>
                <w:szCs w:val="18"/>
              </w:rPr>
            </w:pPr>
            <w:r w:rsidRPr="00370EB6">
              <w:rPr>
                <w:rFonts w:ascii="Arial Narrow" w:hAnsi="Arial Narrow" w:cs="Arial"/>
                <w:sz w:val="18"/>
                <w:szCs w:val="18"/>
              </w:rPr>
              <w:t>+2,9</w:t>
            </w:r>
          </w:p>
        </w:tc>
        <w:tc>
          <w:tcPr>
            <w:tcW w:w="851" w:type="dxa"/>
            <w:shd w:val="clear" w:color="auto" w:fill="D9D9D9" w:themeFill="background1" w:themeFillShade="D9"/>
            <w:vAlign w:val="center"/>
          </w:tcPr>
          <w:p w:rsidR="00572C4C" w:rsidRPr="004F2A9A" w:rsidRDefault="00572C4C" w:rsidP="00A16A13">
            <w:pPr>
              <w:spacing w:before="40" w:after="20"/>
              <w:ind w:left="-68" w:right="57"/>
              <w:jc w:val="right"/>
              <w:rPr>
                <w:rFonts w:ascii="Arial Narrow" w:hAnsi="Arial Narrow" w:cs="Arial"/>
                <w:sz w:val="18"/>
                <w:szCs w:val="18"/>
              </w:rPr>
            </w:pPr>
            <w:r w:rsidRPr="004F2A9A">
              <w:rPr>
                <w:rFonts w:ascii="Arial Narrow" w:hAnsi="Arial Narrow" w:cs="Arial"/>
                <w:sz w:val="18"/>
                <w:szCs w:val="18"/>
              </w:rPr>
              <w:t>+1,2</w:t>
            </w:r>
          </w:p>
        </w:tc>
        <w:tc>
          <w:tcPr>
            <w:tcW w:w="1417" w:type="dxa"/>
            <w:shd w:val="clear" w:color="auto" w:fill="auto"/>
            <w:vAlign w:val="center"/>
          </w:tcPr>
          <w:p w:rsidR="00572C4C" w:rsidRPr="00572C4C" w:rsidRDefault="00572C4C" w:rsidP="00A16A13">
            <w:pPr>
              <w:spacing w:before="40" w:after="20"/>
              <w:ind w:left="-68" w:right="57"/>
              <w:jc w:val="right"/>
              <w:rPr>
                <w:rFonts w:ascii="Arial Narrow" w:hAnsi="Arial Narrow" w:cs="Arial"/>
                <w:sz w:val="18"/>
                <w:szCs w:val="18"/>
              </w:rPr>
            </w:pPr>
            <w:r w:rsidRPr="00572C4C">
              <w:rPr>
                <w:rFonts w:ascii="Arial Narrow" w:hAnsi="Arial Narrow" w:cs="Arial"/>
                <w:sz w:val="18"/>
                <w:szCs w:val="18"/>
              </w:rPr>
              <w:t>0,277</w:t>
            </w:r>
          </w:p>
        </w:tc>
      </w:tr>
      <w:tr w:rsidR="00572C4C" w:rsidRPr="00C8504B" w:rsidTr="00A16A13">
        <w:trPr>
          <w:trHeight w:val="255"/>
        </w:trPr>
        <w:tc>
          <w:tcPr>
            <w:tcW w:w="2694" w:type="dxa"/>
            <w:vAlign w:val="center"/>
          </w:tcPr>
          <w:p w:rsidR="00572C4C" w:rsidRPr="00C8504B" w:rsidRDefault="00572C4C" w:rsidP="00572C4C">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alle comunicazioni</w:t>
            </w:r>
          </w:p>
        </w:tc>
        <w:tc>
          <w:tcPr>
            <w:tcW w:w="567" w:type="dxa"/>
            <w:shd w:val="clear" w:color="auto" w:fill="D9D9D9" w:themeFill="background1" w:themeFillShade="D9"/>
            <w:vAlign w:val="center"/>
          </w:tcPr>
          <w:p w:rsidR="00572C4C" w:rsidRPr="001630C6"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0,1</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0,5</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0,8</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0,5</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0,2</w:t>
            </w:r>
          </w:p>
        </w:tc>
        <w:tc>
          <w:tcPr>
            <w:tcW w:w="669" w:type="dxa"/>
            <w:shd w:val="clear" w:color="auto" w:fill="auto"/>
            <w:vAlign w:val="center"/>
          </w:tcPr>
          <w:p w:rsidR="00572C4C" w:rsidRPr="0086374D" w:rsidRDefault="00572C4C" w:rsidP="00A16A13">
            <w:pPr>
              <w:spacing w:before="40" w:after="20"/>
              <w:ind w:left="-68" w:right="57"/>
              <w:jc w:val="right"/>
              <w:rPr>
                <w:rFonts w:ascii="Arial Narrow" w:hAnsi="Arial Narrow" w:cs="Arial"/>
                <w:sz w:val="18"/>
                <w:szCs w:val="18"/>
              </w:rPr>
            </w:pPr>
            <w:r w:rsidRPr="0086374D">
              <w:rPr>
                <w:rFonts w:ascii="Arial Narrow" w:hAnsi="Arial Narrow" w:cs="Arial"/>
                <w:sz w:val="18"/>
                <w:szCs w:val="18"/>
              </w:rPr>
              <w:t>+0,5</w:t>
            </w:r>
          </w:p>
        </w:tc>
        <w:tc>
          <w:tcPr>
            <w:tcW w:w="845" w:type="dxa"/>
            <w:shd w:val="clear" w:color="auto" w:fill="D9D9D9" w:themeFill="background1" w:themeFillShade="D9"/>
            <w:vAlign w:val="center"/>
          </w:tcPr>
          <w:p w:rsidR="00572C4C" w:rsidRPr="00DD6C97" w:rsidRDefault="00572C4C" w:rsidP="00A16A13">
            <w:pPr>
              <w:spacing w:before="40" w:after="20"/>
              <w:ind w:left="-68" w:right="57"/>
              <w:jc w:val="right"/>
              <w:rPr>
                <w:rFonts w:ascii="Arial Narrow" w:hAnsi="Arial Narrow" w:cs="Arial"/>
                <w:sz w:val="18"/>
                <w:szCs w:val="18"/>
              </w:rPr>
            </w:pPr>
            <w:r w:rsidRPr="00DD6C97">
              <w:rPr>
                <w:rFonts w:ascii="Arial Narrow" w:hAnsi="Arial Narrow" w:cs="Arial"/>
                <w:sz w:val="18"/>
                <w:szCs w:val="18"/>
              </w:rPr>
              <w:t>+0,5</w:t>
            </w:r>
          </w:p>
        </w:tc>
        <w:tc>
          <w:tcPr>
            <w:tcW w:w="895" w:type="dxa"/>
            <w:vAlign w:val="center"/>
          </w:tcPr>
          <w:p w:rsidR="00572C4C" w:rsidRPr="00370EB6" w:rsidRDefault="00572C4C" w:rsidP="00A16A13">
            <w:pPr>
              <w:spacing w:before="40" w:after="20"/>
              <w:ind w:left="-68" w:right="57"/>
              <w:jc w:val="right"/>
              <w:rPr>
                <w:rFonts w:ascii="Arial Narrow" w:hAnsi="Arial Narrow" w:cs="Arial"/>
                <w:sz w:val="18"/>
                <w:szCs w:val="18"/>
              </w:rPr>
            </w:pPr>
            <w:r w:rsidRPr="00370EB6">
              <w:rPr>
                <w:rFonts w:ascii="Arial Narrow" w:hAnsi="Arial Narrow" w:cs="Arial"/>
                <w:sz w:val="18"/>
                <w:szCs w:val="18"/>
              </w:rPr>
              <w:t>0,0</w:t>
            </w:r>
          </w:p>
        </w:tc>
        <w:tc>
          <w:tcPr>
            <w:tcW w:w="851" w:type="dxa"/>
            <w:shd w:val="clear" w:color="auto" w:fill="D9D9D9" w:themeFill="background1" w:themeFillShade="D9"/>
            <w:vAlign w:val="center"/>
          </w:tcPr>
          <w:p w:rsidR="00572C4C" w:rsidRPr="004F2A9A" w:rsidRDefault="00572C4C" w:rsidP="00A16A13">
            <w:pPr>
              <w:spacing w:before="40" w:after="20"/>
              <w:ind w:left="-68" w:right="57"/>
              <w:jc w:val="right"/>
              <w:rPr>
                <w:rFonts w:ascii="Arial Narrow" w:hAnsi="Arial Narrow" w:cs="Arial"/>
                <w:sz w:val="18"/>
                <w:szCs w:val="18"/>
              </w:rPr>
            </w:pPr>
            <w:r w:rsidRPr="004F2A9A">
              <w:rPr>
                <w:rFonts w:ascii="Arial Narrow" w:hAnsi="Arial Narrow" w:cs="Arial"/>
                <w:sz w:val="18"/>
                <w:szCs w:val="18"/>
              </w:rPr>
              <w:t>-0,1</w:t>
            </w:r>
          </w:p>
        </w:tc>
        <w:tc>
          <w:tcPr>
            <w:tcW w:w="1417" w:type="dxa"/>
            <w:shd w:val="clear" w:color="auto" w:fill="auto"/>
            <w:vAlign w:val="center"/>
          </w:tcPr>
          <w:p w:rsidR="00572C4C" w:rsidRPr="00572C4C" w:rsidRDefault="00572C4C" w:rsidP="00A16A13">
            <w:pPr>
              <w:spacing w:before="40" w:after="20"/>
              <w:ind w:left="-68" w:right="57"/>
              <w:jc w:val="right"/>
              <w:rPr>
                <w:rFonts w:ascii="Arial Narrow" w:hAnsi="Arial Narrow" w:cs="Arial"/>
                <w:sz w:val="18"/>
                <w:szCs w:val="18"/>
              </w:rPr>
            </w:pPr>
            <w:r w:rsidRPr="00572C4C">
              <w:rPr>
                <w:rFonts w:ascii="Arial Narrow" w:hAnsi="Arial Narrow" w:cs="Arial"/>
                <w:sz w:val="18"/>
                <w:szCs w:val="18"/>
              </w:rPr>
              <w:t>0,009</w:t>
            </w:r>
          </w:p>
        </w:tc>
      </w:tr>
      <w:tr w:rsidR="00572C4C" w:rsidRPr="00C8504B" w:rsidTr="00A16A13">
        <w:trPr>
          <w:trHeight w:val="255"/>
        </w:trPr>
        <w:tc>
          <w:tcPr>
            <w:tcW w:w="2694" w:type="dxa"/>
            <w:vAlign w:val="center"/>
          </w:tcPr>
          <w:p w:rsidR="00572C4C" w:rsidRPr="00C8504B" w:rsidRDefault="00572C4C" w:rsidP="00572C4C">
            <w:pPr>
              <w:tabs>
                <w:tab w:val="left" w:pos="290"/>
              </w:tabs>
              <w:spacing w:before="40" w:after="20"/>
              <w:ind w:left="-68"/>
              <w:rPr>
                <w:rFonts w:ascii="Arial Narrow" w:hAnsi="Arial Narrow" w:cs="Arial"/>
                <w:bCs/>
                <w:sz w:val="18"/>
                <w:szCs w:val="18"/>
              </w:rPr>
            </w:pPr>
            <w:r w:rsidRPr="00C8504B">
              <w:rPr>
                <w:rFonts w:ascii="Arial Narrow" w:hAnsi="Arial Narrow" w:cs="Arial"/>
                <w:bCs/>
                <w:sz w:val="18"/>
                <w:szCs w:val="18"/>
              </w:rPr>
              <w:t>Servizi ricreativi, culturali e per la cura della persona</w:t>
            </w:r>
          </w:p>
        </w:tc>
        <w:tc>
          <w:tcPr>
            <w:tcW w:w="567" w:type="dxa"/>
            <w:shd w:val="clear" w:color="auto" w:fill="D9D9D9" w:themeFill="background1" w:themeFillShade="D9"/>
            <w:vAlign w:val="center"/>
          </w:tcPr>
          <w:p w:rsidR="00572C4C" w:rsidRPr="001630C6"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4,4</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5,9</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6,7</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6</w:t>
            </w:r>
            <w:r>
              <w:rPr>
                <w:rFonts w:ascii="Arial Narrow" w:hAnsi="Arial Narrow" w:cs="Arial"/>
                <w:sz w:val="18"/>
                <w:szCs w:val="18"/>
              </w:rPr>
              <w:t>,0</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4,6</w:t>
            </w:r>
          </w:p>
        </w:tc>
        <w:tc>
          <w:tcPr>
            <w:tcW w:w="669" w:type="dxa"/>
            <w:shd w:val="clear" w:color="auto" w:fill="auto"/>
            <w:vAlign w:val="center"/>
          </w:tcPr>
          <w:p w:rsidR="00572C4C" w:rsidRPr="0086374D" w:rsidRDefault="00572C4C" w:rsidP="00A16A13">
            <w:pPr>
              <w:spacing w:before="40" w:after="20"/>
              <w:ind w:left="-68" w:right="57"/>
              <w:jc w:val="right"/>
              <w:rPr>
                <w:rFonts w:ascii="Arial Narrow" w:hAnsi="Arial Narrow" w:cs="Arial"/>
                <w:sz w:val="18"/>
                <w:szCs w:val="18"/>
              </w:rPr>
            </w:pPr>
            <w:r w:rsidRPr="0086374D">
              <w:rPr>
                <w:rFonts w:ascii="Arial Narrow" w:hAnsi="Arial Narrow" w:cs="Arial"/>
                <w:sz w:val="18"/>
                <w:szCs w:val="18"/>
              </w:rPr>
              <w:t>+5,9</w:t>
            </w:r>
          </w:p>
        </w:tc>
        <w:tc>
          <w:tcPr>
            <w:tcW w:w="845" w:type="dxa"/>
            <w:shd w:val="clear" w:color="auto" w:fill="D9D9D9" w:themeFill="background1" w:themeFillShade="D9"/>
            <w:vAlign w:val="center"/>
          </w:tcPr>
          <w:p w:rsidR="00572C4C" w:rsidRPr="00DD6C97" w:rsidRDefault="00572C4C" w:rsidP="00A16A13">
            <w:pPr>
              <w:spacing w:before="40" w:after="20"/>
              <w:ind w:left="-68" w:right="57"/>
              <w:jc w:val="right"/>
              <w:rPr>
                <w:rFonts w:ascii="Arial Narrow" w:hAnsi="Arial Narrow" w:cs="Arial"/>
                <w:sz w:val="18"/>
                <w:szCs w:val="18"/>
              </w:rPr>
            </w:pPr>
            <w:r w:rsidRPr="00DD6C97">
              <w:rPr>
                <w:rFonts w:ascii="Arial Narrow" w:hAnsi="Arial Narrow" w:cs="Arial"/>
                <w:sz w:val="18"/>
                <w:szCs w:val="18"/>
              </w:rPr>
              <w:t>+2,4</w:t>
            </w:r>
          </w:p>
        </w:tc>
        <w:tc>
          <w:tcPr>
            <w:tcW w:w="895" w:type="dxa"/>
            <w:vAlign w:val="center"/>
          </w:tcPr>
          <w:p w:rsidR="00572C4C" w:rsidRPr="00370EB6" w:rsidRDefault="00572C4C" w:rsidP="00A16A13">
            <w:pPr>
              <w:spacing w:before="40" w:after="20"/>
              <w:ind w:left="-68" w:right="57"/>
              <w:jc w:val="right"/>
              <w:rPr>
                <w:rFonts w:ascii="Arial Narrow" w:hAnsi="Arial Narrow" w:cs="Arial"/>
                <w:sz w:val="18"/>
                <w:szCs w:val="18"/>
              </w:rPr>
            </w:pPr>
            <w:r w:rsidRPr="00370EB6">
              <w:rPr>
                <w:rFonts w:ascii="Arial Narrow" w:hAnsi="Arial Narrow" w:cs="Arial"/>
                <w:sz w:val="18"/>
                <w:szCs w:val="18"/>
              </w:rPr>
              <w:t>+3,3</w:t>
            </w:r>
          </w:p>
        </w:tc>
        <w:tc>
          <w:tcPr>
            <w:tcW w:w="851" w:type="dxa"/>
            <w:shd w:val="clear" w:color="auto" w:fill="D9D9D9" w:themeFill="background1" w:themeFillShade="D9"/>
            <w:vAlign w:val="center"/>
          </w:tcPr>
          <w:p w:rsidR="00572C4C" w:rsidRPr="004F2A9A" w:rsidRDefault="00572C4C" w:rsidP="00A16A13">
            <w:pPr>
              <w:spacing w:before="40" w:after="20"/>
              <w:ind w:left="-68" w:right="57"/>
              <w:jc w:val="right"/>
              <w:rPr>
                <w:rFonts w:ascii="Arial Narrow" w:hAnsi="Arial Narrow" w:cs="Arial"/>
                <w:sz w:val="18"/>
                <w:szCs w:val="18"/>
              </w:rPr>
            </w:pPr>
            <w:r w:rsidRPr="004F2A9A">
              <w:rPr>
                <w:rFonts w:ascii="Arial Narrow" w:hAnsi="Arial Narrow" w:cs="Arial"/>
                <w:sz w:val="18"/>
                <w:szCs w:val="18"/>
              </w:rPr>
              <w:t>+0,3</w:t>
            </w:r>
          </w:p>
        </w:tc>
        <w:tc>
          <w:tcPr>
            <w:tcW w:w="1417" w:type="dxa"/>
            <w:shd w:val="clear" w:color="auto" w:fill="auto"/>
            <w:vAlign w:val="center"/>
          </w:tcPr>
          <w:p w:rsidR="00572C4C" w:rsidRPr="00572C4C" w:rsidRDefault="00572C4C" w:rsidP="00A16A13">
            <w:pPr>
              <w:spacing w:before="40" w:after="20"/>
              <w:ind w:left="-68" w:right="57"/>
              <w:jc w:val="right"/>
              <w:rPr>
                <w:rFonts w:ascii="Arial Narrow" w:hAnsi="Arial Narrow" w:cs="Arial"/>
                <w:sz w:val="18"/>
                <w:szCs w:val="18"/>
              </w:rPr>
            </w:pPr>
            <w:r w:rsidRPr="00572C4C">
              <w:rPr>
                <w:rFonts w:ascii="Arial Narrow" w:hAnsi="Arial Narrow" w:cs="Arial"/>
                <w:sz w:val="18"/>
                <w:szCs w:val="18"/>
              </w:rPr>
              <w:t>0,882</w:t>
            </w:r>
          </w:p>
        </w:tc>
      </w:tr>
      <w:tr w:rsidR="00572C4C" w:rsidRPr="00C8504B" w:rsidTr="00A16A13">
        <w:trPr>
          <w:trHeight w:val="255"/>
        </w:trPr>
        <w:tc>
          <w:tcPr>
            <w:tcW w:w="2694" w:type="dxa"/>
            <w:vAlign w:val="center"/>
          </w:tcPr>
          <w:p w:rsidR="00572C4C" w:rsidRPr="00C8504B" w:rsidRDefault="00572C4C" w:rsidP="00572C4C">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ai trasporti</w:t>
            </w:r>
          </w:p>
        </w:tc>
        <w:tc>
          <w:tcPr>
            <w:tcW w:w="567" w:type="dxa"/>
            <w:shd w:val="clear" w:color="auto" w:fill="D9D9D9" w:themeFill="background1" w:themeFillShade="D9"/>
            <w:vAlign w:val="center"/>
          </w:tcPr>
          <w:p w:rsidR="00572C4C" w:rsidRPr="001630C6"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5,6</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6,2</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5,5</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2,4</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3,7</w:t>
            </w:r>
          </w:p>
        </w:tc>
        <w:tc>
          <w:tcPr>
            <w:tcW w:w="669" w:type="dxa"/>
            <w:shd w:val="clear" w:color="auto" w:fill="auto"/>
            <w:vAlign w:val="center"/>
          </w:tcPr>
          <w:p w:rsidR="00572C4C" w:rsidRPr="0086374D" w:rsidRDefault="00572C4C" w:rsidP="00A16A13">
            <w:pPr>
              <w:spacing w:before="40" w:after="20"/>
              <w:ind w:left="-68" w:right="57"/>
              <w:jc w:val="right"/>
              <w:rPr>
                <w:rFonts w:ascii="Arial Narrow" w:hAnsi="Arial Narrow" w:cs="Arial"/>
                <w:sz w:val="18"/>
                <w:szCs w:val="18"/>
              </w:rPr>
            </w:pPr>
            <w:r w:rsidRPr="0086374D">
              <w:rPr>
                <w:rFonts w:ascii="Arial Narrow" w:hAnsi="Arial Narrow" w:cs="Arial"/>
                <w:sz w:val="18"/>
                <w:szCs w:val="18"/>
              </w:rPr>
              <w:t>+4,4</w:t>
            </w:r>
          </w:p>
        </w:tc>
        <w:tc>
          <w:tcPr>
            <w:tcW w:w="845" w:type="dxa"/>
            <w:shd w:val="clear" w:color="auto" w:fill="D9D9D9" w:themeFill="background1" w:themeFillShade="D9"/>
            <w:vAlign w:val="center"/>
          </w:tcPr>
          <w:p w:rsidR="00572C4C" w:rsidRPr="00DD6C97" w:rsidRDefault="00572C4C" w:rsidP="00A16A13">
            <w:pPr>
              <w:spacing w:before="40" w:after="20"/>
              <w:ind w:left="-68" w:right="57"/>
              <w:jc w:val="right"/>
              <w:rPr>
                <w:rFonts w:ascii="Arial Narrow" w:hAnsi="Arial Narrow" w:cs="Arial"/>
                <w:sz w:val="18"/>
                <w:szCs w:val="18"/>
              </w:rPr>
            </w:pPr>
            <w:r w:rsidRPr="00DD6C97">
              <w:rPr>
                <w:rFonts w:ascii="Arial Narrow" w:hAnsi="Arial Narrow" w:cs="Arial"/>
                <w:sz w:val="18"/>
                <w:szCs w:val="18"/>
              </w:rPr>
              <w:t>+2,0</w:t>
            </w:r>
          </w:p>
        </w:tc>
        <w:tc>
          <w:tcPr>
            <w:tcW w:w="895" w:type="dxa"/>
            <w:vAlign w:val="center"/>
          </w:tcPr>
          <w:p w:rsidR="00572C4C" w:rsidRPr="00370EB6" w:rsidRDefault="00572C4C" w:rsidP="00A16A13">
            <w:pPr>
              <w:spacing w:before="40" w:after="20"/>
              <w:ind w:left="-68" w:right="57"/>
              <w:jc w:val="right"/>
              <w:rPr>
                <w:rFonts w:ascii="Arial Narrow" w:hAnsi="Arial Narrow" w:cs="Arial"/>
                <w:sz w:val="18"/>
                <w:szCs w:val="18"/>
              </w:rPr>
            </w:pPr>
            <w:r w:rsidRPr="00370EB6">
              <w:rPr>
                <w:rFonts w:ascii="Arial Narrow" w:hAnsi="Arial Narrow" w:cs="Arial"/>
                <w:sz w:val="18"/>
                <w:szCs w:val="18"/>
              </w:rPr>
              <w:t>+2,3</w:t>
            </w:r>
          </w:p>
        </w:tc>
        <w:tc>
          <w:tcPr>
            <w:tcW w:w="851" w:type="dxa"/>
            <w:shd w:val="clear" w:color="auto" w:fill="D9D9D9" w:themeFill="background1" w:themeFillShade="D9"/>
            <w:vAlign w:val="center"/>
          </w:tcPr>
          <w:p w:rsidR="00572C4C" w:rsidRPr="004F2A9A" w:rsidRDefault="00572C4C" w:rsidP="00A16A13">
            <w:pPr>
              <w:spacing w:before="40" w:after="20"/>
              <w:ind w:left="-68" w:right="57"/>
              <w:jc w:val="right"/>
              <w:rPr>
                <w:rFonts w:ascii="Arial Narrow" w:hAnsi="Arial Narrow" w:cs="Arial"/>
                <w:sz w:val="18"/>
                <w:szCs w:val="18"/>
              </w:rPr>
            </w:pPr>
            <w:r w:rsidRPr="004F2A9A">
              <w:rPr>
                <w:rFonts w:ascii="Arial Narrow" w:hAnsi="Arial Narrow" w:cs="Arial"/>
                <w:sz w:val="18"/>
                <w:szCs w:val="18"/>
              </w:rPr>
              <w:t>+1,4</w:t>
            </w:r>
          </w:p>
        </w:tc>
        <w:tc>
          <w:tcPr>
            <w:tcW w:w="1417" w:type="dxa"/>
            <w:shd w:val="clear" w:color="auto" w:fill="auto"/>
            <w:vAlign w:val="center"/>
          </w:tcPr>
          <w:p w:rsidR="00572C4C" w:rsidRPr="00572C4C" w:rsidRDefault="00572C4C" w:rsidP="00A16A13">
            <w:pPr>
              <w:spacing w:before="40" w:after="20"/>
              <w:ind w:left="-68" w:right="57"/>
              <w:jc w:val="right"/>
              <w:rPr>
                <w:rFonts w:ascii="Arial Narrow" w:hAnsi="Arial Narrow" w:cs="Arial"/>
                <w:sz w:val="18"/>
                <w:szCs w:val="18"/>
              </w:rPr>
            </w:pPr>
            <w:r w:rsidRPr="00572C4C">
              <w:rPr>
                <w:rFonts w:ascii="Arial Narrow" w:hAnsi="Arial Narrow" w:cs="Arial"/>
                <w:sz w:val="18"/>
                <w:szCs w:val="18"/>
              </w:rPr>
              <w:t>0,293</w:t>
            </w:r>
          </w:p>
        </w:tc>
      </w:tr>
      <w:tr w:rsidR="00572C4C" w:rsidRPr="00C8504B" w:rsidTr="00A16A13">
        <w:trPr>
          <w:trHeight w:val="255"/>
        </w:trPr>
        <w:tc>
          <w:tcPr>
            <w:tcW w:w="2694" w:type="dxa"/>
            <w:vAlign w:val="center"/>
          </w:tcPr>
          <w:p w:rsidR="00572C4C" w:rsidRPr="00C8504B" w:rsidRDefault="00572C4C" w:rsidP="00572C4C">
            <w:pPr>
              <w:spacing w:before="40" w:after="20"/>
              <w:ind w:left="-68"/>
              <w:rPr>
                <w:rFonts w:ascii="Arial Narrow" w:hAnsi="Arial Narrow" w:cs="Arial"/>
                <w:bCs/>
                <w:sz w:val="18"/>
                <w:szCs w:val="18"/>
              </w:rPr>
            </w:pPr>
            <w:r w:rsidRPr="00C8504B">
              <w:rPr>
                <w:rFonts w:ascii="Arial Narrow" w:hAnsi="Arial Narrow" w:cs="Arial"/>
                <w:bCs/>
                <w:sz w:val="18"/>
                <w:szCs w:val="18"/>
              </w:rPr>
              <w:t>Servizi vari</w:t>
            </w:r>
          </w:p>
        </w:tc>
        <w:tc>
          <w:tcPr>
            <w:tcW w:w="567" w:type="dxa"/>
            <w:shd w:val="clear" w:color="auto" w:fill="D9D9D9" w:themeFill="background1" w:themeFillShade="D9"/>
            <w:vAlign w:val="center"/>
          </w:tcPr>
          <w:p w:rsidR="00572C4C" w:rsidRPr="001630C6"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1,5</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2,4</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2,9</w:t>
            </w:r>
          </w:p>
        </w:tc>
        <w:tc>
          <w:tcPr>
            <w:tcW w:w="567" w:type="dxa"/>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2,7</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2,6</w:t>
            </w:r>
          </w:p>
        </w:tc>
        <w:tc>
          <w:tcPr>
            <w:tcW w:w="669" w:type="dxa"/>
            <w:shd w:val="clear" w:color="auto" w:fill="auto"/>
            <w:vAlign w:val="center"/>
          </w:tcPr>
          <w:p w:rsidR="00572C4C" w:rsidRPr="0086374D" w:rsidRDefault="00572C4C" w:rsidP="00A16A13">
            <w:pPr>
              <w:spacing w:before="40" w:after="20"/>
              <w:ind w:left="-68" w:right="57"/>
              <w:jc w:val="right"/>
              <w:rPr>
                <w:rFonts w:ascii="Arial Narrow" w:hAnsi="Arial Narrow" w:cs="Arial"/>
                <w:sz w:val="18"/>
                <w:szCs w:val="18"/>
              </w:rPr>
            </w:pPr>
            <w:r w:rsidRPr="0086374D">
              <w:rPr>
                <w:rFonts w:ascii="Arial Narrow" w:hAnsi="Arial Narrow" w:cs="Arial"/>
                <w:sz w:val="18"/>
                <w:szCs w:val="18"/>
              </w:rPr>
              <w:t>+2,7</w:t>
            </w:r>
          </w:p>
        </w:tc>
        <w:tc>
          <w:tcPr>
            <w:tcW w:w="845" w:type="dxa"/>
            <w:shd w:val="clear" w:color="auto" w:fill="D9D9D9" w:themeFill="background1" w:themeFillShade="D9"/>
            <w:vAlign w:val="center"/>
          </w:tcPr>
          <w:p w:rsidR="00572C4C" w:rsidRPr="00DD6C97" w:rsidRDefault="00572C4C" w:rsidP="00A16A13">
            <w:pPr>
              <w:spacing w:before="40" w:after="20"/>
              <w:ind w:left="-68" w:right="57"/>
              <w:jc w:val="right"/>
              <w:rPr>
                <w:rFonts w:ascii="Arial Narrow" w:hAnsi="Arial Narrow" w:cs="Arial"/>
                <w:sz w:val="18"/>
                <w:szCs w:val="18"/>
              </w:rPr>
            </w:pPr>
            <w:r w:rsidRPr="00DD6C97">
              <w:rPr>
                <w:rFonts w:ascii="Arial Narrow" w:hAnsi="Arial Narrow" w:cs="Arial"/>
                <w:sz w:val="18"/>
                <w:szCs w:val="18"/>
              </w:rPr>
              <w:t>+1,0</w:t>
            </w:r>
          </w:p>
        </w:tc>
        <w:tc>
          <w:tcPr>
            <w:tcW w:w="895" w:type="dxa"/>
            <w:vAlign w:val="center"/>
          </w:tcPr>
          <w:p w:rsidR="00572C4C" w:rsidRPr="00370EB6" w:rsidRDefault="00572C4C" w:rsidP="00A16A13">
            <w:pPr>
              <w:spacing w:before="40" w:after="20"/>
              <w:ind w:left="-68" w:right="57"/>
              <w:jc w:val="right"/>
              <w:rPr>
                <w:rFonts w:ascii="Arial Narrow" w:hAnsi="Arial Narrow" w:cs="Arial"/>
                <w:sz w:val="18"/>
                <w:szCs w:val="18"/>
              </w:rPr>
            </w:pPr>
            <w:r w:rsidRPr="00370EB6">
              <w:rPr>
                <w:rFonts w:ascii="Arial Narrow" w:hAnsi="Arial Narrow" w:cs="Arial"/>
                <w:sz w:val="18"/>
                <w:szCs w:val="18"/>
              </w:rPr>
              <w:t>+1,7</w:t>
            </w:r>
          </w:p>
        </w:tc>
        <w:tc>
          <w:tcPr>
            <w:tcW w:w="851" w:type="dxa"/>
            <w:shd w:val="clear" w:color="auto" w:fill="D9D9D9" w:themeFill="background1" w:themeFillShade="D9"/>
            <w:vAlign w:val="center"/>
          </w:tcPr>
          <w:p w:rsidR="00572C4C" w:rsidRPr="004F2A9A" w:rsidRDefault="00572C4C" w:rsidP="00A16A13">
            <w:pPr>
              <w:spacing w:before="40" w:after="20"/>
              <w:ind w:left="-68" w:right="57"/>
              <w:jc w:val="right"/>
              <w:rPr>
                <w:rFonts w:ascii="Arial Narrow" w:hAnsi="Arial Narrow" w:cs="Arial"/>
                <w:sz w:val="18"/>
                <w:szCs w:val="18"/>
              </w:rPr>
            </w:pPr>
            <w:r w:rsidRPr="004F2A9A">
              <w:rPr>
                <w:rFonts w:ascii="Arial Narrow" w:hAnsi="Arial Narrow" w:cs="Arial"/>
                <w:sz w:val="18"/>
                <w:szCs w:val="18"/>
              </w:rPr>
              <w:t>+0,8</w:t>
            </w:r>
          </w:p>
        </w:tc>
        <w:tc>
          <w:tcPr>
            <w:tcW w:w="1417" w:type="dxa"/>
            <w:shd w:val="clear" w:color="auto" w:fill="auto"/>
            <w:vAlign w:val="center"/>
          </w:tcPr>
          <w:p w:rsidR="00572C4C" w:rsidRPr="00572C4C" w:rsidRDefault="00572C4C" w:rsidP="00A16A13">
            <w:pPr>
              <w:spacing w:before="40" w:after="20"/>
              <w:ind w:left="-68" w:right="57"/>
              <w:jc w:val="right"/>
              <w:rPr>
                <w:rFonts w:ascii="Arial Narrow" w:hAnsi="Arial Narrow" w:cs="Arial"/>
                <w:sz w:val="18"/>
                <w:szCs w:val="18"/>
              </w:rPr>
            </w:pPr>
            <w:r w:rsidRPr="00572C4C">
              <w:rPr>
                <w:rFonts w:ascii="Arial Narrow" w:hAnsi="Arial Narrow" w:cs="Arial"/>
                <w:sz w:val="18"/>
                <w:szCs w:val="18"/>
              </w:rPr>
              <w:t>0,308</w:t>
            </w:r>
          </w:p>
        </w:tc>
      </w:tr>
      <w:tr w:rsidR="00572C4C" w:rsidRPr="00C8504B" w:rsidTr="00A16A13">
        <w:trPr>
          <w:trHeight w:val="255"/>
        </w:trPr>
        <w:tc>
          <w:tcPr>
            <w:tcW w:w="2694" w:type="dxa"/>
            <w:shd w:val="clear" w:color="auto" w:fill="A6A6A6" w:themeFill="background1" w:themeFillShade="A6"/>
            <w:vAlign w:val="center"/>
          </w:tcPr>
          <w:p w:rsidR="00572C4C" w:rsidRPr="00C8504B" w:rsidRDefault="00572C4C" w:rsidP="00572C4C">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Servizi</w:t>
            </w:r>
          </w:p>
        </w:tc>
        <w:tc>
          <w:tcPr>
            <w:tcW w:w="567" w:type="dxa"/>
            <w:shd w:val="clear" w:color="auto" w:fill="A6A6A6" w:themeFill="background1" w:themeFillShade="A6"/>
            <w:vAlign w:val="center"/>
          </w:tcPr>
          <w:p w:rsidR="00572C4C" w:rsidRPr="001630C6" w:rsidRDefault="00572C4C" w:rsidP="00A16A13">
            <w:pPr>
              <w:spacing w:before="40" w:after="20"/>
              <w:ind w:left="-68" w:right="57"/>
              <w:jc w:val="right"/>
              <w:rPr>
                <w:rFonts w:ascii="Arial Narrow" w:hAnsi="Arial Narrow" w:cs="Arial"/>
                <w:b/>
                <w:color w:val="FFFFFF" w:themeColor="background1"/>
                <w:sz w:val="18"/>
                <w:szCs w:val="18"/>
              </w:rPr>
            </w:pPr>
            <w:r>
              <w:rPr>
                <w:rFonts w:ascii="Arial Narrow" w:hAnsi="Arial Narrow" w:cs="Arial"/>
                <w:b/>
                <w:color w:val="FFFFFF" w:themeColor="background1"/>
                <w:sz w:val="18"/>
                <w:szCs w:val="18"/>
              </w:rPr>
              <w:t>+</w:t>
            </w:r>
            <w:r w:rsidRPr="001630C6">
              <w:rPr>
                <w:rFonts w:ascii="Arial Narrow" w:hAnsi="Arial Narrow" w:cs="Arial"/>
                <w:b/>
                <w:color w:val="FFFFFF" w:themeColor="background1"/>
                <w:sz w:val="18"/>
                <w:szCs w:val="18"/>
              </w:rPr>
              <w:t>3</w:t>
            </w:r>
            <w:r>
              <w:rPr>
                <w:rFonts w:ascii="Arial Narrow" w:hAnsi="Arial Narrow" w:cs="Arial"/>
                <w:b/>
                <w:color w:val="FFFFFF" w:themeColor="background1"/>
                <w:sz w:val="18"/>
                <w:szCs w:val="18"/>
              </w:rPr>
              <w:t>,0</w:t>
            </w:r>
          </w:p>
        </w:tc>
        <w:tc>
          <w:tcPr>
            <w:tcW w:w="567" w:type="dxa"/>
            <w:shd w:val="clear" w:color="auto" w:fill="A6A6A6" w:themeFill="background1" w:themeFillShade="A6"/>
            <w:vAlign w:val="center"/>
          </w:tcPr>
          <w:p w:rsidR="00572C4C" w:rsidRPr="00347DDC" w:rsidRDefault="00572C4C" w:rsidP="00A16A13">
            <w:pPr>
              <w:spacing w:before="40" w:after="20"/>
              <w:ind w:left="-68" w:right="57"/>
              <w:jc w:val="right"/>
              <w:rPr>
                <w:rFonts w:ascii="Arial Narrow" w:hAnsi="Arial Narrow" w:cs="Arial"/>
                <w:b/>
                <w:color w:val="FFFFFF" w:themeColor="background1"/>
                <w:sz w:val="18"/>
                <w:szCs w:val="18"/>
              </w:rPr>
            </w:pPr>
            <w:r w:rsidRPr="00347DDC">
              <w:rPr>
                <w:rFonts w:ascii="Arial Narrow" w:hAnsi="Arial Narrow" w:cs="Arial"/>
                <w:b/>
                <w:color w:val="FFFFFF" w:themeColor="background1"/>
                <w:sz w:val="18"/>
                <w:szCs w:val="18"/>
              </w:rPr>
              <w:t>+4,3</w:t>
            </w:r>
          </w:p>
        </w:tc>
        <w:tc>
          <w:tcPr>
            <w:tcW w:w="567" w:type="dxa"/>
            <w:shd w:val="clear" w:color="auto" w:fill="A6A6A6" w:themeFill="background1" w:themeFillShade="A6"/>
            <w:vAlign w:val="center"/>
          </w:tcPr>
          <w:p w:rsidR="00572C4C" w:rsidRPr="00347DDC" w:rsidRDefault="00572C4C" w:rsidP="00A16A13">
            <w:pPr>
              <w:spacing w:before="40" w:after="20"/>
              <w:ind w:left="-68" w:right="57"/>
              <w:jc w:val="right"/>
              <w:rPr>
                <w:rFonts w:ascii="Arial Narrow" w:hAnsi="Arial Narrow" w:cs="Arial"/>
                <w:b/>
                <w:color w:val="FFFFFF" w:themeColor="background1"/>
                <w:sz w:val="18"/>
                <w:szCs w:val="18"/>
              </w:rPr>
            </w:pPr>
            <w:r w:rsidRPr="00347DDC">
              <w:rPr>
                <w:rFonts w:ascii="Arial Narrow" w:hAnsi="Arial Narrow" w:cs="Arial"/>
                <w:b/>
                <w:color w:val="FFFFFF" w:themeColor="background1"/>
                <w:sz w:val="18"/>
                <w:szCs w:val="18"/>
              </w:rPr>
              <w:t>+4,6</w:t>
            </w:r>
          </w:p>
        </w:tc>
        <w:tc>
          <w:tcPr>
            <w:tcW w:w="567" w:type="dxa"/>
            <w:shd w:val="clear" w:color="auto" w:fill="A6A6A6" w:themeFill="background1" w:themeFillShade="A6"/>
            <w:vAlign w:val="center"/>
          </w:tcPr>
          <w:p w:rsidR="00572C4C" w:rsidRPr="00347DDC" w:rsidRDefault="00572C4C" w:rsidP="00A16A13">
            <w:pPr>
              <w:spacing w:before="40" w:after="20"/>
              <w:ind w:left="-68" w:right="57"/>
              <w:jc w:val="right"/>
              <w:rPr>
                <w:rFonts w:ascii="Arial Narrow" w:hAnsi="Arial Narrow" w:cs="Arial"/>
                <w:b/>
                <w:color w:val="FFFFFF" w:themeColor="background1"/>
                <w:sz w:val="18"/>
                <w:szCs w:val="18"/>
              </w:rPr>
            </w:pPr>
            <w:r w:rsidRPr="00347DDC">
              <w:rPr>
                <w:rFonts w:ascii="Arial Narrow" w:hAnsi="Arial Narrow" w:cs="Arial"/>
                <w:b/>
                <w:color w:val="FFFFFF" w:themeColor="background1"/>
                <w:sz w:val="18"/>
                <w:szCs w:val="18"/>
              </w:rPr>
              <w:t>+3,9</w:t>
            </w:r>
          </w:p>
        </w:tc>
        <w:tc>
          <w:tcPr>
            <w:tcW w:w="567" w:type="dxa"/>
            <w:shd w:val="clear" w:color="auto" w:fill="A6A6A6" w:themeFill="background1" w:themeFillShade="A6"/>
            <w:vAlign w:val="center"/>
          </w:tcPr>
          <w:p w:rsidR="00572C4C" w:rsidRPr="00347DDC" w:rsidRDefault="00572C4C" w:rsidP="00A16A13">
            <w:pPr>
              <w:spacing w:before="40" w:after="20"/>
              <w:ind w:left="-68" w:right="57"/>
              <w:jc w:val="right"/>
              <w:rPr>
                <w:rFonts w:ascii="Arial Narrow" w:hAnsi="Arial Narrow" w:cs="Arial"/>
                <w:b/>
                <w:color w:val="FFFFFF" w:themeColor="background1"/>
                <w:sz w:val="18"/>
                <w:szCs w:val="18"/>
              </w:rPr>
            </w:pPr>
            <w:r w:rsidRPr="00347DDC">
              <w:rPr>
                <w:rFonts w:ascii="Arial Narrow" w:hAnsi="Arial Narrow" w:cs="Arial"/>
                <w:b/>
                <w:color w:val="FFFFFF" w:themeColor="background1"/>
                <w:sz w:val="18"/>
                <w:szCs w:val="18"/>
              </w:rPr>
              <w:t>+3,7</w:t>
            </w:r>
          </w:p>
        </w:tc>
        <w:tc>
          <w:tcPr>
            <w:tcW w:w="669" w:type="dxa"/>
            <w:shd w:val="clear" w:color="auto" w:fill="A6A6A6" w:themeFill="background1" w:themeFillShade="A6"/>
            <w:vAlign w:val="center"/>
          </w:tcPr>
          <w:p w:rsidR="00572C4C" w:rsidRPr="0086374D" w:rsidRDefault="00572C4C" w:rsidP="00A16A13">
            <w:pPr>
              <w:spacing w:before="40" w:after="20"/>
              <w:ind w:left="-68" w:right="57"/>
              <w:jc w:val="right"/>
              <w:rPr>
                <w:rFonts w:ascii="Arial Narrow" w:hAnsi="Arial Narrow" w:cs="Arial"/>
                <w:b/>
                <w:color w:val="FFFFFF" w:themeColor="background1"/>
                <w:sz w:val="18"/>
                <w:szCs w:val="18"/>
              </w:rPr>
            </w:pPr>
            <w:r w:rsidRPr="0086374D">
              <w:rPr>
                <w:rFonts w:ascii="Arial Narrow" w:hAnsi="Arial Narrow" w:cs="Arial"/>
                <w:b/>
                <w:color w:val="FFFFFF" w:themeColor="background1"/>
                <w:sz w:val="18"/>
                <w:szCs w:val="18"/>
              </w:rPr>
              <w:t>+4,2</w:t>
            </w:r>
          </w:p>
        </w:tc>
        <w:tc>
          <w:tcPr>
            <w:tcW w:w="845" w:type="dxa"/>
            <w:shd w:val="clear" w:color="auto" w:fill="A6A6A6" w:themeFill="background1" w:themeFillShade="A6"/>
            <w:vAlign w:val="center"/>
          </w:tcPr>
          <w:p w:rsidR="00572C4C" w:rsidRPr="00DD6C97" w:rsidRDefault="00572C4C" w:rsidP="00A16A13">
            <w:pPr>
              <w:spacing w:before="40" w:after="20"/>
              <w:ind w:left="-68" w:right="57"/>
              <w:jc w:val="right"/>
              <w:rPr>
                <w:rFonts w:ascii="Arial Narrow" w:hAnsi="Arial Narrow" w:cs="Arial"/>
                <w:b/>
                <w:color w:val="FFFFFF" w:themeColor="background1"/>
                <w:sz w:val="18"/>
                <w:szCs w:val="18"/>
              </w:rPr>
            </w:pPr>
            <w:r w:rsidRPr="00DD6C97">
              <w:rPr>
                <w:rFonts w:ascii="Arial Narrow" w:hAnsi="Arial Narrow" w:cs="Arial"/>
                <w:b/>
                <w:color w:val="FFFFFF" w:themeColor="background1"/>
                <w:sz w:val="18"/>
                <w:szCs w:val="18"/>
              </w:rPr>
              <w:t>+1,6</w:t>
            </w:r>
          </w:p>
        </w:tc>
        <w:tc>
          <w:tcPr>
            <w:tcW w:w="895" w:type="dxa"/>
            <w:shd w:val="clear" w:color="auto" w:fill="A6A6A6" w:themeFill="background1" w:themeFillShade="A6"/>
            <w:vAlign w:val="center"/>
          </w:tcPr>
          <w:p w:rsidR="00572C4C" w:rsidRPr="00370EB6" w:rsidRDefault="00572C4C" w:rsidP="00A16A13">
            <w:pPr>
              <w:spacing w:before="40" w:after="20"/>
              <w:ind w:left="-68" w:right="57"/>
              <w:jc w:val="right"/>
              <w:rPr>
                <w:rFonts w:ascii="Arial Narrow" w:hAnsi="Arial Narrow" w:cs="Arial"/>
                <w:b/>
                <w:color w:val="FFFFFF" w:themeColor="background1"/>
                <w:sz w:val="18"/>
                <w:szCs w:val="18"/>
              </w:rPr>
            </w:pPr>
            <w:r w:rsidRPr="00370EB6">
              <w:rPr>
                <w:rFonts w:ascii="Arial Narrow" w:hAnsi="Arial Narrow" w:cs="Arial"/>
                <w:b/>
                <w:color w:val="FFFFFF" w:themeColor="background1"/>
                <w:sz w:val="18"/>
                <w:szCs w:val="18"/>
              </w:rPr>
              <w:t>+2,5</w:t>
            </w:r>
          </w:p>
        </w:tc>
        <w:tc>
          <w:tcPr>
            <w:tcW w:w="851" w:type="dxa"/>
            <w:shd w:val="clear" w:color="auto" w:fill="A6A6A6" w:themeFill="background1" w:themeFillShade="A6"/>
            <w:vAlign w:val="center"/>
          </w:tcPr>
          <w:p w:rsidR="00572C4C" w:rsidRPr="004F2A9A" w:rsidRDefault="00572C4C" w:rsidP="00A16A13">
            <w:pPr>
              <w:spacing w:before="40" w:after="20"/>
              <w:ind w:left="-68" w:right="57"/>
              <w:jc w:val="right"/>
              <w:rPr>
                <w:rFonts w:ascii="Arial Narrow" w:hAnsi="Arial Narrow" w:cs="Arial"/>
                <w:b/>
                <w:color w:val="FFFFFF" w:themeColor="background1"/>
                <w:sz w:val="18"/>
                <w:szCs w:val="18"/>
              </w:rPr>
            </w:pPr>
            <w:r w:rsidRPr="004F2A9A">
              <w:rPr>
                <w:rFonts w:ascii="Arial Narrow" w:hAnsi="Arial Narrow" w:cs="Arial"/>
                <w:b/>
                <w:color w:val="FFFFFF" w:themeColor="background1"/>
                <w:sz w:val="18"/>
                <w:szCs w:val="18"/>
              </w:rPr>
              <w:t>+0,8</w:t>
            </w:r>
          </w:p>
        </w:tc>
        <w:tc>
          <w:tcPr>
            <w:tcW w:w="1417" w:type="dxa"/>
            <w:shd w:val="clear" w:color="auto" w:fill="A6A6A6" w:themeFill="background1" w:themeFillShade="A6"/>
            <w:vAlign w:val="center"/>
          </w:tcPr>
          <w:p w:rsidR="00572C4C" w:rsidRPr="00572C4C" w:rsidRDefault="00572C4C" w:rsidP="00A16A13">
            <w:pPr>
              <w:spacing w:before="40" w:after="20"/>
              <w:ind w:left="-68" w:right="57"/>
              <w:jc w:val="right"/>
              <w:rPr>
                <w:rFonts w:ascii="Arial Narrow" w:hAnsi="Arial Narrow" w:cs="Arial"/>
                <w:b/>
                <w:color w:val="FFFFFF" w:themeColor="background1"/>
                <w:sz w:val="18"/>
                <w:szCs w:val="18"/>
              </w:rPr>
            </w:pPr>
            <w:r w:rsidRPr="00572C4C">
              <w:rPr>
                <w:rFonts w:ascii="Arial Narrow" w:hAnsi="Arial Narrow" w:cs="Arial"/>
                <w:b/>
                <w:color w:val="FFFFFF" w:themeColor="background1"/>
                <w:sz w:val="18"/>
                <w:szCs w:val="18"/>
              </w:rPr>
              <w:t>1,768</w:t>
            </w:r>
          </w:p>
        </w:tc>
      </w:tr>
      <w:tr w:rsidR="00572C4C" w:rsidRPr="00C7667B" w:rsidTr="00A16A13">
        <w:trPr>
          <w:trHeight w:val="255"/>
        </w:trPr>
        <w:tc>
          <w:tcPr>
            <w:tcW w:w="2694" w:type="dxa"/>
            <w:shd w:val="clear" w:color="auto" w:fill="E42618"/>
            <w:vAlign w:val="center"/>
          </w:tcPr>
          <w:p w:rsidR="00572C4C" w:rsidRPr="00C8504B" w:rsidRDefault="00572C4C" w:rsidP="00572C4C">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567" w:type="dxa"/>
            <w:shd w:val="clear" w:color="auto" w:fill="E42618"/>
            <w:vAlign w:val="center"/>
          </w:tcPr>
          <w:p w:rsidR="00572C4C" w:rsidRPr="007200BB" w:rsidRDefault="00572C4C" w:rsidP="00A16A13">
            <w:pPr>
              <w:spacing w:before="40" w:after="20"/>
              <w:ind w:right="57"/>
              <w:jc w:val="right"/>
              <w:rPr>
                <w:rFonts w:ascii="Arial Narrow" w:hAnsi="Arial Narrow" w:cs="Arial"/>
                <w:b/>
                <w:color w:val="FFFFFF" w:themeColor="background1"/>
                <w:kern w:val="0"/>
                <w:sz w:val="18"/>
                <w:szCs w:val="18"/>
              </w:rPr>
            </w:pPr>
            <w:r w:rsidRPr="007200BB">
              <w:rPr>
                <w:rFonts w:ascii="Arial Narrow" w:hAnsi="Arial Narrow" w:cs="Arial"/>
                <w:b/>
                <w:color w:val="FFFFFF" w:themeColor="background1"/>
                <w:kern w:val="0"/>
                <w:sz w:val="18"/>
                <w:szCs w:val="18"/>
              </w:rPr>
              <w:t>+8,1</w:t>
            </w:r>
          </w:p>
        </w:tc>
        <w:tc>
          <w:tcPr>
            <w:tcW w:w="567" w:type="dxa"/>
            <w:shd w:val="clear" w:color="auto" w:fill="E42618"/>
            <w:vAlign w:val="center"/>
          </w:tcPr>
          <w:p w:rsidR="00572C4C" w:rsidRPr="00D90877" w:rsidRDefault="00572C4C" w:rsidP="00A16A13">
            <w:pPr>
              <w:spacing w:before="40" w:after="20"/>
              <w:ind w:right="57"/>
              <w:jc w:val="right"/>
              <w:rPr>
                <w:rFonts w:ascii="Arial Narrow" w:hAnsi="Arial Narrow" w:cs="Arial"/>
                <w:b/>
                <w:color w:val="FFFFFF" w:themeColor="background1"/>
                <w:kern w:val="0"/>
                <w:sz w:val="18"/>
                <w:szCs w:val="18"/>
              </w:rPr>
            </w:pPr>
            <w:r>
              <w:rPr>
                <w:rFonts w:ascii="Arial Narrow" w:hAnsi="Arial Narrow" w:cs="Arial"/>
                <w:b/>
                <w:color w:val="FFFFFF" w:themeColor="background1"/>
                <w:kern w:val="0"/>
                <w:sz w:val="18"/>
                <w:szCs w:val="18"/>
              </w:rPr>
              <w:t>+</w:t>
            </w:r>
            <w:r w:rsidRPr="00D90877">
              <w:rPr>
                <w:rFonts w:ascii="Arial Narrow" w:hAnsi="Arial Narrow" w:cs="Arial"/>
                <w:b/>
                <w:color w:val="FFFFFF" w:themeColor="background1"/>
                <w:kern w:val="0"/>
                <w:sz w:val="18"/>
                <w:szCs w:val="18"/>
              </w:rPr>
              <w:t>9,1</w:t>
            </w:r>
          </w:p>
        </w:tc>
        <w:tc>
          <w:tcPr>
            <w:tcW w:w="567" w:type="dxa"/>
            <w:shd w:val="clear" w:color="auto" w:fill="E42618"/>
            <w:vAlign w:val="center"/>
          </w:tcPr>
          <w:p w:rsidR="00572C4C" w:rsidRPr="00D90877" w:rsidRDefault="00572C4C" w:rsidP="00A16A13">
            <w:pPr>
              <w:spacing w:before="40" w:after="20"/>
              <w:ind w:right="57"/>
              <w:jc w:val="right"/>
              <w:rPr>
                <w:rFonts w:ascii="Arial Narrow" w:hAnsi="Arial Narrow" w:cs="Arial"/>
                <w:b/>
                <w:color w:val="FFFFFF" w:themeColor="background1"/>
                <w:kern w:val="0"/>
                <w:sz w:val="18"/>
                <w:szCs w:val="18"/>
              </w:rPr>
            </w:pPr>
            <w:r>
              <w:rPr>
                <w:rFonts w:ascii="Arial Narrow" w:hAnsi="Arial Narrow" w:cs="Arial"/>
                <w:b/>
                <w:color w:val="FFFFFF" w:themeColor="background1"/>
                <w:kern w:val="0"/>
                <w:sz w:val="18"/>
                <w:szCs w:val="18"/>
              </w:rPr>
              <w:t>+</w:t>
            </w:r>
            <w:r w:rsidRPr="00D90877">
              <w:rPr>
                <w:rFonts w:ascii="Arial Narrow" w:hAnsi="Arial Narrow" w:cs="Arial"/>
                <w:b/>
                <w:color w:val="FFFFFF" w:themeColor="background1"/>
                <w:kern w:val="0"/>
                <w:sz w:val="18"/>
                <w:szCs w:val="18"/>
              </w:rPr>
              <w:t>7,5</w:t>
            </w:r>
          </w:p>
        </w:tc>
        <w:tc>
          <w:tcPr>
            <w:tcW w:w="567" w:type="dxa"/>
            <w:shd w:val="clear" w:color="auto" w:fill="E42618"/>
            <w:vAlign w:val="center"/>
          </w:tcPr>
          <w:p w:rsidR="00572C4C" w:rsidRPr="00D90877" w:rsidRDefault="00572C4C" w:rsidP="00A16A13">
            <w:pPr>
              <w:spacing w:before="40" w:after="20"/>
              <w:ind w:right="57"/>
              <w:jc w:val="right"/>
              <w:rPr>
                <w:rFonts w:ascii="Arial Narrow" w:hAnsi="Arial Narrow" w:cs="Arial"/>
                <w:b/>
                <w:color w:val="FFFFFF" w:themeColor="background1"/>
                <w:kern w:val="0"/>
                <w:sz w:val="18"/>
                <w:szCs w:val="18"/>
              </w:rPr>
            </w:pPr>
            <w:r>
              <w:rPr>
                <w:rFonts w:ascii="Arial Narrow" w:hAnsi="Arial Narrow" w:cs="Arial"/>
                <w:b/>
                <w:color w:val="FFFFFF" w:themeColor="background1"/>
                <w:kern w:val="0"/>
                <w:sz w:val="18"/>
                <w:szCs w:val="18"/>
              </w:rPr>
              <w:t>+</w:t>
            </w:r>
            <w:r w:rsidRPr="00D90877">
              <w:rPr>
                <w:rFonts w:ascii="Arial Narrow" w:hAnsi="Arial Narrow" w:cs="Arial"/>
                <w:b/>
                <w:color w:val="FFFFFF" w:themeColor="background1"/>
                <w:kern w:val="0"/>
                <w:sz w:val="18"/>
                <w:szCs w:val="18"/>
              </w:rPr>
              <w:t>5,8</w:t>
            </w:r>
          </w:p>
        </w:tc>
        <w:tc>
          <w:tcPr>
            <w:tcW w:w="567" w:type="dxa"/>
            <w:shd w:val="clear" w:color="auto" w:fill="E42618"/>
            <w:vAlign w:val="center"/>
          </w:tcPr>
          <w:p w:rsidR="00572C4C" w:rsidRPr="00D90877" w:rsidRDefault="00572C4C" w:rsidP="00A16A13">
            <w:pPr>
              <w:spacing w:before="40" w:after="20"/>
              <w:ind w:right="57"/>
              <w:jc w:val="right"/>
              <w:rPr>
                <w:rFonts w:ascii="Arial Narrow" w:hAnsi="Arial Narrow" w:cs="Arial"/>
                <w:b/>
                <w:color w:val="FFFFFF" w:themeColor="background1"/>
                <w:kern w:val="0"/>
                <w:sz w:val="18"/>
                <w:szCs w:val="18"/>
              </w:rPr>
            </w:pPr>
            <w:r>
              <w:rPr>
                <w:rFonts w:ascii="Arial Narrow" w:hAnsi="Arial Narrow" w:cs="Arial"/>
                <w:b/>
                <w:color w:val="FFFFFF" w:themeColor="background1"/>
                <w:kern w:val="0"/>
                <w:sz w:val="18"/>
                <w:szCs w:val="18"/>
              </w:rPr>
              <w:t>+</w:t>
            </w:r>
            <w:r w:rsidRPr="00D90877">
              <w:rPr>
                <w:rFonts w:ascii="Arial Narrow" w:hAnsi="Arial Narrow" w:cs="Arial"/>
                <w:b/>
                <w:color w:val="FFFFFF" w:themeColor="background1"/>
                <w:kern w:val="0"/>
                <w:sz w:val="18"/>
                <w:szCs w:val="18"/>
              </w:rPr>
              <w:t>1,1</w:t>
            </w:r>
          </w:p>
        </w:tc>
        <w:tc>
          <w:tcPr>
            <w:tcW w:w="669" w:type="dxa"/>
            <w:shd w:val="clear" w:color="auto" w:fill="E42618"/>
            <w:vAlign w:val="center"/>
          </w:tcPr>
          <w:p w:rsidR="00572C4C" w:rsidRPr="0086374D" w:rsidRDefault="00572C4C" w:rsidP="00A16A13">
            <w:pPr>
              <w:spacing w:before="40" w:after="20"/>
              <w:ind w:left="-68" w:right="57"/>
              <w:jc w:val="right"/>
              <w:rPr>
                <w:rFonts w:ascii="Arial Narrow" w:hAnsi="Arial Narrow" w:cs="Arial"/>
                <w:b/>
                <w:color w:val="FFFFFF" w:themeColor="background1"/>
                <w:kern w:val="0"/>
                <w:sz w:val="18"/>
                <w:szCs w:val="18"/>
              </w:rPr>
            </w:pPr>
            <w:r w:rsidRPr="0086374D">
              <w:rPr>
                <w:rFonts w:ascii="Arial Narrow" w:hAnsi="Arial Narrow" w:cs="Arial"/>
                <w:b/>
                <w:color w:val="FFFFFF" w:themeColor="background1"/>
                <w:kern w:val="0"/>
                <w:sz w:val="18"/>
                <w:szCs w:val="18"/>
              </w:rPr>
              <w:t>+5,7</w:t>
            </w:r>
          </w:p>
        </w:tc>
        <w:tc>
          <w:tcPr>
            <w:tcW w:w="845" w:type="dxa"/>
            <w:shd w:val="clear" w:color="auto" w:fill="E42618"/>
            <w:vAlign w:val="center"/>
          </w:tcPr>
          <w:p w:rsidR="00572C4C" w:rsidRPr="00DD6C97" w:rsidRDefault="00572C4C" w:rsidP="00A16A13">
            <w:pPr>
              <w:spacing w:before="40" w:after="20"/>
              <w:ind w:left="-68" w:right="57"/>
              <w:jc w:val="right"/>
              <w:rPr>
                <w:rFonts w:ascii="Arial Narrow" w:hAnsi="Arial Narrow" w:cs="Arial"/>
                <w:b/>
                <w:color w:val="FFFFFF" w:themeColor="background1"/>
                <w:sz w:val="18"/>
                <w:szCs w:val="18"/>
              </w:rPr>
            </w:pPr>
            <w:r w:rsidRPr="00DD6C97">
              <w:rPr>
                <w:rFonts w:ascii="Arial Narrow" w:hAnsi="Arial Narrow" w:cs="Arial"/>
                <w:b/>
                <w:color w:val="FFFFFF" w:themeColor="background1"/>
                <w:sz w:val="18"/>
                <w:szCs w:val="18"/>
              </w:rPr>
              <w:t>+5,1</w:t>
            </w:r>
          </w:p>
        </w:tc>
        <w:tc>
          <w:tcPr>
            <w:tcW w:w="895" w:type="dxa"/>
            <w:shd w:val="clear" w:color="auto" w:fill="E42618"/>
            <w:vAlign w:val="center"/>
          </w:tcPr>
          <w:p w:rsidR="00572C4C" w:rsidRPr="00370EB6" w:rsidRDefault="00572C4C" w:rsidP="00A16A13">
            <w:pPr>
              <w:spacing w:before="40" w:after="20"/>
              <w:ind w:left="-68" w:right="57"/>
              <w:jc w:val="right"/>
              <w:rPr>
                <w:rFonts w:ascii="Arial Narrow" w:hAnsi="Arial Narrow" w:cs="Arial"/>
                <w:b/>
                <w:color w:val="FFFFFF" w:themeColor="background1"/>
                <w:sz w:val="18"/>
                <w:szCs w:val="18"/>
              </w:rPr>
            </w:pPr>
            <w:r w:rsidRPr="00370EB6">
              <w:rPr>
                <w:rFonts w:ascii="Arial Narrow" w:hAnsi="Arial Narrow" w:cs="Arial"/>
                <w:b/>
                <w:color w:val="FFFFFF" w:themeColor="background1"/>
                <w:sz w:val="18"/>
                <w:szCs w:val="18"/>
              </w:rPr>
              <w:t>+0,5</w:t>
            </w:r>
          </w:p>
        </w:tc>
        <w:tc>
          <w:tcPr>
            <w:tcW w:w="851" w:type="dxa"/>
            <w:shd w:val="clear" w:color="auto" w:fill="E42618"/>
            <w:vAlign w:val="center"/>
          </w:tcPr>
          <w:p w:rsidR="00572C4C" w:rsidRPr="004F2A9A" w:rsidRDefault="00572C4C" w:rsidP="00A16A13">
            <w:pPr>
              <w:spacing w:before="40" w:after="20"/>
              <w:ind w:left="-68" w:right="57"/>
              <w:jc w:val="right"/>
              <w:rPr>
                <w:rFonts w:ascii="Arial Narrow" w:hAnsi="Arial Narrow" w:cs="Arial"/>
                <w:b/>
                <w:color w:val="FFFFFF" w:themeColor="background1"/>
                <w:sz w:val="18"/>
                <w:szCs w:val="18"/>
              </w:rPr>
            </w:pPr>
            <w:r w:rsidRPr="004F2A9A">
              <w:rPr>
                <w:rFonts w:ascii="Arial Narrow" w:hAnsi="Arial Narrow" w:cs="Arial"/>
                <w:b/>
                <w:color w:val="FFFFFF" w:themeColor="background1"/>
                <w:sz w:val="18"/>
                <w:szCs w:val="18"/>
              </w:rPr>
              <w:t>+0,1</w:t>
            </w:r>
          </w:p>
        </w:tc>
        <w:tc>
          <w:tcPr>
            <w:tcW w:w="1417" w:type="dxa"/>
            <w:shd w:val="clear" w:color="auto" w:fill="E42618"/>
            <w:vAlign w:val="center"/>
          </w:tcPr>
          <w:p w:rsidR="00572C4C" w:rsidRPr="00572C4C" w:rsidRDefault="00572C4C" w:rsidP="00A16A13">
            <w:pPr>
              <w:spacing w:before="40" w:after="20"/>
              <w:ind w:left="-68" w:right="57"/>
              <w:jc w:val="right"/>
              <w:rPr>
                <w:rFonts w:ascii="Arial Narrow" w:hAnsi="Arial Narrow" w:cs="Arial"/>
                <w:b/>
                <w:color w:val="FFFFFF" w:themeColor="background1"/>
                <w:sz w:val="18"/>
                <w:szCs w:val="18"/>
              </w:rPr>
            </w:pPr>
          </w:p>
        </w:tc>
      </w:tr>
      <w:tr w:rsidR="00572C4C" w:rsidRPr="00C7667B" w:rsidTr="00A16A13">
        <w:trPr>
          <w:trHeight w:val="255"/>
        </w:trPr>
        <w:tc>
          <w:tcPr>
            <w:tcW w:w="2694" w:type="dxa"/>
            <w:shd w:val="clear" w:color="auto" w:fill="auto"/>
            <w:vAlign w:val="center"/>
          </w:tcPr>
          <w:p w:rsidR="00572C4C" w:rsidRPr="00C8504B" w:rsidRDefault="00572C4C" w:rsidP="00572C4C">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degli energetici e alimentari freschi (Componente di fondo)</w:t>
            </w:r>
          </w:p>
        </w:tc>
        <w:tc>
          <w:tcPr>
            <w:tcW w:w="567" w:type="dxa"/>
            <w:shd w:val="clear" w:color="auto" w:fill="D9D9D9" w:themeFill="background1" w:themeFillShade="D9"/>
            <w:vAlign w:val="center"/>
          </w:tcPr>
          <w:p w:rsidR="00572C4C" w:rsidRPr="001630C6"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3,8</w:t>
            </w:r>
          </w:p>
        </w:tc>
        <w:tc>
          <w:tcPr>
            <w:tcW w:w="567" w:type="dxa"/>
            <w:shd w:val="clear" w:color="auto" w:fill="auto"/>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6,2</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5,9</w:t>
            </w:r>
          </w:p>
        </w:tc>
        <w:tc>
          <w:tcPr>
            <w:tcW w:w="567" w:type="dxa"/>
            <w:shd w:val="clear" w:color="auto" w:fill="auto"/>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4,9</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3,6</w:t>
            </w:r>
          </w:p>
        </w:tc>
        <w:tc>
          <w:tcPr>
            <w:tcW w:w="669" w:type="dxa"/>
            <w:shd w:val="clear" w:color="auto" w:fill="auto"/>
            <w:vAlign w:val="center"/>
          </w:tcPr>
          <w:p w:rsidR="00572C4C" w:rsidRPr="0086374D" w:rsidRDefault="00572C4C" w:rsidP="00A16A13">
            <w:pPr>
              <w:spacing w:before="40" w:after="20"/>
              <w:ind w:left="-68" w:right="57"/>
              <w:jc w:val="right"/>
              <w:rPr>
                <w:rFonts w:ascii="Arial Narrow" w:hAnsi="Arial Narrow" w:cs="Arial"/>
                <w:sz w:val="18"/>
                <w:szCs w:val="18"/>
              </w:rPr>
            </w:pPr>
            <w:r w:rsidRPr="0086374D">
              <w:rPr>
                <w:rFonts w:ascii="Arial Narrow" w:hAnsi="Arial Narrow" w:cs="Arial"/>
                <w:sz w:val="18"/>
                <w:szCs w:val="18"/>
              </w:rPr>
              <w:t>+5,1</w:t>
            </w:r>
          </w:p>
        </w:tc>
        <w:tc>
          <w:tcPr>
            <w:tcW w:w="845" w:type="dxa"/>
            <w:shd w:val="clear" w:color="auto" w:fill="D9D9D9" w:themeFill="background1" w:themeFillShade="D9"/>
            <w:vAlign w:val="center"/>
          </w:tcPr>
          <w:p w:rsidR="00572C4C" w:rsidRPr="00DD6C97" w:rsidRDefault="00572C4C" w:rsidP="00A16A13">
            <w:pPr>
              <w:spacing w:before="40" w:after="20"/>
              <w:ind w:left="-68" w:right="57"/>
              <w:jc w:val="right"/>
              <w:rPr>
                <w:rFonts w:ascii="Arial Narrow" w:hAnsi="Arial Narrow" w:cs="Arial"/>
                <w:sz w:val="18"/>
                <w:szCs w:val="18"/>
              </w:rPr>
            </w:pPr>
            <w:r w:rsidRPr="00DD6C97">
              <w:rPr>
                <w:rFonts w:ascii="Arial Narrow" w:hAnsi="Arial Narrow" w:cs="Arial"/>
                <w:sz w:val="18"/>
                <w:szCs w:val="18"/>
              </w:rPr>
              <w:t>+2,6</w:t>
            </w:r>
          </w:p>
        </w:tc>
        <w:tc>
          <w:tcPr>
            <w:tcW w:w="895" w:type="dxa"/>
            <w:shd w:val="clear" w:color="auto" w:fill="auto"/>
            <w:vAlign w:val="center"/>
          </w:tcPr>
          <w:p w:rsidR="00572C4C" w:rsidRPr="00370EB6" w:rsidRDefault="00572C4C" w:rsidP="00A16A13">
            <w:pPr>
              <w:spacing w:before="40" w:after="20"/>
              <w:ind w:left="-68" w:right="57"/>
              <w:jc w:val="right"/>
              <w:rPr>
                <w:rFonts w:ascii="Arial Narrow" w:hAnsi="Arial Narrow" w:cs="Arial"/>
                <w:sz w:val="18"/>
                <w:szCs w:val="18"/>
              </w:rPr>
            </w:pPr>
            <w:r w:rsidRPr="00370EB6">
              <w:rPr>
                <w:rFonts w:ascii="Arial Narrow" w:hAnsi="Arial Narrow" w:cs="Arial"/>
                <w:sz w:val="18"/>
                <w:szCs w:val="18"/>
              </w:rPr>
              <w:t>+2,4</w:t>
            </w:r>
          </w:p>
        </w:tc>
        <w:tc>
          <w:tcPr>
            <w:tcW w:w="851" w:type="dxa"/>
            <w:shd w:val="clear" w:color="auto" w:fill="D9D9D9" w:themeFill="background1" w:themeFillShade="D9"/>
            <w:vAlign w:val="center"/>
          </w:tcPr>
          <w:p w:rsidR="00572C4C" w:rsidRPr="004F2A9A" w:rsidRDefault="00572C4C" w:rsidP="00A16A13">
            <w:pPr>
              <w:spacing w:before="40" w:after="20"/>
              <w:ind w:left="-68" w:right="57"/>
              <w:jc w:val="right"/>
              <w:rPr>
                <w:rFonts w:ascii="Arial Narrow" w:hAnsi="Arial Narrow" w:cs="Arial"/>
                <w:sz w:val="18"/>
                <w:szCs w:val="18"/>
              </w:rPr>
            </w:pPr>
            <w:r w:rsidRPr="004F2A9A">
              <w:rPr>
                <w:rFonts w:ascii="Arial Narrow" w:hAnsi="Arial Narrow" w:cs="Arial"/>
                <w:sz w:val="18"/>
                <w:szCs w:val="18"/>
              </w:rPr>
              <w:t>+0,6</w:t>
            </w:r>
          </w:p>
        </w:tc>
        <w:tc>
          <w:tcPr>
            <w:tcW w:w="1417" w:type="dxa"/>
            <w:shd w:val="clear" w:color="auto" w:fill="auto"/>
            <w:vAlign w:val="center"/>
          </w:tcPr>
          <w:p w:rsidR="00572C4C" w:rsidRPr="00572C4C" w:rsidRDefault="00572C4C" w:rsidP="00A16A13">
            <w:pPr>
              <w:spacing w:before="40" w:after="20"/>
              <w:ind w:left="-68" w:right="57"/>
              <w:jc w:val="right"/>
              <w:rPr>
                <w:rFonts w:ascii="Arial Narrow" w:hAnsi="Arial Narrow" w:cs="Arial"/>
                <w:sz w:val="18"/>
                <w:szCs w:val="18"/>
              </w:rPr>
            </w:pPr>
            <w:r w:rsidRPr="00572C4C">
              <w:rPr>
                <w:rFonts w:ascii="Arial Narrow" w:hAnsi="Arial Narrow" w:cs="Arial"/>
                <w:sz w:val="18"/>
                <w:szCs w:val="18"/>
              </w:rPr>
              <w:t>4,260</w:t>
            </w:r>
          </w:p>
        </w:tc>
      </w:tr>
      <w:tr w:rsidR="00572C4C" w:rsidRPr="00C7667B" w:rsidTr="00A16A13">
        <w:trPr>
          <w:trHeight w:val="255"/>
        </w:trPr>
        <w:tc>
          <w:tcPr>
            <w:tcW w:w="2694" w:type="dxa"/>
            <w:shd w:val="clear" w:color="auto" w:fill="auto"/>
            <w:vAlign w:val="center"/>
          </w:tcPr>
          <w:p w:rsidR="00572C4C" w:rsidRPr="00C8504B" w:rsidRDefault="00572C4C" w:rsidP="00572C4C">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dell’energia, degli alimentari (incluse bevande alcoliche) e tabacchi</w:t>
            </w:r>
          </w:p>
        </w:tc>
        <w:tc>
          <w:tcPr>
            <w:tcW w:w="567" w:type="dxa"/>
            <w:shd w:val="clear" w:color="auto" w:fill="D9D9D9" w:themeFill="background1" w:themeFillShade="D9"/>
            <w:vAlign w:val="center"/>
          </w:tcPr>
          <w:p w:rsidR="00572C4C" w:rsidRPr="001630C6"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3</w:t>
            </w:r>
            <w:r>
              <w:rPr>
                <w:rFonts w:ascii="Arial Narrow" w:hAnsi="Arial Narrow" w:cs="Arial"/>
                <w:sz w:val="18"/>
                <w:szCs w:val="18"/>
              </w:rPr>
              <w:t>,0</w:t>
            </w:r>
          </w:p>
        </w:tc>
        <w:tc>
          <w:tcPr>
            <w:tcW w:w="567" w:type="dxa"/>
            <w:shd w:val="clear" w:color="auto" w:fill="auto"/>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4,7</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4,8</w:t>
            </w:r>
          </w:p>
        </w:tc>
        <w:tc>
          <w:tcPr>
            <w:tcW w:w="567" w:type="dxa"/>
            <w:shd w:val="clear" w:color="auto" w:fill="auto"/>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4,1</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3,2</w:t>
            </w:r>
          </w:p>
        </w:tc>
        <w:tc>
          <w:tcPr>
            <w:tcW w:w="669" w:type="dxa"/>
            <w:shd w:val="clear" w:color="auto" w:fill="auto"/>
            <w:vAlign w:val="center"/>
          </w:tcPr>
          <w:p w:rsidR="00572C4C" w:rsidRPr="0086374D" w:rsidRDefault="00572C4C" w:rsidP="00A16A13">
            <w:pPr>
              <w:spacing w:before="40" w:after="20"/>
              <w:ind w:left="-68" w:right="57"/>
              <w:jc w:val="right"/>
              <w:rPr>
                <w:rFonts w:ascii="Arial Narrow" w:hAnsi="Arial Narrow" w:cs="Arial"/>
                <w:sz w:val="18"/>
                <w:szCs w:val="18"/>
              </w:rPr>
            </w:pPr>
            <w:r w:rsidRPr="0086374D">
              <w:rPr>
                <w:rFonts w:ascii="Arial Narrow" w:hAnsi="Arial Narrow" w:cs="Arial"/>
                <w:sz w:val="18"/>
                <w:szCs w:val="18"/>
              </w:rPr>
              <w:t>+4,2</w:t>
            </w:r>
          </w:p>
        </w:tc>
        <w:tc>
          <w:tcPr>
            <w:tcW w:w="845" w:type="dxa"/>
            <w:shd w:val="clear" w:color="auto" w:fill="D9D9D9" w:themeFill="background1" w:themeFillShade="D9"/>
            <w:vAlign w:val="center"/>
          </w:tcPr>
          <w:p w:rsidR="00572C4C" w:rsidRPr="00DD6C97" w:rsidRDefault="00572C4C" w:rsidP="00A16A13">
            <w:pPr>
              <w:spacing w:before="40" w:after="20"/>
              <w:ind w:left="-68" w:right="57"/>
              <w:jc w:val="right"/>
              <w:rPr>
                <w:rFonts w:ascii="Arial Narrow" w:hAnsi="Arial Narrow" w:cs="Arial"/>
                <w:sz w:val="18"/>
                <w:szCs w:val="18"/>
              </w:rPr>
            </w:pPr>
            <w:r w:rsidRPr="00DD6C97">
              <w:rPr>
                <w:rFonts w:ascii="Arial Narrow" w:hAnsi="Arial Narrow" w:cs="Arial"/>
                <w:sz w:val="18"/>
                <w:szCs w:val="18"/>
              </w:rPr>
              <w:t>+2,0</w:t>
            </w:r>
          </w:p>
        </w:tc>
        <w:tc>
          <w:tcPr>
            <w:tcW w:w="895" w:type="dxa"/>
            <w:shd w:val="clear" w:color="auto" w:fill="auto"/>
            <w:vAlign w:val="center"/>
          </w:tcPr>
          <w:p w:rsidR="00572C4C" w:rsidRPr="00370EB6" w:rsidRDefault="00572C4C" w:rsidP="00A16A13">
            <w:pPr>
              <w:spacing w:before="40" w:after="20"/>
              <w:ind w:left="-68" w:right="57"/>
              <w:jc w:val="right"/>
              <w:rPr>
                <w:rFonts w:ascii="Arial Narrow" w:hAnsi="Arial Narrow" w:cs="Arial"/>
                <w:sz w:val="18"/>
                <w:szCs w:val="18"/>
              </w:rPr>
            </w:pPr>
            <w:r w:rsidRPr="00370EB6">
              <w:rPr>
                <w:rFonts w:ascii="Arial Narrow" w:hAnsi="Arial Narrow" w:cs="Arial"/>
                <w:sz w:val="18"/>
                <w:szCs w:val="18"/>
              </w:rPr>
              <w:t>+2,2</w:t>
            </w:r>
          </w:p>
        </w:tc>
        <w:tc>
          <w:tcPr>
            <w:tcW w:w="851" w:type="dxa"/>
            <w:shd w:val="clear" w:color="auto" w:fill="D9D9D9" w:themeFill="background1" w:themeFillShade="D9"/>
            <w:vAlign w:val="center"/>
          </w:tcPr>
          <w:p w:rsidR="00572C4C" w:rsidRPr="004F2A9A" w:rsidRDefault="00572C4C" w:rsidP="00A16A13">
            <w:pPr>
              <w:spacing w:before="40" w:after="20"/>
              <w:ind w:left="-68" w:right="57"/>
              <w:jc w:val="right"/>
              <w:rPr>
                <w:rFonts w:ascii="Arial Narrow" w:hAnsi="Arial Narrow" w:cs="Arial"/>
                <w:sz w:val="18"/>
                <w:szCs w:val="18"/>
              </w:rPr>
            </w:pPr>
            <w:r w:rsidRPr="004F2A9A">
              <w:rPr>
                <w:rFonts w:ascii="Arial Narrow" w:hAnsi="Arial Narrow" w:cs="Arial"/>
                <w:sz w:val="18"/>
                <w:szCs w:val="18"/>
              </w:rPr>
              <w:t>+0,6</w:t>
            </w:r>
          </w:p>
        </w:tc>
        <w:tc>
          <w:tcPr>
            <w:tcW w:w="1417" w:type="dxa"/>
            <w:shd w:val="clear" w:color="auto" w:fill="auto"/>
            <w:vAlign w:val="center"/>
          </w:tcPr>
          <w:p w:rsidR="00572C4C" w:rsidRPr="00572C4C" w:rsidRDefault="00572C4C" w:rsidP="00A16A13">
            <w:pPr>
              <w:spacing w:before="40" w:after="20"/>
              <w:ind w:left="-68" w:right="57"/>
              <w:jc w:val="right"/>
              <w:rPr>
                <w:rFonts w:ascii="Arial Narrow" w:hAnsi="Arial Narrow" w:cs="Arial"/>
                <w:sz w:val="18"/>
                <w:szCs w:val="18"/>
              </w:rPr>
            </w:pPr>
            <w:r w:rsidRPr="00572C4C">
              <w:rPr>
                <w:rFonts w:ascii="Arial Narrow" w:hAnsi="Arial Narrow" w:cs="Arial"/>
                <w:sz w:val="18"/>
                <w:szCs w:val="18"/>
              </w:rPr>
              <w:t>2,918</w:t>
            </w:r>
          </w:p>
        </w:tc>
      </w:tr>
      <w:tr w:rsidR="00572C4C" w:rsidRPr="00C7667B" w:rsidTr="00A16A13">
        <w:trPr>
          <w:trHeight w:val="255"/>
        </w:trPr>
        <w:tc>
          <w:tcPr>
            <w:tcW w:w="2694" w:type="dxa"/>
            <w:shd w:val="clear" w:color="auto" w:fill="auto"/>
            <w:vAlign w:val="center"/>
          </w:tcPr>
          <w:p w:rsidR="00572C4C" w:rsidRPr="00C8504B" w:rsidRDefault="00572C4C" w:rsidP="00572C4C">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degli energetici</w:t>
            </w:r>
          </w:p>
        </w:tc>
        <w:tc>
          <w:tcPr>
            <w:tcW w:w="567" w:type="dxa"/>
            <w:shd w:val="clear" w:color="auto" w:fill="D9D9D9" w:themeFill="background1" w:themeFillShade="D9"/>
            <w:vAlign w:val="center"/>
          </w:tcPr>
          <w:p w:rsidR="00572C4C" w:rsidRPr="001630C6"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4,1</w:t>
            </w:r>
          </w:p>
        </w:tc>
        <w:tc>
          <w:tcPr>
            <w:tcW w:w="567" w:type="dxa"/>
            <w:shd w:val="clear" w:color="auto" w:fill="auto"/>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6,3</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6,1</w:t>
            </w:r>
          </w:p>
        </w:tc>
        <w:tc>
          <w:tcPr>
            <w:tcW w:w="567" w:type="dxa"/>
            <w:shd w:val="clear" w:color="auto" w:fill="auto"/>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5,1</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3,7</w:t>
            </w:r>
          </w:p>
        </w:tc>
        <w:tc>
          <w:tcPr>
            <w:tcW w:w="669" w:type="dxa"/>
            <w:shd w:val="clear" w:color="auto" w:fill="auto"/>
            <w:vAlign w:val="center"/>
          </w:tcPr>
          <w:p w:rsidR="00572C4C" w:rsidRPr="0086374D" w:rsidRDefault="00572C4C" w:rsidP="00A16A13">
            <w:pPr>
              <w:spacing w:before="40" w:after="20"/>
              <w:ind w:left="-68" w:right="57"/>
              <w:jc w:val="right"/>
              <w:rPr>
                <w:rFonts w:ascii="Arial Narrow" w:hAnsi="Arial Narrow" w:cs="Arial"/>
                <w:sz w:val="18"/>
                <w:szCs w:val="18"/>
              </w:rPr>
            </w:pPr>
            <w:r w:rsidRPr="0086374D">
              <w:rPr>
                <w:rFonts w:ascii="Arial Narrow" w:hAnsi="Arial Narrow" w:cs="Arial"/>
                <w:sz w:val="18"/>
                <w:szCs w:val="18"/>
              </w:rPr>
              <w:t>+5,3</w:t>
            </w:r>
          </w:p>
        </w:tc>
        <w:tc>
          <w:tcPr>
            <w:tcW w:w="845" w:type="dxa"/>
            <w:shd w:val="clear" w:color="auto" w:fill="D9D9D9" w:themeFill="background1" w:themeFillShade="D9"/>
            <w:vAlign w:val="center"/>
          </w:tcPr>
          <w:p w:rsidR="00572C4C" w:rsidRPr="00DD6C97" w:rsidRDefault="00572C4C" w:rsidP="00A16A13">
            <w:pPr>
              <w:spacing w:before="40" w:after="20"/>
              <w:ind w:left="-68" w:right="57"/>
              <w:jc w:val="right"/>
              <w:rPr>
                <w:rFonts w:ascii="Arial Narrow" w:hAnsi="Arial Narrow" w:cs="Arial"/>
                <w:sz w:val="18"/>
                <w:szCs w:val="18"/>
              </w:rPr>
            </w:pPr>
            <w:r w:rsidRPr="00DD6C97">
              <w:rPr>
                <w:rFonts w:ascii="Arial Narrow" w:hAnsi="Arial Narrow" w:cs="Arial"/>
                <w:sz w:val="18"/>
                <w:szCs w:val="18"/>
              </w:rPr>
              <w:t>+2,7</w:t>
            </w:r>
          </w:p>
        </w:tc>
        <w:tc>
          <w:tcPr>
            <w:tcW w:w="895" w:type="dxa"/>
            <w:shd w:val="clear" w:color="auto" w:fill="auto"/>
            <w:vAlign w:val="center"/>
          </w:tcPr>
          <w:p w:rsidR="00572C4C" w:rsidRPr="00370EB6" w:rsidRDefault="00572C4C" w:rsidP="00A16A13">
            <w:pPr>
              <w:spacing w:before="40" w:after="20"/>
              <w:ind w:left="-68" w:right="57"/>
              <w:jc w:val="right"/>
              <w:rPr>
                <w:rFonts w:ascii="Arial Narrow" w:hAnsi="Arial Narrow" w:cs="Arial"/>
                <w:sz w:val="18"/>
                <w:szCs w:val="18"/>
              </w:rPr>
            </w:pPr>
            <w:r w:rsidRPr="00370EB6">
              <w:rPr>
                <w:rFonts w:ascii="Arial Narrow" w:hAnsi="Arial Narrow" w:cs="Arial"/>
                <w:sz w:val="18"/>
                <w:szCs w:val="18"/>
              </w:rPr>
              <w:t>+2,6</w:t>
            </w:r>
          </w:p>
        </w:tc>
        <w:tc>
          <w:tcPr>
            <w:tcW w:w="851" w:type="dxa"/>
            <w:shd w:val="clear" w:color="auto" w:fill="D9D9D9" w:themeFill="background1" w:themeFillShade="D9"/>
            <w:vAlign w:val="center"/>
          </w:tcPr>
          <w:p w:rsidR="00572C4C" w:rsidRPr="004F2A9A" w:rsidRDefault="00572C4C" w:rsidP="00A16A13">
            <w:pPr>
              <w:spacing w:before="40" w:after="20"/>
              <w:ind w:left="-68" w:right="57"/>
              <w:jc w:val="right"/>
              <w:rPr>
                <w:rFonts w:ascii="Arial Narrow" w:hAnsi="Arial Narrow" w:cs="Arial"/>
                <w:sz w:val="18"/>
                <w:szCs w:val="18"/>
              </w:rPr>
            </w:pPr>
            <w:r w:rsidRPr="004F2A9A">
              <w:rPr>
                <w:rFonts w:ascii="Arial Narrow" w:hAnsi="Arial Narrow" w:cs="Arial"/>
                <w:sz w:val="18"/>
                <w:szCs w:val="18"/>
              </w:rPr>
              <w:t>+0,8</w:t>
            </w:r>
          </w:p>
        </w:tc>
        <w:tc>
          <w:tcPr>
            <w:tcW w:w="1417" w:type="dxa"/>
            <w:shd w:val="clear" w:color="auto" w:fill="auto"/>
            <w:vAlign w:val="center"/>
          </w:tcPr>
          <w:p w:rsidR="00572C4C" w:rsidRPr="00572C4C" w:rsidRDefault="00572C4C" w:rsidP="00A16A13">
            <w:pPr>
              <w:spacing w:before="40" w:after="20"/>
              <w:ind w:left="-68" w:right="57"/>
              <w:jc w:val="right"/>
              <w:rPr>
                <w:rFonts w:ascii="Arial Narrow" w:hAnsi="Arial Narrow" w:cs="Arial"/>
                <w:sz w:val="18"/>
                <w:szCs w:val="18"/>
              </w:rPr>
            </w:pPr>
            <w:r w:rsidRPr="00572C4C">
              <w:rPr>
                <w:rFonts w:ascii="Arial Narrow" w:hAnsi="Arial Narrow" w:cs="Arial"/>
                <w:sz w:val="18"/>
                <w:szCs w:val="18"/>
              </w:rPr>
              <w:t>4,834</w:t>
            </w:r>
          </w:p>
        </w:tc>
      </w:tr>
      <w:tr w:rsidR="00572C4C" w:rsidRPr="00C7667B" w:rsidTr="00A16A13">
        <w:trPr>
          <w:trHeight w:val="255"/>
        </w:trPr>
        <w:tc>
          <w:tcPr>
            <w:tcW w:w="2694" w:type="dxa"/>
            <w:shd w:val="clear" w:color="auto" w:fill="auto"/>
            <w:vAlign w:val="center"/>
          </w:tcPr>
          <w:p w:rsidR="00572C4C" w:rsidRPr="00C8504B" w:rsidRDefault="00572C4C" w:rsidP="00572C4C">
            <w:pPr>
              <w:spacing w:before="40" w:after="20"/>
              <w:ind w:left="-68"/>
              <w:rPr>
                <w:rFonts w:ascii="Arial Narrow" w:hAnsi="Arial Narrow" w:cs="Arial"/>
                <w:bCs/>
                <w:sz w:val="18"/>
                <w:szCs w:val="18"/>
              </w:rPr>
            </w:pPr>
            <w:r w:rsidRPr="00C8504B">
              <w:rPr>
                <w:rFonts w:ascii="Arial Narrow" w:hAnsi="Arial Narrow" w:cs="Arial"/>
                <w:bCs/>
                <w:sz w:val="18"/>
                <w:szCs w:val="18"/>
              </w:rPr>
              <w:t>Indice dei beni alimentari, per la cura della casa e della persona</w:t>
            </w:r>
          </w:p>
        </w:tc>
        <w:tc>
          <w:tcPr>
            <w:tcW w:w="567" w:type="dxa"/>
            <w:shd w:val="clear" w:color="auto" w:fill="D9D9D9" w:themeFill="background1" w:themeFillShade="D9"/>
            <w:vAlign w:val="center"/>
          </w:tcPr>
          <w:p w:rsidR="00572C4C" w:rsidRPr="001630C6"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8,4</w:t>
            </w:r>
          </w:p>
        </w:tc>
        <w:tc>
          <w:tcPr>
            <w:tcW w:w="567" w:type="dxa"/>
            <w:shd w:val="clear" w:color="auto" w:fill="auto"/>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12,5</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11</w:t>
            </w:r>
            <w:r>
              <w:rPr>
                <w:rFonts w:ascii="Arial Narrow" w:hAnsi="Arial Narrow" w:cs="Arial"/>
                <w:sz w:val="18"/>
                <w:szCs w:val="18"/>
              </w:rPr>
              <w:t>,0</w:t>
            </w:r>
          </w:p>
        </w:tc>
        <w:tc>
          <w:tcPr>
            <w:tcW w:w="567" w:type="dxa"/>
            <w:shd w:val="clear" w:color="auto" w:fill="auto"/>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9,2</w:t>
            </w:r>
          </w:p>
        </w:tc>
        <w:tc>
          <w:tcPr>
            <w:tcW w:w="567" w:type="dxa"/>
            <w:shd w:val="clear" w:color="auto" w:fill="D9D9D9" w:themeFill="background1" w:themeFillShade="D9"/>
            <w:vAlign w:val="center"/>
          </w:tcPr>
          <w:p w:rsidR="00572C4C" w:rsidRPr="00A807E5" w:rsidRDefault="00572C4C" w:rsidP="00A16A13">
            <w:pPr>
              <w:spacing w:before="40" w:after="20"/>
              <w:ind w:left="-68" w:right="57"/>
              <w:jc w:val="right"/>
              <w:rPr>
                <w:rFonts w:ascii="Arial Narrow" w:hAnsi="Arial Narrow" w:cs="Arial"/>
                <w:sz w:val="18"/>
                <w:szCs w:val="18"/>
              </w:rPr>
            </w:pPr>
            <w:r>
              <w:rPr>
                <w:rFonts w:ascii="Arial Narrow" w:hAnsi="Arial Narrow" w:cs="Arial"/>
                <w:sz w:val="18"/>
                <w:szCs w:val="18"/>
              </w:rPr>
              <w:t>+</w:t>
            </w:r>
            <w:r w:rsidRPr="00A807E5">
              <w:rPr>
                <w:rFonts w:ascii="Arial Narrow" w:hAnsi="Arial Narrow" w:cs="Arial"/>
                <w:sz w:val="18"/>
                <w:szCs w:val="18"/>
              </w:rPr>
              <w:t>5,6</w:t>
            </w:r>
          </w:p>
        </w:tc>
        <w:tc>
          <w:tcPr>
            <w:tcW w:w="669" w:type="dxa"/>
            <w:shd w:val="clear" w:color="auto" w:fill="auto"/>
            <w:vAlign w:val="center"/>
          </w:tcPr>
          <w:p w:rsidR="00572C4C" w:rsidRPr="0086374D" w:rsidRDefault="00572C4C" w:rsidP="00A16A13">
            <w:pPr>
              <w:spacing w:before="40" w:after="20"/>
              <w:ind w:left="-68" w:right="57"/>
              <w:jc w:val="right"/>
              <w:rPr>
                <w:rFonts w:ascii="Arial Narrow" w:hAnsi="Arial Narrow" w:cs="Arial"/>
                <w:sz w:val="18"/>
                <w:szCs w:val="18"/>
              </w:rPr>
            </w:pPr>
            <w:r w:rsidRPr="0086374D">
              <w:rPr>
                <w:rFonts w:ascii="Arial Narrow" w:hAnsi="Arial Narrow" w:cs="Arial"/>
                <w:sz w:val="18"/>
                <w:szCs w:val="18"/>
              </w:rPr>
              <w:t>+9,5</w:t>
            </w:r>
          </w:p>
        </w:tc>
        <w:tc>
          <w:tcPr>
            <w:tcW w:w="845" w:type="dxa"/>
            <w:shd w:val="clear" w:color="auto" w:fill="D9D9D9" w:themeFill="background1" w:themeFillShade="D9"/>
            <w:vAlign w:val="center"/>
          </w:tcPr>
          <w:p w:rsidR="00572C4C" w:rsidRPr="00DD6C97" w:rsidRDefault="00572C4C" w:rsidP="00A16A13">
            <w:pPr>
              <w:spacing w:before="40" w:after="20"/>
              <w:ind w:left="-68" w:right="57"/>
              <w:jc w:val="right"/>
              <w:rPr>
                <w:rFonts w:ascii="Arial Narrow" w:hAnsi="Arial Narrow" w:cs="Arial"/>
                <w:sz w:val="18"/>
                <w:szCs w:val="18"/>
              </w:rPr>
            </w:pPr>
            <w:r w:rsidRPr="00DD6C97">
              <w:rPr>
                <w:rFonts w:ascii="Arial Narrow" w:hAnsi="Arial Narrow" w:cs="Arial"/>
                <w:sz w:val="18"/>
                <w:szCs w:val="18"/>
              </w:rPr>
              <w:t>+5,3</w:t>
            </w:r>
          </w:p>
        </w:tc>
        <w:tc>
          <w:tcPr>
            <w:tcW w:w="895" w:type="dxa"/>
            <w:shd w:val="clear" w:color="auto" w:fill="auto"/>
            <w:vAlign w:val="center"/>
          </w:tcPr>
          <w:p w:rsidR="00572C4C" w:rsidRPr="00370EB6" w:rsidRDefault="00572C4C" w:rsidP="00A16A13">
            <w:pPr>
              <w:spacing w:before="40" w:after="20"/>
              <w:ind w:left="-68" w:right="57"/>
              <w:jc w:val="right"/>
              <w:rPr>
                <w:rFonts w:ascii="Arial Narrow" w:hAnsi="Arial Narrow" w:cs="Arial"/>
                <w:sz w:val="18"/>
                <w:szCs w:val="18"/>
              </w:rPr>
            </w:pPr>
            <w:r w:rsidRPr="00370EB6">
              <w:rPr>
                <w:rFonts w:ascii="Arial Narrow" w:hAnsi="Arial Narrow" w:cs="Arial"/>
                <w:sz w:val="18"/>
                <w:szCs w:val="18"/>
              </w:rPr>
              <w:t>+4,0</w:t>
            </w:r>
          </w:p>
        </w:tc>
        <w:tc>
          <w:tcPr>
            <w:tcW w:w="851" w:type="dxa"/>
            <w:shd w:val="clear" w:color="auto" w:fill="D9D9D9" w:themeFill="background1" w:themeFillShade="D9"/>
            <w:vAlign w:val="center"/>
          </w:tcPr>
          <w:p w:rsidR="00572C4C" w:rsidRPr="004F2A9A" w:rsidRDefault="00572C4C" w:rsidP="00A16A13">
            <w:pPr>
              <w:spacing w:before="40" w:after="20"/>
              <w:ind w:left="-68" w:right="57"/>
              <w:jc w:val="right"/>
              <w:rPr>
                <w:rFonts w:ascii="Arial Narrow" w:hAnsi="Arial Narrow" w:cs="Arial"/>
                <w:sz w:val="18"/>
                <w:szCs w:val="18"/>
              </w:rPr>
            </w:pPr>
            <w:r w:rsidRPr="004F2A9A">
              <w:rPr>
                <w:rFonts w:ascii="Arial Narrow" w:hAnsi="Arial Narrow" w:cs="Arial"/>
                <w:sz w:val="18"/>
                <w:szCs w:val="18"/>
              </w:rPr>
              <w:t>+1,2</w:t>
            </w:r>
          </w:p>
        </w:tc>
        <w:tc>
          <w:tcPr>
            <w:tcW w:w="1417" w:type="dxa"/>
            <w:shd w:val="clear" w:color="auto" w:fill="auto"/>
            <w:vAlign w:val="center"/>
          </w:tcPr>
          <w:p w:rsidR="00572C4C" w:rsidRPr="00572C4C" w:rsidRDefault="00572C4C" w:rsidP="00A16A13">
            <w:pPr>
              <w:spacing w:before="40" w:after="20"/>
              <w:ind w:left="-68" w:right="57"/>
              <w:jc w:val="right"/>
              <w:rPr>
                <w:rFonts w:ascii="Arial Narrow" w:hAnsi="Arial Narrow" w:cs="Arial"/>
                <w:sz w:val="18"/>
                <w:szCs w:val="18"/>
              </w:rPr>
            </w:pPr>
            <w:r w:rsidRPr="00572C4C">
              <w:rPr>
                <w:rFonts w:ascii="Arial Narrow" w:hAnsi="Arial Narrow" w:cs="Arial"/>
                <w:sz w:val="18"/>
                <w:szCs w:val="18"/>
              </w:rPr>
              <w:t>2,063</w:t>
            </w:r>
          </w:p>
        </w:tc>
      </w:tr>
    </w:tbl>
    <w:p w:rsidR="00934B53" w:rsidRDefault="00D25552" w:rsidP="006C721A">
      <w:pPr>
        <w:tabs>
          <w:tab w:val="left" w:pos="2940"/>
        </w:tabs>
        <w:spacing w:before="0" w:after="120"/>
        <w:jc w:val="both"/>
        <w:rPr>
          <w:rFonts w:ascii="Arial" w:hAnsi="Arial" w:cs="Arial"/>
          <w:iCs/>
          <w:sz w:val="21"/>
          <w:szCs w:val="21"/>
        </w:rPr>
      </w:pPr>
      <w:r w:rsidRPr="001D29FC">
        <w:rPr>
          <w:rFonts w:ascii="Arial Narrow" w:hAnsi="Arial Narrow" w:cs="Arial"/>
          <w:sz w:val="15"/>
          <w:szCs w:val="15"/>
        </w:rPr>
        <w:t xml:space="preserve">Per il calcolo dei tassi di inflazione ereditato e proprio </w:t>
      </w:r>
      <w:r w:rsidRPr="001D29FC">
        <w:rPr>
          <w:rFonts w:ascii="Arial Narrow" w:hAnsi="Arial Narrow" w:cs="Arial"/>
          <w:i/>
          <w:sz w:val="15"/>
          <w:szCs w:val="15"/>
        </w:rPr>
        <w:t>Cfr</w:t>
      </w:r>
      <w:r w:rsidRPr="001D29FC">
        <w:rPr>
          <w:rFonts w:ascii="Arial Narrow" w:hAnsi="Arial Narrow" w:cs="Arial"/>
          <w:sz w:val="15"/>
          <w:szCs w:val="15"/>
        </w:rPr>
        <w:t>. il Glossario.</w:t>
      </w:r>
    </w:p>
    <w:p w:rsidR="0087369D" w:rsidRPr="00966B49" w:rsidRDefault="0087369D" w:rsidP="006C721A">
      <w:pPr>
        <w:tabs>
          <w:tab w:val="left" w:pos="2940"/>
        </w:tabs>
        <w:spacing w:before="0" w:after="120"/>
        <w:jc w:val="both"/>
        <w:rPr>
          <w:rFonts w:ascii="Arial" w:hAnsi="Arial" w:cs="Arial"/>
          <w:iCs/>
          <w:sz w:val="18"/>
          <w:szCs w:val="21"/>
        </w:rPr>
      </w:pPr>
    </w:p>
    <w:p w:rsidR="003346B6" w:rsidRPr="00323159" w:rsidRDefault="003346B6" w:rsidP="003346B6">
      <w:pPr>
        <w:spacing w:before="0"/>
        <w:jc w:val="both"/>
        <w:rPr>
          <w:rFonts w:ascii="Arial" w:hAnsi="Arial" w:cs="Arial"/>
          <w:iCs/>
          <w:sz w:val="21"/>
          <w:szCs w:val="21"/>
        </w:rPr>
      </w:pPr>
      <w:r w:rsidRPr="00323159">
        <w:rPr>
          <w:rFonts w:ascii="Arial" w:hAnsi="Arial" w:cs="Arial"/>
          <w:iCs/>
          <w:sz w:val="21"/>
          <w:szCs w:val="21"/>
        </w:rPr>
        <w:t xml:space="preserve">I prezzi dei Beni energetici non regolamentati aumentano in media d’anno del </w:t>
      </w:r>
      <w:r w:rsidR="008B45CF">
        <w:rPr>
          <w:rFonts w:ascii="Arial" w:hAnsi="Arial" w:cs="Arial"/>
          <w:iCs/>
          <w:sz w:val="21"/>
          <w:szCs w:val="21"/>
        </w:rPr>
        <w:t>7,5</w:t>
      </w:r>
      <w:r>
        <w:rPr>
          <w:rFonts w:ascii="Arial" w:hAnsi="Arial" w:cs="Arial"/>
          <w:iCs/>
          <w:sz w:val="21"/>
          <w:szCs w:val="21"/>
        </w:rPr>
        <w:t>% (da +</w:t>
      </w:r>
      <w:r w:rsidR="008B45CF">
        <w:rPr>
          <w:rFonts w:ascii="Arial" w:hAnsi="Arial" w:cs="Arial"/>
          <w:iCs/>
          <w:sz w:val="21"/>
          <w:szCs w:val="21"/>
        </w:rPr>
        <w:t>44,7</w:t>
      </w:r>
      <w:r>
        <w:rPr>
          <w:rFonts w:ascii="Arial" w:hAnsi="Arial" w:cs="Arial"/>
          <w:iCs/>
          <w:sz w:val="21"/>
          <w:szCs w:val="21"/>
        </w:rPr>
        <w:t>% nel 202</w:t>
      </w:r>
      <w:r w:rsidR="008B45CF">
        <w:rPr>
          <w:rFonts w:ascii="Arial" w:hAnsi="Arial" w:cs="Arial"/>
          <w:iCs/>
          <w:sz w:val="21"/>
          <w:szCs w:val="21"/>
        </w:rPr>
        <w:t>2</w:t>
      </w:r>
      <w:r>
        <w:rPr>
          <w:rFonts w:ascii="Arial" w:hAnsi="Arial" w:cs="Arial"/>
          <w:iCs/>
          <w:sz w:val="21"/>
          <w:szCs w:val="21"/>
        </w:rPr>
        <w:t>), con un</w:t>
      </w:r>
      <w:r w:rsidR="004A533E">
        <w:rPr>
          <w:rFonts w:ascii="Arial" w:hAnsi="Arial" w:cs="Arial"/>
          <w:iCs/>
          <w:sz w:val="21"/>
          <w:szCs w:val="21"/>
        </w:rPr>
        <w:t>a de</w:t>
      </w:r>
      <w:r>
        <w:rPr>
          <w:rFonts w:ascii="Arial" w:hAnsi="Arial" w:cs="Arial"/>
          <w:iCs/>
          <w:sz w:val="21"/>
          <w:szCs w:val="21"/>
        </w:rPr>
        <w:t xml:space="preserve">celerazione della dinamica tendenziale </w:t>
      </w:r>
      <w:r w:rsidR="004A533E">
        <w:rPr>
          <w:rFonts w:ascii="Arial" w:hAnsi="Arial" w:cs="Arial"/>
          <w:iCs/>
          <w:sz w:val="21"/>
          <w:szCs w:val="21"/>
        </w:rPr>
        <w:t>nei</w:t>
      </w:r>
      <w:r>
        <w:rPr>
          <w:rFonts w:ascii="Arial" w:hAnsi="Arial" w:cs="Arial"/>
          <w:iCs/>
          <w:sz w:val="21"/>
          <w:szCs w:val="21"/>
        </w:rPr>
        <w:t xml:space="preserve"> </w:t>
      </w:r>
      <w:r w:rsidR="004A533E">
        <w:rPr>
          <w:rFonts w:ascii="Arial" w:hAnsi="Arial" w:cs="Arial"/>
          <w:iCs/>
          <w:sz w:val="21"/>
          <w:szCs w:val="21"/>
        </w:rPr>
        <w:t>quattro i trimestri del 2023</w:t>
      </w:r>
      <w:r>
        <w:rPr>
          <w:rFonts w:ascii="Arial" w:hAnsi="Arial" w:cs="Arial"/>
          <w:iCs/>
          <w:sz w:val="21"/>
          <w:szCs w:val="21"/>
        </w:rPr>
        <w:t xml:space="preserve">, arrivando a </w:t>
      </w:r>
      <w:r w:rsidR="004A533E">
        <w:rPr>
          <w:rFonts w:ascii="Arial" w:hAnsi="Arial" w:cs="Arial"/>
          <w:iCs/>
          <w:sz w:val="21"/>
          <w:szCs w:val="21"/>
        </w:rPr>
        <w:t>-20,4</w:t>
      </w:r>
      <w:r w:rsidRPr="00FA56CB">
        <w:rPr>
          <w:rFonts w:ascii="Arial" w:hAnsi="Arial" w:cs="Arial"/>
          <w:iCs/>
          <w:sz w:val="21"/>
          <w:szCs w:val="21"/>
        </w:rPr>
        <w:t>%</w:t>
      </w:r>
      <w:r>
        <w:rPr>
          <w:rFonts w:ascii="Arial" w:hAnsi="Arial" w:cs="Arial"/>
          <w:iCs/>
          <w:sz w:val="21"/>
          <w:szCs w:val="21"/>
        </w:rPr>
        <w:t xml:space="preserve"> nell’ultimo trimestre</w:t>
      </w:r>
      <w:r w:rsidR="00EF54B4">
        <w:rPr>
          <w:rFonts w:ascii="Arial" w:hAnsi="Arial" w:cs="Arial"/>
          <w:iCs/>
          <w:sz w:val="21"/>
          <w:szCs w:val="21"/>
        </w:rPr>
        <w:t>,</w:t>
      </w:r>
      <w:r w:rsidR="004A533E">
        <w:rPr>
          <w:rFonts w:ascii="Arial" w:hAnsi="Arial" w:cs="Arial"/>
          <w:iCs/>
          <w:sz w:val="21"/>
          <w:szCs w:val="21"/>
        </w:rPr>
        <w:t xml:space="preserve"> dal +38,6</w:t>
      </w:r>
      <w:r>
        <w:rPr>
          <w:rFonts w:ascii="Arial" w:hAnsi="Arial" w:cs="Arial"/>
          <w:iCs/>
          <w:sz w:val="21"/>
          <w:szCs w:val="21"/>
        </w:rPr>
        <w:t>% del primo</w:t>
      </w:r>
      <w:r w:rsidRPr="000218EE">
        <w:rPr>
          <w:rFonts w:ascii="Arial" w:hAnsi="Arial" w:cs="Arial"/>
          <w:iCs/>
          <w:sz w:val="21"/>
          <w:szCs w:val="21"/>
        </w:rPr>
        <w:t xml:space="preserve">. In </w:t>
      </w:r>
      <w:r w:rsidR="00D00769" w:rsidRPr="000218EE">
        <w:rPr>
          <w:rFonts w:ascii="Arial" w:hAnsi="Arial" w:cs="Arial"/>
          <w:iCs/>
          <w:sz w:val="21"/>
          <w:szCs w:val="21"/>
        </w:rPr>
        <w:t>rallentamento</w:t>
      </w:r>
      <w:r w:rsidRPr="000218EE">
        <w:rPr>
          <w:rFonts w:ascii="Arial" w:hAnsi="Arial" w:cs="Arial"/>
          <w:iCs/>
          <w:sz w:val="21"/>
          <w:szCs w:val="21"/>
        </w:rPr>
        <w:t xml:space="preserve"> quasi tutte le componenti: i prezzi dell’Energia elettrica mercato libero (</w:t>
      </w:r>
      <w:r w:rsidR="000218EE" w:rsidRPr="000218EE">
        <w:rPr>
          <w:rFonts w:ascii="Arial" w:hAnsi="Arial" w:cs="Arial"/>
          <w:iCs/>
          <w:sz w:val="21"/>
          <w:szCs w:val="21"/>
        </w:rPr>
        <w:t xml:space="preserve">che </w:t>
      </w:r>
      <w:r w:rsidR="00165D5A">
        <w:rPr>
          <w:rFonts w:ascii="Arial" w:hAnsi="Arial" w:cs="Arial"/>
          <w:iCs/>
          <w:sz w:val="21"/>
          <w:szCs w:val="21"/>
        </w:rPr>
        <w:t>frenano</w:t>
      </w:r>
      <w:r w:rsidRPr="000218EE">
        <w:rPr>
          <w:rFonts w:ascii="Arial" w:hAnsi="Arial" w:cs="Arial"/>
          <w:iCs/>
          <w:sz w:val="21"/>
          <w:szCs w:val="21"/>
        </w:rPr>
        <w:t xml:space="preserve"> da </w:t>
      </w:r>
      <w:r w:rsidR="001607C5" w:rsidRPr="000218EE">
        <w:rPr>
          <w:rFonts w:ascii="Arial" w:hAnsi="Arial" w:cs="Arial"/>
          <w:iCs/>
          <w:sz w:val="21"/>
          <w:szCs w:val="21"/>
        </w:rPr>
        <w:t>+132,1</w:t>
      </w:r>
      <w:r w:rsidRPr="000218EE">
        <w:rPr>
          <w:rFonts w:ascii="Arial" w:hAnsi="Arial" w:cs="Arial"/>
          <w:iCs/>
          <w:sz w:val="21"/>
          <w:szCs w:val="21"/>
        </w:rPr>
        <w:t>% a +</w:t>
      </w:r>
      <w:r w:rsidR="001607C5" w:rsidRPr="000218EE">
        <w:rPr>
          <w:rFonts w:ascii="Arial" w:hAnsi="Arial" w:cs="Arial"/>
          <w:iCs/>
          <w:sz w:val="21"/>
          <w:szCs w:val="21"/>
        </w:rPr>
        <w:t>1,8</w:t>
      </w:r>
      <w:r w:rsidRPr="000218EE">
        <w:rPr>
          <w:rFonts w:ascii="Arial" w:hAnsi="Arial" w:cs="Arial"/>
          <w:iCs/>
          <w:sz w:val="21"/>
          <w:szCs w:val="21"/>
        </w:rPr>
        <w:t>%)</w:t>
      </w:r>
      <w:r w:rsidR="00D00769" w:rsidRPr="000218EE">
        <w:rPr>
          <w:rFonts w:ascii="Arial" w:hAnsi="Arial" w:cs="Arial"/>
          <w:iCs/>
          <w:sz w:val="21"/>
          <w:szCs w:val="21"/>
        </w:rPr>
        <w:t>,</w:t>
      </w:r>
      <w:r w:rsidRPr="000218EE">
        <w:rPr>
          <w:rFonts w:ascii="Arial" w:hAnsi="Arial" w:cs="Arial"/>
          <w:iCs/>
          <w:sz w:val="21"/>
          <w:szCs w:val="21"/>
        </w:rPr>
        <w:t xml:space="preserve"> </w:t>
      </w:r>
      <w:r w:rsidR="000218EE" w:rsidRPr="000218EE">
        <w:rPr>
          <w:rFonts w:ascii="Arial" w:hAnsi="Arial" w:cs="Arial"/>
          <w:iCs/>
          <w:sz w:val="21"/>
          <w:szCs w:val="21"/>
        </w:rPr>
        <w:t xml:space="preserve">quelli del Gasolio per riscaldamento (da +38,4% a -8,2%), degli Altri carburanti (da +33,3% a -11,1%), </w:t>
      </w:r>
      <w:r w:rsidRPr="000218EE">
        <w:rPr>
          <w:rFonts w:ascii="Arial" w:hAnsi="Arial" w:cs="Arial"/>
          <w:iCs/>
          <w:sz w:val="21"/>
          <w:szCs w:val="21"/>
        </w:rPr>
        <w:t>del Gasolio per mezzi di trasporto (da +</w:t>
      </w:r>
      <w:r w:rsidR="001607C5" w:rsidRPr="000218EE">
        <w:rPr>
          <w:rFonts w:ascii="Arial" w:hAnsi="Arial" w:cs="Arial"/>
          <w:iCs/>
          <w:sz w:val="21"/>
          <w:szCs w:val="21"/>
        </w:rPr>
        <w:t>22,1% a -2,0</w:t>
      </w:r>
      <w:r w:rsidRPr="000218EE">
        <w:rPr>
          <w:rFonts w:ascii="Arial" w:hAnsi="Arial" w:cs="Arial"/>
          <w:iCs/>
          <w:sz w:val="21"/>
          <w:szCs w:val="21"/>
        </w:rPr>
        <w:t xml:space="preserve">%), </w:t>
      </w:r>
      <w:r w:rsidR="00D00769" w:rsidRPr="000218EE">
        <w:rPr>
          <w:rFonts w:ascii="Arial" w:hAnsi="Arial" w:cs="Arial"/>
          <w:iCs/>
          <w:sz w:val="21"/>
          <w:szCs w:val="21"/>
        </w:rPr>
        <w:t>quelli de</w:t>
      </w:r>
      <w:r w:rsidR="000218EE" w:rsidRPr="000218EE">
        <w:rPr>
          <w:rFonts w:ascii="Arial" w:hAnsi="Arial" w:cs="Arial"/>
          <w:iCs/>
          <w:sz w:val="21"/>
          <w:szCs w:val="21"/>
        </w:rPr>
        <w:t>lla Benzina (da +11,8% a +1,9%) e quelli</w:t>
      </w:r>
      <w:r w:rsidR="00D00769" w:rsidRPr="000218EE">
        <w:rPr>
          <w:rFonts w:ascii="Arial" w:hAnsi="Arial" w:cs="Arial"/>
          <w:iCs/>
          <w:sz w:val="21"/>
          <w:szCs w:val="21"/>
        </w:rPr>
        <w:t xml:space="preserve"> </w:t>
      </w:r>
      <w:r w:rsidR="00FC1C2C" w:rsidRPr="000218EE">
        <w:rPr>
          <w:rFonts w:ascii="Arial" w:hAnsi="Arial" w:cs="Arial"/>
          <w:iCs/>
          <w:sz w:val="21"/>
          <w:szCs w:val="21"/>
        </w:rPr>
        <w:t>de</w:t>
      </w:r>
      <w:r w:rsidRPr="000218EE">
        <w:rPr>
          <w:rFonts w:ascii="Arial" w:hAnsi="Arial" w:cs="Arial"/>
          <w:iCs/>
          <w:sz w:val="21"/>
          <w:szCs w:val="21"/>
        </w:rPr>
        <w:t>i Combustibili solidi (da +</w:t>
      </w:r>
      <w:r w:rsidR="001607C5" w:rsidRPr="000218EE">
        <w:rPr>
          <w:rFonts w:ascii="Arial" w:hAnsi="Arial" w:cs="Arial"/>
          <w:iCs/>
          <w:sz w:val="21"/>
          <w:szCs w:val="21"/>
        </w:rPr>
        <w:t>12,2</w:t>
      </w:r>
      <w:r w:rsidRPr="000218EE">
        <w:rPr>
          <w:rFonts w:ascii="Arial" w:hAnsi="Arial" w:cs="Arial"/>
          <w:iCs/>
          <w:sz w:val="21"/>
          <w:szCs w:val="21"/>
        </w:rPr>
        <w:t xml:space="preserve">% a </w:t>
      </w:r>
      <w:r w:rsidR="001607C5" w:rsidRPr="000218EE">
        <w:rPr>
          <w:rFonts w:ascii="Arial" w:hAnsi="Arial" w:cs="Arial"/>
          <w:iCs/>
          <w:sz w:val="21"/>
          <w:szCs w:val="21"/>
        </w:rPr>
        <w:t>+11,5</w:t>
      </w:r>
      <w:r w:rsidRPr="00200660">
        <w:rPr>
          <w:rFonts w:ascii="Arial" w:hAnsi="Arial" w:cs="Arial"/>
          <w:iCs/>
          <w:sz w:val="21"/>
          <w:szCs w:val="21"/>
        </w:rPr>
        <w:t>%</w:t>
      </w:r>
      <w:r w:rsidR="000218EE" w:rsidRPr="00200660">
        <w:rPr>
          <w:rFonts w:ascii="Arial" w:hAnsi="Arial" w:cs="Arial"/>
          <w:iCs/>
          <w:sz w:val="21"/>
          <w:szCs w:val="21"/>
        </w:rPr>
        <w:t>)</w:t>
      </w:r>
      <w:r w:rsidRPr="00200660">
        <w:rPr>
          <w:rFonts w:ascii="Arial" w:hAnsi="Arial" w:cs="Arial"/>
          <w:iCs/>
          <w:sz w:val="21"/>
          <w:szCs w:val="21"/>
        </w:rPr>
        <w:t xml:space="preserve">; i prezzi del Gas di città e gas naturale mercato libero, </w:t>
      </w:r>
      <w:r w:rsidR="00DB6454">
        <w:rPr>
          <w:rFonts w:ascii="Arial" w:hAnsi="Arial" w:cs="Arial"/>
          <w:iCs/>
          <w:sz w:val="21"/>
          <w:szCs w:val="21"/>
        </w:rPr>
        <w:t xml:space="preserve">prodotto </w:t>
      </w:r>
      <w:r w:rsidRPr="00200660">
        <w:rPr>
          <w:rFonts w:ascii="Arial" w:hAnsi="Arial" w:cs="Arial"/>
          <w:iCs/>
          <w:sz w:val="21"/>
          <w:szCs w:val="21"/>
        </w:rPr>
        <w:t xml:space="preserve">introdotto nel paniere dei prezzi al consumo nel 2022, </w:t>
      </w:r>
      <w:r w:rsidR="005F45EA">
        <w:rPr>
          <w:rFonts w:ascii="Arial" w:hAnsi="Arial" w:cs="Arial"/>
          <w:iCs/>
          <w:sz w:val="21"/>
          <w:szCs w:val="21"/>
        </w:rPr>
        <w:t>registrano</w:t>
      </w:r>
      <w:r w:rsidRPr="00200660">
        <w:rPr>
          <w:rFonts w:ascii="Arial" w:hAnsi="Arial" w:cs="Arial"/>
          <w:iCs/>
          <w:sz w:val="21"/>
          <w:szCs w:val="21"/>
        </w:rPr>
        <w:t xml:space="preserve"> una variazione </w:t>
      </w:r>
      <w:r w:rsidR="00D00769" w:rsidRPr="00200660">
        <w:rPr>
          <w:rFonts w:ascii="Arial" w:hAnsi="Arial" w:cs="Arial"/>
          <w:iCs/>
          <w:sz w:val="21"/>
          <w:szCs w:val="21"/>
        </w:rPr>
        <w:t>in media d’anno nel 2023 pari a +6,7%</w:t>
      </w:r>
      <w:r w:rsidRPr="00200660">
        <w:rPr>
          <w:rFonts w:ascii="Arial" w:hAnsi="Arial" w:cs="Arial"/>
          <w:iCs/>
          <w:sz w:val="21"/>
          <w:szCs w:val="21"/>
        </w:rPr>
        <w:t>.</w:t>
      </w:r>
    </w:p>
    <w:p w:rsidR="00911F21" w:rsidRPr="00323159" w:rsidRDefault="001D6772" w:rsidP="00911F21">
      <w:pPr>
        <w:jc w:val="both"/>
        <w:rPr>
          <w:rFonts w:ascii="Arial" w:hAnsi="Arial" w:cs="Arial"/>
          <w:iCs/>
          <w:sz w:val="21"/>
          <w:szCs w:val="21"/>
        </w:rPr>
      </w:pPr>
      <w:r>
        <w:rPr>
          <w:rFonts w:ascii="Arial" w:hAnsi="Arial" w:cs="Arial"/>
          <w:iCs/>
          <w:sz w:val="21"/>
          <w:szCs w:val="21"/>
        </w:rPr>
        <w:t>N</w:t>
      </w:r>
      <w:r w:rsidR="00911F21" w:rsidRPr="00323159">
        <w:rPr>
          <w:rFonts w:ascii="Arial" w:hAnsi="Arial" w:cs="Arial"/>
          <w:iCs/>
          <w:sz w:val="21"/>
          <w:szCs w:val="21"/>
        </w:rPr>
        <w:t xml:space="preserve">el </w:t>
      </w:r>
      <w:r w:rsidR="0099127F" w:rsidRPr="00323159">
        <w:rPr>
          <w:rFonts w:ascii="Arial" w:hAnsi="Arial" w:cs="Arial"/>
          <w:iCs/>
          <w:sz w:val="21"/>
          <w:szCs w:val="21"/>
        </w:rPr>
        <w:t>202</w:t>
      </w:r>
      <w:r w:rsidR="00883DF2">
        <w:rPr>
          <w:rFonts w:ascii="Arial" w:hAnsi="Arial" w:cs="Arial"/>
          <w:iCs/>
          <w:sz w:val="21"/>
          <w:szCs w:val="21"/>
        </w:rPr>
        <w:t>3</w:t>
      </w:r>
      <w:r w:rsidR="00911F21" w:rsidRPr="00323159">
        <w:rPr>
          <w:rFonts w:ascii="Arial" w:hAnsi="Arial" w:cs="Arial"/>
          <w:iCs/>
          <w:sz w:val="21"/>
          <w:szCs w:val="21"/>
        </w:rPr>
        <w:t xml:space="preserve"> i prezzi dei Beni alimentari </w:t>
      </w:r>
      <w:r w:rsidR="00A51A45">
        <w:rPr>
          <w:rFonts w:ascii="Arial" w:hAnsi="Arial" w:cs="Arial"/>
          <w:iCs/>
          <w:sz w:val="21"/>
          <w:szCs w:val="21"/>
        </w:rPr>
        <w:t>acc</w:t>
      </w:r>
      <w:r w:rsidR="001E4528" w:rsidRPr="00323159">
        <w:rPr>
          <w:rFonts w:ascii="Arial" w:hAnsi="Arial" w:cs="Arial"/>
          <w:iCs/>
          <w:sz w:val="21"/>
          <w:szCs w:val="21"/>
        </w:rPr>
        <w:t xml:space="preserve">elerano </w:t>
      </w:r>
      <w:r w:rsidR="00DF2016">
        <w:rPr>
          <w:rFonts w:ascii="Arial" w:hAnsi="Arial" w:cs="Arial"/>
          <w:iCs/>
          <w:sz w:val="21"/>
          <w:szCs w:val="21"/>
        </w:rPr>
        <w:t xml:space="preserve">del </w:t>
      </w:r>
      <w:r w:rsidR="00883DF2">
        <w:rPr>
          <w:rFonts w:ascii="Arial" w:hAnsi="Arial" w:cs="Arial"/>
          <w:iCs/>
          <w:sz w:val="21"/>
          <w:szCs w:val="21"/>
        </w:rPr>
        <w:t>9</w:t>
      </w:r>
      <w:r w:rsidR="00A51A45">
        <w:rPr>
          <w:rFonts w:ascii="Arial" w:hAnsi="Arial" w:cs="Arial"/>
          <w:iCs/>
          <w:sz w:val="21"/>
          <w:szCs w:val="21"/>
        </w:rPr>
        <w:t>,8</w:t>
      </w:r>
      <w:r w:rsidR="00911F21" w:rsidRPr="00323159">
        <w:rPr>
          <w:rFonts w:ascii="Arial" w:hAnsi="Arial" w:cs="Arial"/>
          <w:iCs/>
          <w:sz w:val="21"/>
          <w:szCs w:val="21"/>
        </w:rPr>
        <w:t xml:space="preserve">% </w:t>
      </w:r>
      <w:r w:rsidR="00DF2016">
        <w:rPr>
          <w:rFonts w:ascii="Arial" w:hAnsi="Arial" w:cs="Arial"/>
          <w:iCs/>
          <w:sz w:val="21"/>
          <w:szCs w:val="21"/>
        </w:rPr>
        <w:t>(</w:t>
      </w:r>
      <w:r w:rsidR="00DF2016" w:rsidRPr="00323159">
        <w:rPr>
          <w:rFonts w:ascii="Arial" w:hAnsi="Arial" w:cs="Arial"/>
          <w:iCs/>
          <w:sz w:val="21"/>
          <w:szCs w:val="21"/>
        </w:rPr>
        <w:t>da +</w:t>
      </w:r>
      <w:r w:rsidR="00DF2016">
        <w:rPr>
          <w:rFonts w:ascii="Arial" w:hAnsi="Arial" w:cs="Arial"/>
          <w:iCs/>
          <w:sz w:val="21"/>
          <w:szCs w:val="21"/>
        </w:rPr>
        <w:t>8,8</w:t>
      </w:r>
      <w:r w:rsidR="00DF2016" w:rsidRPr="00323159">
        <w:rPr>
          <w:rFonts w:ascii="Arial" w:hAnsi="Arial" w:cs="Arial"/>
          <w:iCs/>
          <w:sz w:val="21"/>
          <w:szCs w:val="21"/>
        </w:rPr>
        <w:t>% nel 202</w:t>
      </w:r>
      <w:r w:rsidR="00DF2016">
        <w:rPr>
          <w:rFonts w:ascii="Arial" w:hAnsi="Arial" w:cs="Arial"/>
          <w:iCs/>
          <w:sz w:val="21"/>
          <w:szCs w:val="21"/>
        </w:rPr>
        <w:t>2),</w:t>
      </w:r>
      <w:r w:rsidR="00DF2016" w:rsidRPr="00323159">
        <w:rPr>
          <w:rFonts w:ascii="Arial" w:hAnsi="Arial" w:cs="Arial"/>
          <w:iCs/>
          <w:sz w:val="21"/>
          <w:szCs w:val="21"/>
        </w:rPr>
        <w:t xml:space="preserve"> </w:t>
      </w:r>
      <w:r w:rsidR="00911F21" w:rsidRPr="00323159">
        <w:rPr>
          <w:rFonts w:ascii="Arial" w:hAnsi="Arial" w:cs="Arial"/>
          <w:iCs/>
          <w:sz w:val="21"/>
          <w:szCs w:val="21"/>
        </w:rPr>
        <w:t xml:space="preserve">per effetto </w:t>
      </w:r>
      <w:r w:rsidR="00883DF2">
        <w:rPr>
          <w:rFonts w:ascii="Arial" w:hAnsi="Arial" w:cs="Arial"/>
          <w:iCs/>
          <w:sz w:val="21"/>
          <w:szCs w:val="21"/>
        </w:rPr>
        <w:t xml:space="preserve">principalmente </w:t>
      </w:r>
      <w:r w:rsidR="00911F21" w:rsidRPr="00323159">
        <w:rPr>
          <w:rFonts w:ascii="Arial" w:hAnsi="Arial" w:cs="Arial"/>
          <w:iCs/>
          <w:sz w:val="21"/>
          <w:szCs w:val="21"/>
        </w:rPr>
        <w:t xml:space="preserve">di </w:t>
      </w:r>
      <w:r w:rsidR="00D55127">
        <w:rPr>
          <w:rFonts w:ascii="Arial" w:hAnsi="Arial" w:cs="Arial"/>
          <w:iCs/>
          <w:sz w:val="21"/>
          <w:szCs w:val="21"/>
        </w:rPr>
        <w:t>quelli</w:t>
      </w:r>
      <w:r w:rsidR="00911F21" w:rsidRPr="00323159">
        <w:rPr>
          <w:rFonts w:ascii="Arial" w:hAnsi="Arial" w:cs="Arial"/>
          <w:iCs/>
          <w:sz w:val="21"/>
          <w:szCs w:val="21"/>
        </w:rPr>
        <w:t xml:space="preserve"> degli Alimentari lavorati (da +</w:t>
      </w:r>
      <w:r w:rsidR="00883DF2">
        <w:rPr>
          <w:rFonts w:ascii="Arial" w:hAnsi="Arial" w:cs="Arial"/>
          <w:iCs/>
          <w:sz w:val="21"/>
          <w:szCs w:val="21"/>
        </w:rPr>
        <w:t>8,5</w:t>
      </w:r>
      <w:r w:rsidR="00911F21" w:rsidRPr="00323159">
        <w:rPr>
          <w:rFonts w:ascii="Arial" w:hAnsi="Arial" w:cs="Arial"/>
          <w:iCs/>
          <w:sz w:val="21"/>
          <w:szCs w:val="21"/>
        </w:rPr>
        <w:t>% a +</w:t>
      </w:r>
      <w:r w:rsidR="00883DF2">
        <w:rPr>
          <w:rFonts w:ascii="Arial" w:hAnsi="Arial" w:cs="Arial"/>
          <w:iCs/>
          <w:sz w:val="21"/>
          <w:szCs w:val="21"/>
        </w:rPr>
        <w:t>10,9</w:t>
      </w:r>
      <w:r w:rsidR="00883DF2" w:rsidRPr="00B74693">
        <w:rPr>
          <w:rFonts w:ascii="Arial" w:hAnsi="Arial" w:cs="Arial"/>
          <w:iCs/>
          <w:sz w:val="21"/>
          <w:szCs w:val="21"/>
        </w:rPr>
        <w:t>%)</w:t>
      </w:r>
      <w:r w:rsidR="00D00769" w:rsidRPr="00B74693">
        <w:rPr>
          <w:rFonts w:ascii="Arial" w:hAnsi="Arial" w:cs="Arial"/>
          <w:iCs/>
          <w:sz w:val="21"/>
          <w:szCs w:val="21"/>
        </w:rPr>
        <w:t xml:space="preserve">, </w:t>
      </w:r>
      <w:r w:rsidR="00151335">
        <w:rPr>
          <w:rFonts w:ascii="Arial" w:hAnsi="Arial" w:cs="Arial"/>
          <w:iCs/>
          <w:sz w:val="21"/>
          <w:szCs w:val="21"/>
        </w:rPr>
        <w:t xml:space="preserve">nonostante il </w:t>
      </w:r>
      <w:r w:rsidR="00CD49C2">
        <w:rPr>
          <w:rFonts w:ascii="Arial" w:hAnsi="Arial" w:cs="Arial"/>
          <w:iCs/>
          <w:sz w:val="21"/>
          <w:szCs w:val="21"/>
        </w:rPr>
        <w:t xml:space="preserve">progressivo </w:t>
      </w:r>
      <w:r w:rsidR="00D00769" w:rsidRPr="00B74693">
        <w:rPr>
          <w:rFonts w:ascii="Arial" w:hAnsi="Arial" w:cs="Arial"/>
          <w:iCs/>
          <w:sz w:val="21"/>
          <w:szCs w:val="21"/>
        </w:rPr>
        <w:t xml:space="preserve">rallentamento </w:t>
      </w:r>
      <w:r w:rsidR="00151335">
        <w:rPr>
          <w:rFonts w:ascii="Arial" w:hAnsi="Arial" w:cs="Arial"/>
          <w:iCs/>
          <w:sz w:val="21"/>
          <w:szCs w:val="21"/>
        </w:rPr>
        <w:t xml:space="preserve">evidenziato dal secondo trimestre </w:t>
      </w:r>
      <w:r w:rsidR="009D3FA1">
        <w:rPr>
          <w:rFonts w:ascii="Arial" w:hAnsi="Arial" w:cs="Arial"/>
          <w:iCs/>
          <w:sz w:val="21"/>
          <w:szCs w:val="21"/>
        </w:rPr>
        <w:t>(</w:t>
      </w:r>
      <w:r w:rsidR="00151335">
        <w:rPr>
          <w:rFonts w:ascii="Arial" w:hAnsi="Arial" w:cs="Arial"/>
          <w:iCs/>
          <w:sz w:val="21"/>
          <w:szCs w:val="21"/>
        </w:rPr>
        <w:t xml:space="preserve">+12,9%, </w:t>
      </w:r>
      <w:r w:rsidR="00D00769" w:rsidRPr="00B74693">
        <w:rPr>
          <w:rFonts w:ascii="Arial" w:hAnsi="Arial" w:cs="Arial"/>
          <w:iCs/>
          <w:sz w:val="21"/>
          <w:szCs w:val="21"/>
        </w:rPr>
        <w:t xml:space="preserve">da +15,2% del </w:t>
      </w:r>
      <w:r w:rsidR="00B74693" w:rsidRPr="00B74693">
        <w:rPr>
          <w:rFonts w:ascii="Arial" w:hAnsi="Arial" w:cs="Arial"/>
          <w:iCs/>
          <w:sz w:val="21"/>
          <w:szCs w:val="21"/>
        </w:rPr>
        <w:t>primo trimestre</w:t>
      </w:r>
      <w:r w:rsidR="00151335">
        <w:rPr>
          <w:rFonts w:ascii="Arial" w:hAnsi="Arial" w:cs="Arial"/>
          <w:iCs/>
          <w:sz w:val="21"/>
          <w:szCs w:val="21"/>
        </w:rPr>
        <w:t>, finendo</w:t>
      </w:r>
      <w:r w:rsidR="00B74693" w:rsidRPr="00B74693">
        <w:rPr>
          <w:rFonts w:ascii="Arial" w:hAnsi="Arial" w:cs="Arial"/>
          <w:iCs/>
          <w:sz w:val="21"/>
          <w:szCs w:val="21"/>
        </w:rPr>
        <w:t xml:space="preserve"> a +6,0% </w:t>
      </w:r>
      <w:r w:rsidR="009D3FA1">
        <w:rPr>
          <w:rFonts w:ascii="Arial" w:hAnsi="Arial" w:cs="Arial"/>
          <w:iCs/>
          <w:sz w:val="21"/>
          <w:szCs w:val="21"/>
        </w:rPr>
        <w:t>del</w:t>
      </w:r>
      <w:r w:rsidR="00B74693" w:rsidRPr="00B74693">
        <w:rPr>
          <w:rFonts w:ascii="Arial" w:hAnsi="Arial" w:cs="Arial"/>
          <w:iCs/>
          <w:sz w:val="21"/>
          <w:szCs w:val="21"/>
        </w:rPr>
        <w:t xml:space="preserve"> quar</w:t>
      </w:r>
      <w:r w:rsidR="00D00769" w:rsidRPr="00B74693">
        <w:rPr>
          <w:rFonts w:ascii="Arial" w:hAnsi="Arial" w:cs="Arial"/>
          <w:iCs/>
          <w:sz w:val="21"/>
          <w:szCs w:val="21"/>
        </w:rPr>
        <w:t>to</w:t>
      </w:r>
      <w:r w:rsidR="009D3FA1">
        <w:rPr>
          <w:rFonts w:ascii="Arial" w:hAnsi="Arial" w:cs="Arial"/>
          <w:iCs/>
          <w:sz w:val="21"/>
          <w:szCs w:val="21"/>
        </w:rPr>
        <w:t>)</w:t>
      </w:r>
      <w:r w:rsidR="00883DF2" w:rsidRPr="00B74693">
        <w:rPr>
          <w:rFonts w:ascii="Arial" w:hAnsi="Arial" w:cs="Arial"/>
          <w:iCs/>
          <w:sz w:val="21"/>
          <w:szCs w:val="21"/>
        </w:rPr>
        <w:t>.</w:t>
      </w:r>
      <w:r w:rsidR="00883DF2">
        <w:rPr>
          <w:rFonts w:ascii="Arial" w:hAnsi="Arial" w:cs="Arial"/>
          <w:iCs/>
          <w:sz w:val="21"/>
          <w:szCs w:val="21"/>
        </w:rPr>
        <w:t xml:space="preserve"> Gl</w:t>
      </w:r>
      <w:r w:rsidR="00911F21" w:rsidRPr="00323159">
        <w:rPr>
          <w:rFonts w:ascii="Arial" w:hAnsi="Arial" w:cs="Arial"/>
          <w:iCs/>
          <w:sz w:val="21"/>
          <w:szCs w:val="21"/>
        </w:rPr>
        <w:t>i Alimentari non lavorati</w:t>
      </w:r>
      <w:r w:rsidR="00DF2016">
        <w:rPr>
          <w:rFonts w:ascii="Arial" w:hAnsi="Arial" w:cs="Arial"/>
          <w:iCs/>
          <w:sz w:val="21"/>
          <w:szCs w:val="21"/>
        </w:rPr>
        <w:t>,</w:t>
      </w:r>
      <w:r w:rsidR="00911F21" w:rsidRPr="00323159">
        <w:rPr>
          <w:rFonts w:ascii="Arial" w:hAnsi="Arial" w:cs="Arial"/>
          <w:iCs/>
          <w:sz w:val="21"/>
          <w:szCs w:val="21"/>
        </w:rPr>
        <w:t xml:space="preserve"> </w:t>
      </w:r>
      <w:r w:rsidR="00883DF2">
        <w:rPr>
          <w:rFonts w:ascii="Arial" w:hAnsi="Arial" w:cs="Arial"/>
          <w:iCs/>
          <w:sz w:val="21"/>
          <w:szCs w:val="21"/>
        </w:rPr>
        <w:t>invece</w:t>
      </w:r>
      <w:r w:rsidR="00DF2016">
        <w:rPr>
          <w:rFonts w:ascii="Arial" w:hAnsi="Arial" w:cs="Arial"/>
          <w:iCs/>
          <w:sz w:val="21"/>
          <w:szCs w:val="21"/>
        </w:rPr>
        <w:t>,</w:t>
      </w:r>
      <w:r w:rsidR="00883DF2">
        <w:rPr>
          <w:rFonts w:ascii="Arial" w:hAnsi="Arial" w:cs="Arial"/>
          <w:iCs/>
          <w:sz w:val="21"/>
          <w:szCs w:val="21"/>
        </w:rPr>
        <w:t xml:space="preserve"> </w:t>
      </w:r>
      <w:r w:rsidR="00DF2016">
        <w:rPr>
          <w:rFonts w:ascii="Arial" w:hAnsi="Arial" w:cs="Arial"/>
          <w:iCs/>
          <w:sz w:val="21"/>
          <w:szCs w:val="21"/>
        </w:rPr>
        <w:t xml:space="preserve">ridimensionano la loro variazione media annua, </w:t>
      </w:r>
      <w:r w:rsidR="00883DF2">
        <w:rPr>
          <w:rFonts w:ascii="Arial" w:hAnsi="Arial" w:cs="Arial"/>
          <w:iCs/>
          <w:sz w:val="21"/>
          <w:szCs w:val="21"/>
        </w:rPr>
        <w:t xml:space="preserve">da </w:t>
      </w:r>
      <w:r w:rsidR="00911F21" w:rsidRPr="00323159">
        <w:rPr>
          <w:rFonts w:ascii="Arial" w:hAnsi="Arial" w:cs="Arial"/>
          <w:iCs/>
          <w:sz w:val="21"/>
          <w:szCs w:val="21"/>
        </w:rPr>
        <w:t>+</w:t>
      </w:r>
      <w:r w:rsidR="00883DF2">
        <w:rPr>
          <w:rFonts w:ascii="Arial" w:hAnsi="Arial" w:cs="Arial"/>
          <w:iCs/>
          <w:sz w:val="21"/>
          <w:szCs w:val="21"/>
        </w:rPr>
        <w:t>9,1</w:t>
      </w:r>
      <w:r w:rsidR="00911F21" w:rsidRPr="00323159">
        <w:rPr>
          <w:rFonts w:ascii="Arial" w:hAnsi="Arial" w:cs="Arial"/>
          <w:iCs/>
          <w:sz w:val="21"/>
          <w:szCs w:val="21"/>
        </w:rPr>
        <w:t>%</w:t>
      </w:r>
      <w:r w:rsidR="00883DF2">
        <w:rPr>
          <w:rFonts w:ascii="Arial" w:hAnsi="Arial" w:cs="Arial"/>
          <w:iCs/>
          <w:sz w:val="21"/>
          <w:szCs w:val="21"/>
        </w:rPr>
        <w:t xml:space="preserve"> nel 2022</w:t>
      </w:r>
      <w:r w:rsidR="00911F21" w:rsidRPr="00323159">
        <w:rPr>
          <w:rFonts w:ascii="Arial" w:hAnsi="Arial" w:cs="Arial"/>
          <w:iCs/>
          <w:sz w:val="21"/>
          <w:szCs w:val="21"/>
        </w:rPr>
        <w:t xml:space="preserve"> a +</w:t>
      </w:r>
      <w:r w:rsidR="00883DF2">
        <w:rPr>
          <w:rFonts w:ascii="Arial" w:hAnsi="Arial" w:cs="Arial"/>
          <w:iCs/>
          <w:sz w:val="21"/>
          <w:szCs w:val="21"/>
        </w:rPr>
        <w:t>8</w:t>
      </w:r>
      <w:r w:rsidR="00A51A45">
        <w:rPr>
          <w:rFonts w:ascii="Arial" w:hAnsi="Arial" w:cs="Arial"/>
          <w:iCs/>
          <w:sz w:val="21"/>
          <w:szCs w:val="21"/>
        </w:rPr>
        <w:t>,1</w:t>
      </w:r>
      <w:r w:rsidR="00883DF2">
        <w:rPr>
          <w:rFonts w:ascii="Arial" w:hAnsi="Arial" w:cs="Arial"/>
          <w:iCs/>
          <w:sz w:val="21"/>
          <w:szCs w:val="21"/>
        </w:rPr>
        <w:t xml:space="preserve">%, </w:t>
      </w:r>
      <w:r w:rsidR="00DF2016">
        <w:rPr>
          <w:rFonts w:ascii="Arial" w:hAnsi="Arial" w:cs="Arial"/>
          <w:iCs/>
          <w:sz w:val="21"/>
          <w:szCs w:val="21"/>
        </w:rPr>
        <w:t>grazie alla decelerazione osservata nell’ultimo trimestre (+5,9%, dal +9,1% raggiunto nel terzo trimestre)</w:t>
      </w:r>
      <w:r w:rsidR="00883DF2">
        <w:rPr>
          <w:rFonts w:ascii="Arial" w:hAnsi="Arial" w:cs="Arial"/>
          <w:iCs/>
          <w:sz w:val="21"/>
          <w:szCs w:val="21"/>
        </w:rPr>
        <w:t>.</w:t>
      </w:r>
    </w:p>
    <w:p w:rsidR="008B67ED" w:rsidRDefault="00E1425B" w:rsidP="003346B6">
      <w:pPr>
        <w:tabs>
          <w:tab w:val="left" w:pos="2940"/>
        </w:tabs>
        <w:spacing w:before="0" w:after="120"/>
        <w:jc w:val="both"/>
        <w:rPr>
          <w:rFonts w:ascii="Arial" w:hAnsi="Arial" w:cs="Arial"/>
          <w:iCs/>
          <w:sz w:val="21"/>
          <w:szCs w:val="21"/>
        </w:rPr>
      </w:pPr>
      <w:r>
        <w:rPr>
          <w:rFonts w:ascii="Arial" w:hAnsi="Arial" w:cs="Arial"/>
          <w:iCs/>
          <w:sz w:val="21"/>
          <w:szCs w:val="21"/>
        </w:rPr>
        <w:t xml:space="preserve">I prezzi </w:t>
      </w:r>
      <w:r w:rsidR="008B67ED" w:rsidRPr="00323159">
        <w:rPr>
          <w:rFonts w:ascii="Arial" w:hAnsi="Arial" w:cs="Arial"/>
          <w:iCs/>
          <w:sz w:val="21"/>
          <w:szCs w:val="21"/>
        </w:rPr>
        <w:t>dei Tabacchi (da +</w:t>
      </w:r>
      <w:r w:rsidR="008B67ED">
        <w:rPr>
          <w:rFonts w:ascii="Arial" w:hAnsi="Arial" w:cs="Arial"/>
          <w:iCs/>
          <w:sz w:val="21"/>
          <w:szCs w:val="21"/>
        </w:rPr>
        <w:t>0</w:t>
      </w:r>
      <w:r w:rsidR="008B67ED" w:rsidRPr="00323159">
        <w:rPr>
          <w:rFonts w:ascii="Arial" w:hAnsi="Arial" w:cs="Arial"/>
          <w:iCs/>
          <w:sz w:val="21"/>
          <w:szCs w:val="21"/>
        </w:rPr>
        <w:t>,2% a +2</w:t>
      </w:r>
      <w:r w:rsidR="008B67ED">
        <w:rPr>
          <w:rFonts w:ascii="Arial" w:hAnsi="Arial" w:cs="Arial"/>
          <w:iCs/>
          <w:sz w:val="21"/>
          <w:szCs w:val="21"/>
        </w:rPr>
        <w:t xml:space="preserve">,0%) e </w:t>
      </w:r>
      <w:r w:rsidR="008748EB">
        <w:rPr>
          <w:rFonts w:ascii="Arial" w:hAnsi="Arial" w:cs="Arial"/>
          <w:iCs/>
          <w:sz w:val="21"/>
          <w:szCs w:val="21"/>
        </w:rPr>
        <w:t>degli Altri beni (</w:t>
      </w:r>
      <w:r w:rsidR="003346B6">
        <w:rPr>
          <w:rFonts w:ascii="Arial" w:hAnsi="Arial" w:cs="Arial"/>
          <w:iCs/>
          <w:sz w:val="21"/>
          <w:szCs w:val="21"/>
        </w:rPr>
        <w:t>da +</w:t>
      </w:r>
      <w:r w:rsidR="008B67ED">
        <w:rPr>
          <w:rFonts w:ascii="Arial" w:hAnsi="Arial" w:cs="Arial"/>
          <w:iCs/>
          <w:sz w:val="21"/>
          <w:szCs w:val="21"/>
        </w:rPr>
        <w:t>3,0</w:t>
      </w:r>
      <w:r w:rsidR="003346B6" w:rsidRPr="00323159">
        <w:rPr>
          <w:rFonts w:ascii="Arial" w:hAnsi="Arial" w:cs="Arial"/>
          <w:iCs/>
          <w:sz w:val="21"/>
          <w:szCs w:val="21"/>
        </w:rPr>
        <w:t>% a +</w:t>
      </w:r>
      <w:r w:rsidR="008B67ED">
        <w:rPr>
          <w:rFonts w:ascii="Arial" w:hAnsi="Arial" w:cs="Arial"/>
          <w:iCs/>
          <w:sz w:val="21"/>
          <w:szCs w:val="21"/>
        </w:rPr>
        <w:t>4,2</w:t>
      </w:r>
      <w:r w:rsidR="00E737F1">
        <w:rPr>
          <w:rFonts w:ascii="Arial" w:hAnsi="Arial" w:cs="Arial"/>
          <w:iCs/>
          <w:sz w:val="21"/>
          <w:szCs w:val="21"/>
        </w:rPr>
        <w:t>%</w:t>
      </w:r>
      <w:r>
        <w:rPr>
          <w:rFonts w:ascii="Arial" w:hAnsi="Arial" w:cs="Arial"/>
          <w:iCs/>
          <w:sz w:val="21"/>
          <w:szCs w:val="21"/>
        </w:rPr>
        <w:t>) accelerano di più nel 2023.</w:t>
      </w:r>
    </w:p>
    <w:p w:rsidR="003346B6" w:rsidRDefault="003346B6" w:rsidP="003346B6">
      <w:pPr>
        <w:tabs>
          <w:tab w:val="left" w:pos="2940"/>
        </w:tabs>
        <w:spacing w:before="0" w:after="120"/>
        <w:jc w:val="both"/>
        <w:rPr>
          <w:rFonts w:ascii="Arial" w:hAnsi="Arial" w:cs="Arial"/>
          <w:iCs/>
          <w:sz w:val="21"/>
          <w:szCs w:val="21"/>
        </w:rPr>
      </w:pPr>
      <w:r w:rsidRPr="00323159">
        <w:rPr>
          <w:rFonts w:ascii="Arial" w:hAnsi="Arial" w:cs="Arial"/>
          <w:iCs/>
          <w:sz w:val="21"/>
          <w:szCs w:val="21"/>
        </w:rPr>
        <w:t>Per quanto riguarda i prezzi dei servizi, l’accelerazione (da +</w:t>
      </w:r>
      <w:r w:rsidR="00C64C72">
        <w:rPr>
          <w:rFonts w:ascii="Arial" w:hAnsi="Arial" w:cs="Arial"/>
          <w:iCs/>
          <w:sz w:val="21"/>
          <w:szCs w:val="21"/>
        </w:rPr>
        <w:t>3,0</w:t>
      </w:r>
      <w:r w:rsidRPr="00323159">
        <w:rPr>
          <w:rFonts w:ascii="Arial" w:hAnsi="Arial" w:cs="Arial"/>
          <w:iCs/>
          <w:sz w:val="21"/>
          <w:szCs w:val="21"/>
        </w:rPr>
        <w:t>% del 202</w:t>
      </w:r>
      <w:r w:rsidR="00C64C72">
        <w:rPr>
          <w:rFonts w:ascii="Arial" w:hAnsi="Arial" w:cs="Arial"/>
          <w:iCs/>
          <w:sz w:val="21"/>
          <w:szCs w:val="21"/>
        </w:rPr>
        <w:t>2</w:t>
      </w:r>
      <w:r w:rsidRPr="00323159">
        <w:rPr>
          <w:rFonts w:ascii="Arial" w:hAnsi="Arial" w:cs="Arial"/>
          <w:iCs/>
          <w:sz w:val="21"/>
          <w:szCs w:val="21"/>
        </w:rPr>
        <w:t xml:space="preserve"> a +</w:t>
      </w:r>
      <w:r w:rsidR="00C64C72">
        <w:rPr>
          <w:rFonts w:ascii="Arial" w:hAnsi="Arial" w:cs="Arial"/>
          <w:iCs/>
          <w:sz w:val="21"/>
          <w:szCs w:val="21"/>
        </w:rPr>
        <w:t>4,2</w:t>
      </w:r>
      <w:r w:rsidRPr="00323159">
        <w:rPr>
          <w:rFonts w:ascii="Arial" w:hAnsi="Arial" w:cs="Arial"/>
          <w:iCs/>
          <w:sz w:val="21"/>
          <w:szCs w:val="21"/>
        </w:rPr>
        <w:t>%), è imputabile a quasi tutte le componenti</w:t>
      </w:r>
      <w:r w:rsidR="006354C0">
        <w:rPr>
          <w:rFonts w:ascii="Arial" w:hAnsi="Arial" w:cs="Arial"/>
          <w:iCs/>
          <w:sz w:val="21"/>
          <w:szCs w:val="21"/>
        </w:rPr>
        <w:t>, i</w:t>
      </w:r>
      <w:r>
        <w:rPr>
          <w:rFonts w:ascii="Arial" w:hAnsi="Arial" w:cs="Arial"/>
          <w:iCs/>
          <w:sz w:val="21"/>
          <w:szCs w:val="21"/>
        </w:rPr>
        <w:t>n particolare</w:t>
      </w:r>
      <w:r w:rsidRPr="00323159">
        <w:rPr>
          <w:rFonts w:ascii="Arial" w:hAnsi="Arial" w:cs="Arial"/>
          <w:iCs/>
          <w:sz w:val="21"/>
          <w:szCs w:val="21"/>
        </w:rPr>
        <w:t xml:space="preserve"> ai prezzi </w:t>
      </w:r>
      <w:r w:rsidR="00C64C72" w:rsidRPr="00323159">
        <w:rPr>
          <w:rFonts w:ascii="Arial" w:hAnsi="Arial" w:cs="Arial"/>
          <w:iCs/>
          <w:sz w:val="21"/>
          <w:szCs w:val="21"/>
        </w:rPr>
        <w:t xml:space="preserve">dei Servizi </w:t>
      </w:r>
      <w:r w:rsidR="00C64C72">
        <w:rPr>
          <w:rFonts w:ascii="Arial" w:hAnsi="Arial" w:cs="Arial"/>
          <w:iCs/>
          <w:sz w:val="21"/>
          <w:szCs w:val="21"/>
        </w:rPr>
        <w:t>relativi all’abitazione (da +1,6</w:t>
      </w:r>
      <w:r w:rsidR="00C64C72" w:rsidRPr="00323159">
        <w:rPr>
          <w:rFonts w:ascii="Arial" w:hAnsi="Arial" w:cs="Arial"/>
          <w:iCs/>
          <w:sz w:val="21"/>
          <w:szCs w:val="21"/>
        </w:rPr>
        <w:t>% a +</w:t>
      </w:r>
      <w:r w:rsidR="00C64C72">
        <w:rPr>
          <w:rFonts w:ascii="Arial" w:hAnsi="Arial" w:cs="Arial"/>
          <w:iCs/>
          <w:sz w:val="21"/>
          <w:szCs w:val="21"/>
        </w:rPr>
        <w:t xml:space="preserve">3,6%), </w:t>
      </w:r>
      <w:r w:rsidR="00C64C72" w:rsidRPr="00323159">
        <w:rPr>
          <w:rFonts w:ascii="Arial" w:hAnsi="Arial" w:cs="Arial"/>
          <w:iCs/>
          <w:sz w:val="21"/>
          <w:szCs w:val="21"/>
        </w:rPr>
        <w:t>dei Servizi ricreativi, culturali e per la cura della persona (da +</w:t>
      </w:r>
      <w:r w:rsidR="00C64C72">
        <w:rPr>
          <w:rFonts w:ascii="Arial" w:hAnsi="Arial" w:cs="Arial"/>
          <w:iCs/>
          <w:sz w:val="21"/>
          <w:szCs w:val="21"/>
        </w:rPr>
        <w:t>4,4</w:t>
      </w:r>
      <w:r w:rsidR="00C64C72" w:rsidRPr="00323159">
        <w:rPr>
          <w:rFonts w:ascii="Arial" w:hAnsi="Arial" w:cs="Arial"/>
          <w:iCs/>
          <w:sz w:val="21"/>
          <w:szCs w:val="21"/>
        </w:rPr>
        <w:t>% a +</w:t>
      </w:r>
      <w:r w:rsidR="00C64C72">
        <w:rPr>
          <w:rFonts w:ascii="Arial" w:hAnsi="Arial" w:cs="Arial"/>
          <w:iCs/>
          <w:sz w:val="21"/>
          <w:szCs w:val="21"/>
        </w:rPr>
        <w:t>5,9</w:t>
      </w:r>
      <w:r w:rsidR="00C64C72" w:rsidRPr="00323159">
        <w:rPr>
          <w:rFonts w:ascii="Arial" w:hAnsi="Arial" w:cs="Arial"/>
          <w:iCs/>
          <w:sz w:val="21"/>
          <w:szCs w:val="21"/>
        </w:rPr>
        <w:t>%)</w:t>
      </w:r>
      <w:r w:rsidR="00E737F1">
        <w:rPr>
          <w:rFonts w:ascii="Arial" w:hAnsi="Arial" w:cs="Arial"/>
          <w:iCs/>
          <w:sz w:val="21"/>
          <w:szCs w:val="21"/>
        </w:rPr>
        <w:t xml:space="preserve">, dei </w:t>
      </w:r>
      <w:r w:rsidR="00E737F1" w:rsidRPr="00323159">
        <w:rPr>
          <w:rFonts w:ascii="Arial" w:hAnsi="Arial" w:cs="Arial"/>
          <w:iCs/>
          <w:sz w:val="21"/>
          <w:szCs w:val="21"/>
        </w:rPr>
        <w:t>Servizi relativi alle comunicazioni</w:t>
      </w:r>
      <w:r w:rsidRPr="00323159">
        <w:rPr>
          <w:rFonts w:ascii="Arial" w:hAnsi="Arial" w:cs="Arial"/>
          <w:iCs/>
          <w:sz w:val="21"/>
          <w:szCs w:val="21"/>
        </w:rPr>
        <w:t xml:space="preserve"> </w:t>
      </w:r>
      <w:r w:rsidR="00E737F1" w:rsidRPr="00323159">
        <w:rPr>
          <w:rFonts w:ascii="Arial" w:hAnsi="Arial" w:cs="Arial"/>
          <w:iCs/>
          <w:sz w:val="21"/>
          <w:szCs w:val="21"/>
        </w:rPr>
        <w:t xml:space="preserve">(da </w:t>
      </w:r>
      <w:r w:rsidR="00E737F1">
        <w:rPr>
          <w:rFonts w:ascii="Arial" w:hAnsi="Arial" w:cs="Arial"/>
          <w:iCs/>
          <w:sz w:val="21"/>
          <w:szCs w:val="21"/>
        </w:rPr>
        <w:t>+0,1% a +0,5</w:t>
      </w:r>
      <w:r w:rsidR="00E737F1" w:rsidRPr="00323159">
        <w:rPr>
          <w:rFonts w:ascii="Arial" w:hAnsi="Arial" w:cs="Arial"/>
          <w:iCs/>
          <w:sz w:val="21"/>
          <w:szCs w:val="21"/>
        </w:rPr>
        <w:t>%</w:t>
      </w:r>
      <w:r w:rsidR="00E737F1">
        <w:rPr>
          <w:rFonts w:ascii="Arial" w:hAnsi="Arial" w:cs="Arial"/>
          <w:iCs/>
          <w:sz w:val="21"/>
          <w:szCs w:val="21"/>
        </w:rPr>
        <w:t xml:space="preserve">) </w:t>
      </w:r>
      <w:r w:rsidR="00FC1C2C">
        <w:rPr>
          <w:rFonts w:ascii="Arial" w:hAnsi="Arial" w:cs="Arial"/>
          <w:iCs/>
          <w:sz w:val="21"/>
          <w:szCs w:val="21"/>
        </w:rPr>
        <w:t>e</w:t>
      </w:r>
      <w:r w:rsidR="00E737F1">
        <w:rPr>
          <w:rFonts w:ascii="Arial" w:hAnsi="Arial" w:cs="Arial"/>
          <w:iCs/>
          <w:sz w:val="21"/>
          <w:szCs w:val="21"/>
        </w:rPr>
        <w:t xml:space="preserve"> de</w:t>
      </w:r>
      <w:r w:rsidRPr="00323159">
        <w:rPr>
          <w:rFonts w:ascii="Arial" w:hAnsi="Arial" w:cs="Arial"/>
          <w:iCs/>
          <w:sz w:val="21"/>
          <w:szCs w:val="21"/>
        </w:rPr>
        <w:t xml:space="preserve">i Servizi vari </w:t>
      </w:r>
      <w:r w:rsidR="00E737F1">
        <w:rPr>
          <w:rFonts w:ascii="Arial" w:hAnsi="Arial" w:cs="Arial"/>
          <w:iCs/>
          <w:sz w:val="21"/>
          <w:szCs w:val="21"/>
        </w:rPr>
        <w:t>(da +1,5% a +2,7</w:t>
      </w:r>
      <w:r w:rsidRPr="00323159">
        <w:rPr>
          <w:rFonts w:ascii="Arial" w:hAnsi="Arial" w:cs="Arial"/>
          <w:iCs/>
          <w:sz w:val="21"/>
          <w:szCs w:val="21"/>
        </w:rPr>
        <w:t>%).</w:t>
      </w:r>
      <w:r w:rsidRPr="00645305">
        <w:rPr>
          <w:rFonts w:ascii="Arial" w:hAnsi="Arial" w:cs="Arial"/>
          <w:iCs/>
          <w:sz w:val="21"/>
          <w:szCs w:val="21"/>
        </w:rPr>
        <w:t xml:space="preserve"> </w:t>
      </w:r>
      <w:r>
        <w:rPr>
          <w:rFonts w:ascii="Arial" w:hAnsi="Arial" w:cs="Arial"/>
          <w:iCs/>
          <w:sz w:val="21"/>
          <w:szCs w:val="21"/>
        </w:rPr>
        <w:t xml:space="preserve">Solo i prezzi </w:t>
      </w:r>
      <w:r w:rsidRPr="00323159">
        <w:rPr>
          <w:rFonts w:ascii="Arial" w:hAnsi="Arial" w:cs="Arial"/>
          <w:iCs/>
          <w:sz w:val="21"/>
          <w:szCs w:val="21"/>
        </w:rPr>
        <w:t xml:space="preserve">dei </w:t>
      </w:r>
      <w:r w:rsidR="00E737F1">
        <w:rPr>
          <w:rFonts w:ascii="Arial" w:hAnsi="Arial" w:cs="Arial"/>
          <w:iCs/>
          <w:sz w:val="21"/>
          <w:szCs w:val="21"/>
        </w:rPr>
        <w:t xml:space="preserve">Servizi relativi ai trasporti </w:t>
      </w:r>
      <w:r>
        <w:rPr>
          <w:rFonts w:ascii="Arial" w:hAnsi="Arial" w:cs="Arial"/>
          <w:iCs/>
          <w:sz w:val="21"/>
          <w:szCs w:val="21"/>
        </w:rPr>
        <w:t>registrano un rallentamento</w:t>
      </w:r>
      <w:r w:rsidRPr="00323159">
        <w:rPr>
          <w:rFonts w:ascii="Arial" w:hAnsi="Arial" w:cs="Arial"/>
          <w:iCs/>
          <w:sz w:val="21"/>
          <w:szCs w:val="21"/>
        </w:rPr>
        <w:t xml:space="preserve"> </w:t>
      </w:r>
      <w:r w:rsidR="00E737F1">
        <w:rPr>
          <w:rFonts w:ascii="Arial" w:hAnsi="Arial" w:cs="Arial"/>
          <w:iCs/>
          <w:sz w:val="21"/>
          <w:szCs w:val="21"/>
        </w:rPr>
        <w:t>(</w:t>
      </w:r>
      <w:r w:rsidR="00E737F1" w:rsidRPr="00323159">
        <w:rPr>
          <w:rFonts w:ascii="Arial" w:hAnsi="Arial" w:cs="Arial"/>
          <w:iCs/>
          <w:sz w:val="21"/>
          <w:szCs w:val="21"/>
        </w:rPr>
        <w:t xml:space="preserve">da </w:t>
      </w:r>
      <w:r w:rsidR="00E737F1">
        <w:rPr>
          <w:rFonts w:ascii="Arial" w:hAnsi="Arial" w:cs="Arial"/>
          <w:iCs/>
          <w:sz w:val="21"/>
          <w:szCs w:val="21"/>
        </w:rPr>
        <w:t>+5,6%</w:t>
      </w:r>
      <w:r w:rsidR="00E737F1" w:rsidRPr="00323159">
        <w:rPr>
          <w:rFonts w:ascii="Arial" w:hAnsi="Arial" w:cs="Arial"/>
          <w:iCs/>
          <w:sz w:val="21"/>
          <w:szCs w:val="21"/>
        </w:rPr>
        <w:t xml:space="preserve"> a +</w:t>
      </w:r>
      <w:r w:rsidR="00E737F1">
        <w:rPr>
          <w:rFonts w:ascii="Arial" w:hAnsi="Arial" w:cs="Arial"/>
          <w:iCs/>
          <w:sz w:val="21"/>
          <w:szCs w:val="21"/>
        </w:rPr>
        <w:t>4,4%).</w:t>
      </w:r>
    </w:p>
    <w:p w:rsidR="00FA56CB" w:rsidRDefault="00FA56CB" w:rsidP="009477E4">
      <w:pPr>
        <w:tabs>
          <w:tab w:val="left" w:pos="2940"/>
        </w:tabs>
        <w:spacing w:before="0" w:after="120"/>
        <w:jc w:val="both"/>
        <w:rPr>
          <w:rFonts w:ascii="Arial" w:hAnsi="Arial" w:cs="Arial"/>
          <w:iCs/>
          <w:sz w:val="21"/>
          <w:szCs w:val="21"/>
        </w:rPr>
      </w:pPr>
      <w:r w:rsidRPr="00323159">
        <w:rPr>
          <w:rFonts w:ascii="Arial" w:hAnsi="Arial" w:cs="Arial"/>
          <w:iCs/>
          <w:sz w:val="21"/>
          <w:szCs w:val="21"/>
        </w:rPr>
        <w:t>I contributi più ampi al tasso di inflazione medio annuo risultano quindi ascrivibil</w:t>
      </w:r>
      <w:r>
        <w:rPr>
          <w:rFonts w:ascii="Arial" w:hAnsi="Arial" w:cs="Arial"/>
          <w:iCs/>
          <w:sz w:val="21"/>
          <w:szCs w:val="21"/>
        </w:rPr>
        <w:t xml:space="preserve">i ai prezzi </w:t>
      </w:r>
      <w:r w:rsidR="0087544B">
        <w:rPr>
          <w:rFonts w:ascii="Arial" w:hAnsi="Arial" w:cs="Arial"/>
          <w:iCs/>
          <w:sz w:val="21"/>
          <w:szCs w:val="21"/>
        </w:rPr>
        <w:t>dei Beni alimentari (1,874</w:t>
      </w:r>
      <w:r w:rsidR="009957EE">
        <w:rPr>
          <w:rFonts w:ascii="Arial" w:hAnsi="Arial" w:cs="Arial"/>
          <w:iCs/>
          <w:sz w:val="21"/>
          <w:szCs w:val="21"/>
        </w:rPr>
        <w:t xml:space="preserve"> </w:t>
      </w:r>
      <w:r w:rsidR="009957EE" w:rsidRPr="00323159">
        <w:rPr>
          <w:rFonts w:ascii="Arial" w:hAnsi="Arial" w:cs="Arial"/>
          <w:iCs/>
          <w:sz w:val="21"/>
          <w:szCs w:val="21"/>
        </w:rPr>
        <w:t>punti percentuali</w:t>
      </w:r>
      <w:r w:rsidR="00AB0A0C">
        <w:rPr>
          <w:rFonts w:ascii="Arial" w:hAnsi="Arial" w:cs="Arial"/>
          <w:iCs/>
          <w:sz w:val="21"/>
          <w:szCs w:val="21"/>
        </w:rPr>
        <w:t>) e</w:t>
      </w:r>
      <w:r w:rsidR="0087544B">
        <w:rPr>
          <w:rFonts w:ascii="Arial" w:hAnsi="Arial" w:cs="Arial"/>
          <w:iCs/>
          <w:sz w:val="21"/>
          <w:szCs w:val="21"/>
        </w:rPr>
        <w:t xml:space="preserve"> </w:t>
      </w:r>
      <w:r w:rsidR="00AB0A0C">
        <w:rPr>
          <w:rFonts w:ascii="Arial" w:hAnsi="Arial" w:cs="Arial"/>
          <w:iCs/>
          <w:sz w:val="21"/>
          <w:szCs w:val="21"/>
        </w:rPr>
        <w:t>degli Energetici</w:t>
      </w:r>
      <w:r w:rsidRPr="00645305">
        <w:rPr>
          <w:rFonts w:ascii="Arial" w:hAnsi="Arial" w:cs="Arial"/>
          <w:iCs/>
          <w:sz w:val="21"/>
          <w:szCs w:val="21"/>
        </w:rPr>
        <w:t xml:space="preserve"> </w:t>
      </w:r>
      <w:r w:rsidRPr="00323159">
        <w:rPr>
          <w:rFonts w:ascii="Arial" w:hAnsi="Arial" w:cs="Arial"/>
          <w:iCs/>
          <w:sz w:val="21"/>
          <w:szCs w:val="21"/>
        </w:rPr>
        <w:t>non regolamentati (</w:t>
      </w:r>
      <w:r w:rsidR="009957EE">
        <w:rPr>
          <w:rFonts w:ascii="Arial" w:hAnsi="Arial" w:cs="Arial"/>
          <w:iCs/>
          <w:sz w:val="21"/>
          <w:szCs w:val="21"/>
        </w:rPr>
        <w:t>1,136</w:t>
      </w:r>
      <w:r>
        <w:rPr>
          <w:rFonts w:ascii="Arial" w:hAnsi="Arial" w:cs="Arial"/>
          <w:iCs/>
          <w:sz w:val="21"/>
          <w:szCs w:val="21"/>
        </w:rPr>
        <w:t>)</w:t>
      </w:r>
      <w:r w:rsidR="00AB0A0C">
        <w:rPr>
          <w:rFonts w:ascii="Arial" w:hAnsi="Arial" w:cs="Arial"/>
          <w:iCs/>
          <w:sz w:val="21"/>
          <w:szCs w:val="21"/>
        </w:rPr>
        <w:t>, mentre u</w:t>
      </w:r>
      <w:r w:rsidR="009957EE">
        <w:rPr>
          <w:rFonts w:ascii="Arial" w:hAnsi="Arial" w:cs="Arial"/>
          <w:iCs/>
          <w:sz w:val="21"/>
          <w:szCs w:val="21"/>
        </w:rPr>
        <w:t>n contributo negativo viene dagli Energetici regolamentati (-0,256).</w:t>
      </w:r>
    </w:p>
    <w:p w:rsidR="00FA56CB" w:rsidRPr="00966B49" w:rsidRDefault="00FA56CB" w:rsidP="009477E4">
      <w:pPr>
        <w:tabs>
          <w:tab w:val="left" w:pos="2940"/>
        </w:tabs>
        <w:spacing w:before="0" w:after="120"/>
        <w:jc w:val="both"/>
        <w:rPr>
          <w:rFonts w:ascii="Arial" w:hAnsi="Arial" w:cs="Arial"/>
          <w:iCs/>
          <w:sz w:val="10"/>
          <w:szCs w:val="21"/>
        </w:rPr>
      </w:pPr>
    </w:p>
    <w:p w:rsidR="001A7A55" w:rsidRPr="00C8504B" w:rsidRDefault="00461E41" w:rsidP="001A7A55">
      <w:pPr>
        <w:pStyle w:val="Corpotesto"/>
        <w:tabs>
          <w:tab w:val="left" w:pos="6237"/>
        </w:tabs>
        <w:spacing w:after="120" w:line="240" w:lineRule="exact"/>
        <w:jc w:val="both"/>
        <w:rPr>
          <w:rFonts w:ascii="Arial Narrow" w:hAnsi="Arial Narrow" w:cs="Arial"/>
          <w:color w:val="5F5F5F"/>
        </w:rPr>
      </w:pPr>
      <w:r>
        <w:rPr>
          <w:rFonts w:ascii="Arial Narrow" w:hAnsi="Arial Narrow" w:cs="Arial"/>
          <w:b/>
          <w:color w:val="E42618"/>
          <w:sz w:val="22"/>
          <w:szCs w:val="22"/>
        </w:rPr>
        <w:t>PROSPETTO 8</w:t>
      </w:r>
      <w:r w:rsidRPr="00C8504B">
        <w:rPr>
          <w:rFonts w:ascii="Arial Narrow" w:hAnsi="Arial Narrow" w:cs="Arial"/>
          <w:b/>
          <w:color w:val="E42618"/>
          <w:sz w:val="22"/>
          <w:szCs w:val="22"/>
        </w:rPr>
        <w:t>.</w:t>
      </w:r>
      <w:r w:rsidRPr="00C8504B">
        <w:rPr>
          <w:rFonts w:ascii="Arial Narrow" w:hAnsi="Arial Narrow" w:cs="Arial"/>
          <w:b/>
          <w:color w:val="2298D1"/>
          <w:sz w:val="22"/>
          <w:szCs w:val="22"/>
        </w:rPr>
        <w:t xml:space="preserve"> </w:t>
      </w:r>
      <w:r w:rsidRPr="00C8504B">
        <w:rPr>
          <w:rFonts w:ascii="Arial Narrow" w:hAnsi="Arial Narrow" w:cs="Calibri"/>
          <w:b/>
          <w:bCs/>
          <w:color w:val="5F5F5F"/>
          <w:kern w:val="0"/>
          <w:sz w:val="22"/>
          <w:szCs w:val="22"/>
        </w:rPr>
        <w:t>INDICI DEI PREZZI AL CONSUMO NIC</w:t>
      </w:r>
      <w:r w:rsidRPr="00461E41">
        <w:rPr>
          <w:rFonts w:ascii="Arial Narrow" w:hAnsi="Arial Narrow" w:cs="Calibri"/>
          <w:b/>
          <w:bCs/>
          <w:color w:val="5F5F5F"/>
          <w:kern w:val="0"/>
          <w:sz w:val="22"/>
          <w:szCs w:val="22"/>
        </w:rPr>
        <w:t>, PER BENI E SERVIZI REGOLAMENTATI E NON</w:t>
      </w:r>
      <w:r w:rsidRPr="00C8504B">
        <w:rPr>
          <w:rFonts w:ascii="Arial Narrow" w:hAnsi="Arial Narrow" w:cs="Arial"/>
          <w:b/>
          <w:caps/>
          <w:color w:val="5F5F5F"/>
        </w:rPr>
        <w:br/>
      </w:r>
      <w:r w:rsidR="00343A75">
        <w:rPr>
          <w:rFonts w:ascii="Arial Narrow" w:hAnsi="Arial Narrow" w:cs="Arial"/>
          <w:color w:val="5F5F5F"/>
        </w:rPr>
        <w:t>Anno 2023</w:t>
      </w:r>
      <w:r w:rsidR="001A7A55" w:rsidRPr="001A7A55">
        <w:rPr>
          <w:rFonts w:ascii="Arial Narrow" w:hAnsi="Arial Narrow" w:cs="Arial"/>
          <w:color w:val="5F5F5F"/>
        </w:rPr>
        <w:t>, variazioni percentuali tendenziali e contributi alla variazione tendenziale dell’indice generale (base 2015=100)</w:t>
      </w:r>
      <w:r w:rsidR="001A7A55" w:rsidRPr="00C8504B">
        <w:rPr>
          <w:rFonts w:ascii="Arial Narrow" w:hAnsi="Arial Narrow" w:cs="Arial"/>
          <w:color w:val="5F5F5F"/>
        </w:rPr>
        <w:t xml:space="preserve"> </w:t>
      </w:r>
    </w:p>
    <w:tbl>
      <w:tblPr>
        <w:tblW w:w="10206" w:type="dxa"/>
        <w:tblInd w:w="70" w:type="dxa"/>
        <w:tblBorders>
          <w:top w:val="single" w:sz="4" w:space="0" w:color="000000"/>
          <w:bottom w:val="single" w:sz="4" w:space="0" w:color="000000"/>
          <w:insideH w:val="single" w:sz="4" w:space="0" w:color="000000"/>
        </w:tblBorders>
        <w:tblLayout w:type="fixed"/>
        <w:tblCellMar>
          <w:left w:w="70" w:type="dxa"/>
          <w:right w:w="0" w:type="dxa"/>
        </w:tblCellMar>
        <w:tblLook w:val="0000" w:firstRow="0" w:lastRow="0" w:firstColumn="0" w:lastColumn="0" w:noHBand="0" w:noVBand="0"/>
      </w:tblPr>
      <w:tblGrid>
        <w:gridCol w:w="2123"/>
        <w:gridCol w:w="569"/>
        <w:gridCol w:w="708"/>
        <w:gridCol w:w="711"/>
        <w:gridCol w:w="709"/>
        <w:gridCol w:w="709"/>
        <w:gridCol w:w="708"/>
        <w:gridCol w:w="851"/>
        <w:gridCol w:w="851"/>
        <w:gridCol w:w="850"/>
        <w:gridCol w:w="1417"/>
      </w:tblGrid>
      <w:tr w:rsidR="003B3E1E" w:rsidRPr="00C8504B" w:rsidTr="002A1858">
        <w:trPr>
          <w:trHeight w:val="311"/>
        </w:trPr>
        <w:tc>
          <w:tcPr>
            <w:tcW w:w="2123" w:type="dxa"/>
            <w:vMerge w:val="restart"/>
            <w:vAlign w:val="center"/>
          </w:tcPr>
          <w:p w:rsidR="003B3E1E" w:rsidRPr="00C8504B" w:rsidRDefault="003B3E1E" w:rsidP="003B3E1E">
            <w:pPr>
              <w:spacing w:before="40" w:after="20"/>
              <w:rPr>
                <w:rFonts w:ascii="Arial Narrow" w:hAnsi="Arial Narrow" w:cs="Arial"/>
                <w:bCs/>
                <w:sz w:val="18"/>
                <w:szCs w:val="18"/>
              </w:rPr>
            </w:pPr>
            <w:r w:rsidRPr="00C8504B">
              <w:rPr>
                <w:rFonts w:ascii="Arial Narrow" w:hAnsi="Arial Narrow" w:cs="Arial"/>
                <w:b/>
                <w:bCs/>
                <w:sz w:val="18"/>
                <w:szCs w:val="18"/>
              </w:rPr>
              <w:t>TIPOLOGIE DI PRODOTTO</w:t>
            </w:r>
          </w:p>
        </w:tc>
        <w:tc>
          <w:tcPr>
            <w:tcW w:w="4114" w:type="dxa"/>
            <w:gridSpan w:val="6"/>
            <w:shd w:val="clear" w:color="auto" w:fill="auto"/>
            <w:vAlign w:val="center"/>
          </w:tcPr>
          <w:p w:rsidR="003B3E1E" w:rsidRPr="008814F3" w:rsidRDefault="003B3E1E" w:rsidP="003B3E1E">
            <w:pPr>
              <w:spacing w:before="40" w:after="20"/>
              <w:ind w:right="57"/>
              <w:jc w:val="center"/>
              <w:rPr>
                <w:rFonts w:ascii="Arial Narrow" w:hAnsi="Arial Narrow" w:cs="Arial"/>
                <w:b/>
                <w:bCs/>
                <w:kern w:val="0"/>
                <w:sz w:val="18"/>
                <w:szCs w:val="18"/>
              </w:rPr>
            </w:pPr>
            <w:r>
              <w:rPr>
                <w:rFonts w:ascii="Arial Narrow" w:hAnsi="Arial Narrow" w:cs="Arial"/>
                <w:b/>
                <w:bCs/>
                <w:kern w:val="0"/>
                <w:sz w:val="18"/>
                <w:szCs w:val="18"/>
              </w:rPr>
              <w:t>V</w:t>
            </w:r>
            <w:r w:rsidRPr="00E35895">
              <w:rPr>
                <w:rFonts w:ascii="Arial Narrow" w:hAnsi="Arial Narrow" w:cs="Arial"/>
                <w:b/>
                <w:bCs/>
                <w:kern w:val="0"/>
                <w:sz w:val="18"/>
                <w:szCs w:val="18"/>
              </w:rPr>
              <w:t>ariazioni medi</w:t>
            </w:r>
            <w:r>
              <w:rPr>
                <w:rFonts w:ascii="Arial Narrow" w:hAnsi="Arial Narrow" w:cs="Arial"/>
                <w:b/>
                <w:bCs/>
                <w:kern w:val="0"/>
                <w:sz w:val="18"/>
                <w:szCs w:val="18"/>
              </w:rPr>
              <w:t>e</w:t>
            </w:r>
          </w:p>
        </w:tc>
        <w:tc>
          <w:tcPr>
            <w:tcW w:w="851" w:type="dxa"/>
            <w:vMerge w:val="restart"/>
            <w:shd w:val="clear" w:color="auto" w:fill="D9D9D9" w:themeFill="background1" w:themeFillShade="D9"/>
            <w:vAlign w:val="center"/>
          </w:tcPr>
          <w:p w:rsidR="003B3E1E" w:rsidRPr="00FD599C" w:rsidRDefault="003B3E1E" w:rsidP="003B3E1E">
            <w:pPr>
              <w:spacing w:before="40" w:after="20"/>
              <w:ind w:right="57"/>
              <w:jc w:val="center"/>
              <w:rPr>
                <w:rFonts w:ascii="Arial Narrow" w:hAnsi="Arial Narrow" w:cs="Arial"/>
                <w:b/>
                <w:bCs/>
                <w:kern w:val="0"/>
                <w:sz w:val="18"/>
                <w:szCs w:val="18"/>
              </w:rPr>
            </w:pPr>
            <w:r w:rsidRPr="00FD599C">
              <w:rPr>
                <w:rFonts w:ascii="Arial Narrow" w:hAnsi="Arial Narrow" w:cs="Arial"/>
                <w:b/>
                <w:bCs/>
                <w:kern w:val="0"/>
                <w:sz w:val="18"/>
                <w:szCs w:val="18"/>
              </w:rPr>
              <w:t>Inflazione ereditata</w:t>
            </w:r>
            <w:r>
              <w:rPr>
                <w:rFonts w:ascii="Arial Narrow" w:hAnsi="Arial Narrow" w:cs="Arial"/>
                <w:b/>
                <w:bCs/>
                <w:kern w:val="0"/>
                <w:sz w:val="18"/>
                <w:szCs w:val="18"/>
              </w:rPr>
              <w:t xml:space="preserve">      dal 202</w:t>
            </w:r>
            <w:r w:rsidR="00343A75">
              <w:rPr>
                <w:rFonts w:ascii="Arial Narrow" w:hAnsi="Arial Narrow" w:cs="Arial"/>
                <w:b/>
                <w:bCs/>
                <w:kern w:val="0"/>
                <w:sz w:val="18"/>
                <w:szCs w:val="18"/>
              </w:rPr>
              <w:t>2</w:t>
            </w:r>
          </w:p>
        </w:tc>
        <w:tc>
          <w:tcPr>
            <w:tcW w:w="851" w:type="dxa"/>
            <w:vMerge w:val="restart"/>
            <w:shd w:val="clear" w:color="auto" w:fill="auto"/>
            <w:vAlign w:val="center"/>
          </w:tcPr>
          <w:p w:rsidR="003B3E1E" w:rsidRPr="00FD599C" w:rsidRDefault="003B3E1E" w:rsidP="003B3E1E">
            <w:pPr>
              <w:spacing w:before="40" w:after="20"/>
              <w:ind w:left="-64"/>
              <w:jc w:val="center"/>
              <w:rPr>
                <w:rFonts w:ascii="Arial Narrow" w:hAnsi="Arial Narrow" w:cs="Arial"/>
                <w:b/>
                <w:bCs/>
                <w:kern w:val="0"/>
                <w:sz w:val="18"/>
                <w:szCs w:val="18"/>
              </w:rPr>
            </w:pPr>
            <w:r>
              <w:rPr>
                <w:rFonts w:ascii="Arial Narrow" w:hAnsi="Arial Narrow" w:cs="Arial"/>
                <w:b/>
                <w:bCs/>
                <w:kern w:val="0"/>
                <w:sz w:val="18"/>
                <w:szCs w:val="18"/>
              </w:rPr>
              <w:t>Inflazio</w:t>
            </w:r>
            <w:r w:rsidRPr="00FD599C">
              <w:rPr>
                <w:rFonts w:ascii="Arial Narrow" w:hAnsi="Arial Narrow" w:cs="Arial"/>
                <w:b/>
                <w:bCs/>
                <w:kern w:val="0"/>
                <w:sz w:val="18"/>
                <w:szCs w:val="18"/>
              </w:rPr>
              <w:t>ne propria</w:t>
            </w:r>
          </w:p>
        </w:tc>
        <w:tc>
          <w:tcPr>
            <w:tcW w:w="850" w:type="dxa"/>
            <w:vMerge w:val="restart"/>
            <w:shd w:val="clear" w:color="auto" w:fill="D9D9D9" w:themeFill="background1" w:themeFillShade="D9"/>
            <w:vAlign w:val="center"/>
          </w:tcPr>
          <w:p w:rsidR="003B3E1E" w:rsidRPr="00FD599C" w:rsidRDefault="003B3E1E" w:rsidP="003B3E1E">
            <w:pPr>
              <w:spacing w:before="40" w:after="20"/>
              <w:ind w:right="57"/>
              <w:jc w:val="center"/>
              <w:rPr>
                <w:rFonts w:ascii="Arial Narrow" w:hAnsi="Arial Narrow" w:cs="Arial"/>
                <w:b/>
                <w:bCs/>
                <w:kern w:val="0"/>
                <w:sz w:val="18"/>
                <w:szCs w:val="18"/>
              </w:rPr>
            </w:pPr>
            <w:r>
              <w:rPr>
                <w:rFonts w:ascii="Arial Narrow" w:hAnsi="Arial Narrow" w:cs="Arial"/>
                <w:b/>
                <w:bCs/>
                <w:kern w:val="0"/>
                <w:sz w:val="18"/>
                <w:szCs w:val="18"/>
              </w:rPr>
              <w:t>Trascina-mento                  al 202</w:t>
            </w:r>
            <w:r w:rsidR="00343A75">
              <w:rPr>
                <w:rFonts w:ascii="Arial Narrow" w:hAnsi="Arial Narrow" w:cs="Arial"/>
                <w:b/>
                <w:bCs/>
                <w:kern w:val="0"/>
                <w:sz w:val="18"/>
                <w:szCs w:val="18"/>
              </w:rPr>
              <w:t>4</w:t>
            </w:r>
          </w:p>
        </w:tc>
        <w:tc>
          <w:tcPr>
            <w:tcW w:w="1417" w:type="dxa"/>
            <w:vMerge w:val="restart"/>
            <w:shd w:val="clear" w:color="auto" w:fill="auto"/>
          </w:tcPr>
          <w:p w:rsidR="003B3E1E" w:rsidRDefault="003B3E1E" w:rsidP="003B3E1E">
            <w:pPr>
              <w:spacing w:before="40" w:after="20"/>
              <w:ind w:right="57"/>
              <w:jc w:val="center"/>
              <w:rPr>
                <w:rFonts w:ascii="Arial Narrow" w:hAnsi="Arial Narrow" w:cs="Arial"/>
                <w:b/>
                <w:bCs/>
                <w:kern w:val="0"/>
                <w:sz w:val="18"/>
                <w:szCs w:val="18"/>
              </w:rPr>
            </w:pPr>
            <w:r>
              <w:rPr>
                <w:rFonts w:ascii="Arial Narrow" w:hAnsi="Arial Narrow" w:cs="Arial"/>
                <w:b/>
                <w:bCs/>
                <w:kern w:val="0"/>
                <w:sz w:val="18"/>
                <w:szCs w:val="18"/>
              </w:rPr>
              <w:t>C</w:t>
            </w:r>
            <w:r w:rsidRPr="00D164E5">
              <w:rPr>
                <w:rFonts w:ascii="Arial Narrow" w:hAnsi="Arial Narrow" w:cs="Arial"/>
                <w:b/>
                <w:bCs/>
                <w:kern w:val="0"/>
                <w:sz w:val="18"/>
                <w:szCs w:val="18"/>
              </w:rPr>
              <w:t>ontributi alla variazione media annua dell’indice generale</w:t>
            </w:r>
          </w:p>
        </w:tc>
      </w:tr>
      <w:tr w:rsidR="003B3E1E" w:rsidRPr="00C8504B" w:rsidTr="002A1858">
        <w:trPr>
          <w:trHeight w:val="311"/>
        </w:trPr>
        <w:tc>
          <w:tcPr>
            <w:tcW w:w="2123" w:type="dxa"/>
            <w:vMerge/>
            <w:vAlign w:val="center"/>
          </w:tcPr>
          <w:p w:rsidR="003B3E1E" w:rsidRPr="00C8504B" w:rsidRDefault="003B3E1E" w:rsidP="003B3E1E">
            <w:pPr>
              <w:spacing w:before="40" w:after="20"/>
              <w:rPr>
                <w:rFonts w:ascii="Arial Narrow" w:hAnsi="Arial Narrow" w:cs="Arial"/>
                <w:b/>
                <w:bCs/>
                <w:sz w:val="18"/>
                <w:szCs w:val="18"/>
              </w:rPr>
            </w:pPr>
          </w:p>
        </w:tc>
        <w:tc>
          <w:tcPr>
            <w:tcW w:w="569" w:type="dxa"/>
            <w:shd w:val="clear" w:color="auto" w:fill="D9D9D9" w:themeFill="background1" w:themeFillShade="D9"/>
            <w:vAlign w:val="center"/>
          </w:tcPr>
          <w:p w:rsidR="003B3E1E" w:rsidRDefault="00343A75" w:rsidP="00FA7707">
            <w:pPr>
              <w:widowControl/>
              <w:overflowPunct/>
              <w:autoSpaceDE/>
              <w:autoSpaceDN/>
              <w:adjustRightInd/>
              <w:spacing w:before="40" w:after="20"/>
              <w:ind w:right="-57"/>
              <w:jc w:val="center"/>
              <w:rPr>
                <w:rFonts w:ascii="Arial Narrow" w:hAnsi="Arial Narrow" w:cs="Arial"/>
                <w:kern w:val="0"/>
                <w:sz w:val="18"/>
                <w:szCs w:val="18"/>
                <w:u w:val="single"/>
              </w:rPr>
            </w:pPr>
            <w:r>
              <w:rPr>
                <w:rFonts w:ascii="Arial Narrow" w:hAnsi="Arial Narrow" w:cs="Arial"/>
                <w:kern w:val="0"/>
                <w:sz w:val="18"/>
                <w:szCs w:val="18"/>
                <w:u w:val="single"/>
              </w:rPr>
              <w:t>2022</w:t>
            </w:r>
          </w:p>
          <w:p w:rsidR="003B3E1E" w:rsidRPr="008814F3" w:rsidRDefault="003B3E1E" w:rsidP="00343A75">
            <w:pPr>
              <w:widowControl/>
              <w:overflowPunct/>
              <w:autoSpaceDE/>
              <w:autoSpaceDN/>
              <w:adjustRightInd/>
              <w:spacing w:before="40" w:after="20"/>
              <w:ind w:right="-57"/>
              <w:jc w:val="center"/>
              <w:rPr>
                <w:rFonts w:ascii="Arial Narrow" w:hAnsi="Arial Narrow" w:cs="Arial"/>
                <w:b/>
                <w:bCs/>
                <w:kern w:val="0"/>
                <w:sz w:val="18"/>
                <w:szCs w:val="18"/>
              </w:rPr>
            </w:pPr>
            <w:r>
              <w:rPr>
                <w:rFonts w:ascii="Arial Narrow" w:hAnsi="Arial Narrow" w:cs="Arial"/>
                <w:kern w:val="0"/>
                <w:sz w:val="18"/>
                <w:szCs w:val="18"/>
              </w:rPr>
              <w:t>202</w:t>
            </w:r>
            <w:r w:rsidR="00343A75">
              <w:rPr>
                <w:rFonts w:ascii="Arial Narrow" w:hAnsi="Arial Narrow" w:cs="Arial"/>
                <w:kern w:val="0"/>
                <w:sz w:val="18"/>
                <w:szCs w:val="18"/>
              </w:rPr>
              <w:t>1</w:t>
            </w:r>
          </w:p>
        </w:tc>
        <w:tc>
          <w:tcPr>
            <w:tcW w:w="708" w:type="dxa"/>
            <w:shd w:val="clear" w:color="auto" w:fill="auto"/>
            <w:vAlign w:val="center"/>
          </w:tcPr>
          <w:p w:rsidR="003B3E1E" w:rsidRDefault="003B3E1E" w:rsidP="003B3E1E">
            <w:pPr>
              <w:spacing w:before="40" w:after="20"/>
              <w:jc w:val="center"/>
              <w:rPr>
                <w:rFonts w:ascii="Arial Narrow" w:hAnsi="Arial Narrow" w:cs="Arial"/>
                <w:bCs/>
                <w:sz w:val="18"/>
                <w:szCs w:val="18"/>
              </w:rPr>
            </w:pPr>
            <w:r w:rsidRPr="00FD599C">
              <w:rPr>
                <w:rFonts w:ascii="Arial Narrow" w:hAnsi="Arial Narrow" w:cs="Arial"/>
                <w:bCs/>
                <w:sz w:val="18"/>
                <w:szCs w:val="18"/>
              </w:rPr>
              <w:t>I trim</w:t>
            </w:r>
          </w:p>
          <w:p w:rsidR="003B3E1E" w:rsidRPr="00FD599C" w:rsidRDefault="003B3E1E" w:rsidP="003B3E1E">
            <w:pPr>
              <w:spacing w:before="40" w:after="20"/>
              <w:jc w:val="center"/>
              <w:rPr>
                <w:rFonts w:ascii="Arial Narrow" w:hAnsi="Arial Narrow" w:cs="Arial"/>
                <w:bCs/>
                <w:sz w:val="18"/>
                <w:szCs w:val="18"/>
              </w:rPr>
            </w:pPr>
            <w:r>
              <w:rPr>
                <w:rFonts w:ascii="Arial Narrow" w:hAnsi="Arial Narrow" w:cs="Arial"/>
                <w:bCs/>
                <w:sz w:val="18"/>
                <w:szCs w:val="18"/>
              </w:rPr>
              <w:t>202</w:t>
            </w:r>
            <w:r w:rsidR="00343A75">
              <w:rPr>
                <w:rFonts w:ascii="Arial Narrow" w:hAnsi="Arial Narrow" w:cs="Arial"/>
                <w:bCs/>
                <w:sz w:val="18"/>
                <w:szCs w:val="18"/>
              </w:rPr>
              <w:t>3</w:t>
            </w:r>
          </w:p>
        </w:tc>
        <w:tc>
          <w:tcPr>
            <w:tcW w:w="711" w:type="dxa"/>
            <w:shd w:val="clear" w:color="auto" w:fill="D9D9D9" w:themeFill="background1" w:themeFillShade="D9"/>
            <w:vAlign w:val="center"/>
          </w:tcPr>
          <w:p w:rsidR="003B3E1E" w:rsidRDefault="003B3E1E" w:rsidP="003B3E1E">
            <w:pPr>
              <w:spacing w:before="40" w:after="20"/>
              <w:jc w:val="center"/>
              <w:rPr>
                <w:rFonts w:ascii="Arial Narrow" w:hAnsi="Arial Narrow" w:cs="Arial"/>
                <w:bCs/>
                <w:sz w:val="18"/>
                <w:szCs w:val="18"/>
              </w:rPr>
            </w:pPr>
            <w:r>
              <w:rPr>
                <w:rFonts w:ascii="Arial Narrow" w:hAnsi="Arial Narrow" w:cs="Arial"/>
                <w:bCs/>
                <w:sz w:val="18"/>
                <w:szCs w:val="18"/>
              </w:rPr>
              <w:t>II</w:t>
            </w:r>
            <w:r w:rsidRPr="00FD599C">
              <w:rPr>
                <w:rFonts w:ascii="Arial Narrow" w:hAnsi="Arial Narrow" w:cs="Arial"/>
                <w:bCs/>
                <w:sz w:val="18"/>
                <w:szCs w:val="18"/>
              </w:rPr>
              <w:t xml:space="preserve"> trim</w:t>
            </w:r>
          </w:p>
          <w:p w:rsidR="003B3E1E" w:rsidRPr="00FD599C" w:rsidRDefault="003B3E1E" w:rsidP="003B3E1E">
            <w:pPr>
              <w:spacing w:before="40" w:after="20"/>
              <w:jc w:val="center"/>
              <w:rPr>
                <w:rFonts w:ascii="Arial Narrow" w:hAnsi="Arial Narrow" w:cs="Arial"/>
                <w:bCs/>
                <w:sz w:val="18"/>
                <w:szCs w:val="18"/>
              </w:rPr>
            </w:pPr>
            <w:r>
              <w:rPr>
                <w:rFonts w:ascii="Arial Narrow" w:hAnsi="Arial Narrow" w:cs="Arial"/>
                <w:bCs/>
                <w:sz w:val="18"/>
                <w:szCs w:val="18"/>
              </w:rPr>
              <w:t>202</w:t>
            </w:r>
            <w:r w:rsidR="00343A75">
              <w:rPr>
                <w:rFonts w:ascii="Arial Narrow" w:hAnsi="Arial Narrow" w:cs="Arial"/>
                <w:bCs/>
                <w:sz w:val="18"/>
                <w:szCs w:val="18"/>
              </w:rPr>
              <w:t>3</w:t>
            </w:r>
          </w:p>
        </w:tc>
        <w:tc>
          <w:tcPr>
            <w:tcW w:w="709" w:type="dxa"/>
            <w:shd w:val="clear" w:color="auto" w:fill="auto"/>
            <w:vAlign w:val="center"/>
          </w:tcPr>
          <w:p w:rsidR="003B3E1E" w:rsidRDefault="003B3E1E" w:rsidP="003B3E1E">
            <w:pPr>
              <w:spacing w:before="40" w:after="20"/>
              <w:jc w:val="center"/>
              <w:rPr>
                <w:rFonts w:ascii="Arial Narrow" w:hAnsi="Arial Narrow" w:cs="Arial"/>
                <w:bCs/>
                <w:sz w:val="18"/>
                <w:szCs w:val="18"/>
              </w:rPr>
            </w:pPr>
            <w:r w:rsidRPr="00FD599C">
              <w:rPr>
                <w:rFonts w:ascii="Arial Narrow" w:hAnsi="Arial Narrow" w:cs="Arial"/>
                <w:bCs/>
                <w:sz w:val="18"/>
                <w:szCs w:val="18"/>
              </w:rPr>
              <w:t>III trim</w:t>
            </w:r>
          </w:p>
          <w:p w:rsidR="003B3E1E" w:rsidRPr="00FD599C" w:rsidRDefault="003B3E1E" w:rsidP="003B3E1E">
            <w:pPr>
              <w:spacing w:before="40" w:after="20"/>
              <w:jc w:val="center"/>
              <w:rPr>
                <w:rFonts w:ascii="Arial Narrow" w:hAnsi="Arial Narrow" w:cs="Arial"/>
                <w:bCs/>
                <w:sz w:val="18"/>
                <w:szCs w:val="18"/>
              </w:rPr>
            </w:pPr>
            <w:r>
              <w:rPr>
                <w:rFonts w:ascii="Arial Narrow" w:hAnsi="Arial Narrow" w:cs="Arial"/>
                <w:bCs/>
                <w:sz w:val="18"/>
                <w:szCs w:val="18"/>
              </w:rPr>
              <w:t>202</w:t>
            </w:r>
            <w:r w:rsidR="00343A75">
              <w:rPr>
                <w:rFonts w:ascii="Arial Narrow" w:hAnsi="Arial Narrow" w:cs="Arial"/>
                <w:bCs/>
                <w:sz w:val="18"/>
                <w:szCs w:val="18"/>
              </w:rPr>
              <w:t>3</w:t>
            </w:r>
          </w:p>
        </w:tc>
        <w:tc>
          <w:tcPr>
            <w:tcW w:w="709" w:type="dxa"/>
            <w:shd w:val="clear" w:color="auto" w:fill="D9D9D9" w:themeFill="background1" w:themeFillShade="D9"/>
            <w:vAlign w:val="center"/>
          </w:tcPr>
          <w:p w:rsidR="003B3E1E" w:rsidRDefault="003B3E1E" w:rsidP="003B3E1E">
            <w:pPr>
              <w:spacing w:before="40" w:after="20"/>
              <w:jc w:val="center"/>
              <w:rPr>
                <w:rFonts w:ascii="Arial Narrow" w:hAnsi="Arial Narrow" w:cs="Arial"/>
                <w:bCs/>
                <w:sz w:val="18"/>
                <w:szCs w:val="18"/>
              </w:rPr>
            </w:pPr>
            <w:r w:rsidRPr="00FD599C">
              <w:rPr>
                <w:rFonts w:ascii="Arial Narrow" w:hAnsi="Arial Narrow" w:cs="Arial"/>
                <w:bCs/>
                <w:sz w:val="18"/>
                <w:szCs w:val="18"/>
              </w:rPr>
              <w:t>IV trim</w:t>
            </w:r>
          </w:p>
          <w:p w:rsidR="003B3E1E" w:rsidRPr="00FD599C" w:rsidRDefault="003B3E1E" w:rsidP="003B3E1E">
            <w:pPr>
              <w:spacing w:before="40" w:after="20"/>
              <w:jc w:val="center"/>
              <w:rPr>
                <w:rFonts w:ascii="Arial Narrow" w:hAnsi="Arial Narrow" w:cs="Arial"/>
                <w:bCs/>
                <w:sz w:val="18"/>
                <w:szCs w:val="18"/>
              </w:rPr>
            </w:pPr>
            <w:r>
              <w:rPr>
                <w:rFonts w:ascii="Arial Narrow" w:hAnsi="Arial Narrow" w:cs="Arial"/>
                <w:bCs/>
                <w:sz w:val="18"/>
                <w:szCs w:val="18"/>
              </w:rPr>
              <w:t>202</w:t>
            </w:r>
            <w:r w:rsidR="00343A75">
              <w:rPr>
                <w:rFonts w:ascii="Arial Narrow" w:hAnsi="Arial Narrow" w:cs="Arial"/>
                <w:bCs/>
                <w:sz w:val="18"/>
                <w:szCs w:val="18"/>
              </w:rPr>
              <w:t>3</w:t>
            </w:r>
          </w:p>
        </w:tc>
        <w:tc>
          <w:tcPr>
            <w:tcW w:w="708" w:type="dxa"/>
            <w:shd w:val="clear" w:color="auto" w:fill="auto"/>
            <w:vAlign w:val="center"/>
          </w:tcPr>
          <w:p w:rsidR="003B3E1E" w:rsidRDefault="00343A75" w:rsidP="003B3E1E">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2023</w:t>
            </w:r>
          </w:p>
          <w:p w:rsidR="003B3E1E" w:rsidRPr="008814F3" w:rsidRDefault="003B3E1E" w:rsidP="003B3E1E">
            <w:pPr>
              <w:widowControl/>
              <w:overflowPunct/>
              <w:autoSpaceDE/>
              <w:autoSpaceDN/>
              <w:adjustRightInd/>
              <w:spacing w:before="0" w:after="0"/>
              <w:ind w:right="57"/>
              <w:jc w:val="right"/>
              <w:rPr>
                <w:rFonts w:ascii="Arial Narrow" w:hAnsi="Arial Narrow" w:cs="Arial"/>
                <w:b/>
                <w:bCs/>
                <w:kern w:val="0"/>
                <w:sz w:val="18"/>
                <w:szCs w:val="18"/>
              </w:rPr>
            </w:pPr>
            <w:r>
              <w:rPr>
                <w:rFonts w:ascii="Arial Narrow" w:hAnsi="Arial Narrow" w:cs="Arial"/>
                <w:kern w:val="0"/>
                <w:sz w:val="18"/>
                <w:szCs w:val="18"/>
              </w:rPr>
              <w:t>202</w:t>
            </w:r>
            <w:r w:rsidR="00343A75">
              <w:rPr>
                <w:rFonts w:ascii="Arial Narrow" w:hAnsi="Arial Narrow" w:cs="Arial"/>
                <w:kern w:val="0"/>
                <w:sz w:val="18"/>
                <w:szCs w:val="18"/>
              </w:rPr>
              <w:t>2</w:t>
            </w:r>
          </w:p>
        </w:tc>
        <w:tc>
          <w:tcPr>
            <w:tcW w:w="851" w:type="dxa"/>
            <w:vMerge/>
            <w:shd w:val="clear" w:color="auto" w:fill="D9D9D9" w:themeFill="background1" w:themeFillShade="D9"/>
            <w:vAlign w:val="center"/>
          </w:tcPr>
          <w:p w:rsidR="003B3E1E" w:rsidRPr="00FD599C" w:rsidRDefault="003B3E1E" w:rsidP="003B3E1E">
            <w:pPr>
              <w:spacing w:before="40" w:after="20"/>
              <w:jc w:val="center"/>
              <w:rPr>
                <w:rFonts w:ascii="Arial Narrow" w:hAnsi="Arial Narrow" w:cs="Arial"/>
                <w:b/>
                <w:bCs/>
                <w:kern w:val="0"/>
                <w:sz w:val="18"/>
                <w:szCs w:val="18"/>
              </w:rPr>
            </w:pPr>
          </w:p>
        </w:tc>
        <w:tc>
          <w:tcPr>
            <w:tcW w:w="851" w:type="dxa"/>
            <w:vMerge/>
            <w:shd w:val="clear" w:color="auto" w:fill="auto"/>
            <w:vAlign w:val="center"/>
          </w:tcPr>
          <w:p w:rsidR="003B3E1E" w:rsidRDefault="003B3E1E" w:rsidP="003B3E1E">
            <w:pPr>
              <w:spacing w:before="40" w:after="20"/>
              <w:jc w:val="center"/>
              <w:rPr>
                <w:rFonts w:ascii="Arial Narrow" w:hAnsi="Arial Narrow" w:cs="Arial"/>
                <w:b/>
                <w:bCs/>
                <w:kern w:val="0"/>
                <w:sz w:val="18"/>
                <w:szCs w:val="18"/>
              </w:rPr>
            </w:pPr>
          </w:p>
        </w:tc>
        <w:tc>
          <w:tcPr>
            <w:tcW w:w="850" w:type="dxa"/>
            <w:vMerge/>
            <w:shd w:val="clear" w:color="auto" w:fill="D9D9D9" w:themeFill="background1" w:themeFillShade="D9"/>
            <w:vAlign w:val="center"/>
          </w:tcPr>
          <w:p w:rsidR="003B3E1E" w:rsidRDefault="003B3E1E" w:rsidP="003B3E1E">
            <w:pPr>
              <w:spacing w:before="40" w:after="20"/>
              <w:ind w:right="57"/>
              <w:jc w:val="center"/>
              <w:rPr>
                <w:rFonts w:ascii="Arial Narrow" w:hAnsi="Arial Narrow" w:cs="Arial"/>
                <w:b/>
                <w:bCs/>
                <w:kern w:val="0"/>
                <w:sz w:val="18"/>
                <w:szCs w:val="18"/>
              </w:rPr>
            </w:pPr>
          </w:p>
        </w:tc>
        <w:tc>
          <w:tcPr>
            <w:tcW w:w="1417" w:type="dxa"/>
            <w:vMerge/>
            <w:shd w:val="clear" w:color="auto" w:fill="auto"/>
          </w:tcPr>
          <w:p w:rsidR="003B3E1E" w:rsidRPr="00D164E5" w:rsidRDefault="003B3E1E" w:rsidP="003B3E1E">
            <w:pPr>
              <w:spacing w:before="40" w:after="20"/>
              <w:ind w:right="57"/>
              <w:jc w:val="center"/>
              <w:rPr>
                <w:rFonts w:ascii="Arial Narrow" w:hAnsi="Arial Narrow" w:cs="Arial"/>
                <w:b/>
                <w:bCs/>
                <w:kern w:val="0"/>
                <w:sz w:val="18"/>
                <w:szCs w:val="18"/>
              </w:rPr>
            </w:pPr>
          </w:p>
        </w:tc>
      </w:tr>
      <w:tr w:rsidR="001F5534" w:rsidRPr="001D29FC" w:rsidTr="00CE57C3">
        <w:tblPrEx>
          <w:tblBorders>
            <w:top w:val="single" w:sz="4" w:space="0" w:color="auto"/>
            <w:bottom w:val="single" w:sz="4" w:space="0" w:color="auto"/>
            <w:insideH w:val="single" w:sz="4" w:space="0" w:color="auto"/>
          </w:tblBorders>
          <w:tblCellMar>
            <w:left w:w="108" w:type="dxa"/>
            <w:right w:w="108" w:type="dxa"/>
          </w:tblCellMar>
          <w:tblLook w:val="01E0" w:firstRow="1" w:lastRow="1" w:firstColumn="1" w:lastColumn="1" w:noHBand="0" w:noVBand="0"/>
        </w:tblPrEx>
        <w:trPr>
          <w:trHeight w:val="284"/>
        </w:trPr>
        <w:tc>
          <w:tcPr>
            <w:tcW w:w="2123" w:type="dxa"/>
            <w:vAlign w:val="center"/>
          </w:tcPr>
          <w:p w:rsidR="001F5534" w:rsidRPr="001D29FC" w:rsidRDefault="001F5534" w:rsidP="001F5534">
            <w:pPr>
              <w:spacing w:before="40" w:after="20"/>
              <w:rPr>
                <w:rFonts w:ascii="Arial Narrow" w:hAnsi="Arial Narrow" w:cs="Arial"/>
                <w:sz w:val="18"/>
                <w:szCs w:val="18"/>
              </w:rPr>
            </w:pPr>
            <w:r w:rsidRPr="001D29FC">
              <w:rPr>
                <w:rFonts w:ascii="Arial Narrow" w:hAnsi="Arial Narrow" w:cs="Arial"/>
                <w:sz w:val="18"/>
                <w:szCs w:val="18"/>
              </w:rPr>
              <w:t>Beni non regolamentati</w:t>
            </w:r>
          </w:p>
        </w:tc>
        <w:tc>
          <w:tcPr>
            <w:tcW w:w="569" w:type="dxa"/>
            <w:shd w:val="clear" w:color="auto" w:fill="D9D9D9" w:themeFill="background1" w:themeFillShade="D9"/>
            <w:vAlign w:val="center"/>
          </w:tcPr>
          <w:p w:rsidR="001F5534" w:rsidRPr="009D5308" w:rsidRDefault="001F5534" w:rsidP="00CE57C3">
            <w:pPr>
              <w:spacing w:before="40" w:after="20"/>
              <w:ind w:left="-57" w:right="-57"/>
              <w:jc w:val="right"/>
              <w:rPr>
                <w:rFonts w:ascii="Arial Narrow" w:hAnsi="Arial Narrow" w:cs="Arial"/>
                <w:sz w:val="18"/>
                <w:szCs w:val="18"/>
              </w:rPr>
            </w:pPr>
            <w:r>
              <w:rPr>
                <w:rFonts w:ascii="Arial Narrow" w:hAnsi="Arial Narrow" w:cs="Arial"/>
                <w:sz w:val="18"/>
                <w:szCs w:val="18"/>
              </w:rPr>
              <w:t>+10,2</w:t>
            </w:r>
          </w:p>
        </w:tc>
        <w:tc>
          <w:tcPr>
            <w:tcW w:w="708" w:type="dxa"/>
            <w:vAlign w:val="center"/>
          </w:tcPr>
          <w:p w:rsidR="001F5534" w:rsidRPr="00376716" w:rsidRDefault="001F5534" w:rsidP="00CE57C3">
            <w:pPr>
              <w:spacing w:before="40" w:after="20"/>
              <w:ind w:left="-57" w:right="-46"/>
              <w:jc w:val="right"/>
              <w:rPr>
                <w:rFonts w:ascii="Arial Narrow" w:hAnsi="Arial Narrow" w:cs="Arial"/>
                <w:sz w:val="18"/>
                <w:szCs w:val="18"/>
              </w:rPr>
            </w:pPr>
            <w:r>
              <w:rPr>
                <w:rFonts w:ascii="Arial Narrow" w:hAnsi="Arial Narrow" w:cs="Arial"/>
                <w:sz w:val="18"/>
                <w:szCs w:val="18"/>
              </w:rPr>
              <w:t>+</w:t>
            </w:r>
            <w:r w:rsidRPr="00376716">
              <w:rPr>
                <w:rFonts w:ascii="Arial Narrow" w:hAnsi="Arial Narrow" w:cs="Arial"/>
                <w:sz w:val="18"/>
                <w:szCs w:val="18"/>
              </w:rPr>
              <w:t>13,4</w:t>
            </w:r>
          </w:p>
        </w:tc>
        <w:tc>
          <w:tcPr>
            <w:tcW w:w="711" w:type="dxa"/>
            <w:shd w:val="clear" w:color="auto" w:fill="D9D9D9" w:themeFill="background1" w:themeFillShade="D9"/>
            <w:vAlign w:val="center"/>
          </w:tcPr>
          <w:p w:rsidR="001F5534" w:rsidRPr="00376716" w:rsidRDefault="001F5534" w:rsidP="00CE57C3">
            <w:pPr>
              <w:spacing w:before="40" w:after="20"/>
              <w:ind w:left="-69" w:right="-58" w:firstLine="12"/>
              <w:jc w:val="right"/>
              <w:rPr>
                <w:rFonts w:ascii="Arial Narrow" w:hAnsi="Arial Narrow" w:cs="Arial"/>
                <w:sz w:val="18"/>
                <w:szCs w:val="18"/>
              </w:rPr>
            </w:pPr>
            <w:r>
              <w:rPr>
                <w:rFonts w:ascii="Arial Narrow" w:hAnsi="Arial Narrow" w:cs="Arial"/>
                <w:sz w:val="18"/>
                <w:szCs w:val="18"/>
              </w:rPr>
              <w:t>+</w:t>
            </w:r>
            <w:r w:rsidRPr="00376716">
              <w:rPr>
                <w:rFonts w:ascii="Arial Narrow" w:hAnsi="Arial Narrow" w:cs="Arial"/>
                <w:sz w:val="18"/>
                <w:szCs w:val="18"/>
              </w:rPr>
              <w:t>10,1</w:t>
            </w:r>
          </w:p>
        </w:tc>
        <w:tc>
          <w:tcPr>
            <w:tcW w:w="709" w:type="dxa"/>
            <w:vAlign w:val="center"/>
          </w:tcPr>
          <w:p w:rsidR="001F5534" w:rsidRPr="00376716" w:rsidRDefault="001F5534" w:rsidP="00CE57C3">
            <w:pPr>
              <w:spacing w:before="40" w:after="20"/>
              <w:ind w:left="-57" w:right="-57"/>
              <w:jc w:val="right"/>
              <w:rPr>
                <w:rFonts w:ascii="Arial Narrow" w:hAnsi="Arial Narrow" w:cs="Arial"/>
                <w:sz w:val="18"/>
                <w:szCs w:val="18"/>
              </w:rPr>
            </w:pPr>
            <w:r>
              <w:rPr>
                <w:rFonts w:ascii="Arial Narrow" w:hAnsi="Arial Narrow" w:cs="Arial"/>
                <w:sz w:val="18"/>
                <w:szCs w:val="18"/>
              </w:rPr>
              <w:t>+</w:t>
            </w:r>
            <w:r w:rsidRPr="00376716">
              <w:rPr>
                <w:rFonts w:ascii="Arial Narrow" w:hAnsi="Arial Narrow" w:cs="Arial"/>
                <w:sz w:val="18"/>
                <w:szCs w:val="18"/>
              </w:rPr>
              <w:t>7,2</w:t>
            </w:r>
          </w:p>
        </w:tc>
        <w:tc>
          <w:tcPr>
            <w:tcW w:w="709" w:type="dxa"/>
            <w:shd w:val="clear" w:color="auto" w:fill="D9D9D9" w:themeFill="background1" w:themeFillShade="D9"/>
            <w:vAlign w:val="center"/>
          </w:tcPr>
          <w:p w:rsidR="001F5534" w:rsidRPr="00376716" w:rsidRDefault="001F5534" w:rsidP="00CE57C3">
            <w:pPr>
              <w:spacing w:before="40" w:after="20"/>
              <w:ind w:left="-57" w:right="-57"/>
              <w:jc w:val="right"/>
              <w:rPr>
                <w:rFonts w:ascii="Arial Narrow" w:hAnsi="Arial Narrow" w:cs="Arial"/>
                <w:sz w:val="18"/>
                <w:szCs w:val="18"/>
              </w:rPr>
            </w:pPr>
            <w:r w:rsidRPr="00376716">
              <w:rPr>
                <w:rFonts w:ascii="Arial Narrow" w:hAnsi="Arial Narrow" w:cs="Arial"/>
                <w:sz w:val="18"/>
                <w:szCs w:val="18"/>
              </w:rPr>
              <w:t>-0,1</w:t>
            </w:r>
          </w:p>
        </w:tc>
        <w:tc>
          <w:tcPr>
            <w:tcW w:w="708" w:type="dxa"/>
            <w:shd w:val="clear" w:color="auto" w:fill="auto"/>
            <w:vAlign w:val="center"/>
          </w:tcPr>
          <w:p w:rsidR="001F5534" w:rsidRPr="00601557" w:rsidRDefault="001F5534" w:rsidP="00CE57C3">
            <w:pPr>
              <w:spacing w:before="40" w:after="20"/>
              <w:ind w:left="-57" w:right="-57"/>
              <w:jc w:val="right"/>
              <w:rPr>
                <w:rFonts w:ascii="Arial Narrow" w:hAnsi="Arial Narrow" w:cs="Arial"/>
                <w:sz w:val="18"/>
                <w:szCs w:val="18"/>
              </w:rPr>
            </w:pPr>
            <w:r w:rsidRPr="00601557">
              <w:rPr>
                <w:rFonts w:ascii="Arial Narrow" w:hAnsi="Arial Narrow" w:cs="Arial"/>
                <w:sz w:val="18"/>
                <w:szCs w:val="18"/>
              </w:rPr>
              <w:t>+7,4</w:t>
            </w:r>
          </w:p>
        </w:tc>
        <w:tc>
          <w:tcPr>
            <w:tcW w:w="851" w:type="dxa"/>
            <w:shd w:val="clear" w:color="auto" w:fill="D9D9D9" w:themeFill="background1" w:themeFillShade="D9"/>
            <w:tcMar>
              <w:left w:w="170" w:type="dxa"/>
              <w:right w:w="170" w:type="dxa"/>
            </w:tcMar>
            <w:vAlign w:val="center"/>
          </w:tcPr>
          <w:p w:rsidR="001F5534" w:rsidRPr="00124675" w:rsidRDefault="001F5534" w:rsidP="00CE57C3">
            <w:pPr>
              <w:spacing w:before="40" w:after="20"/>
              <w:ind w:left="-57" w:right="-57"/>
              <w:jc w:val="right"/>
              <w:rPr>
                <w:rFonts w:ascii="Arial Narrow" w:hAnsi="Arial Narrow" w:cs="Arial"/>
                <w:sz w:val="18"/>
                <w:szCs w:val="18"/>
              </w:rPr>
            </w:pPr>
            <w:r w:rsidRPr="00124675">
              <w:rPr>
                <w:rFonts w:ascii="Arial Narrow" w:hAnsi="Arial Narrow" w:cs="Arial"/>
                <w:sz w:val="18"/>
                <w:szCs w:val="18"/>
              </w:rPr>
              <w:t>+7,1</w:t>
            </w:r>
          </w:p>
        </w:tc>
        <w:tc>
          <w:tcPr>
            <w:tcW w:w="851" w:type="dxa"/>
            <w:shd w:val="clear" w:color="auto" w:fill="auto"/>
            <w:tcMar>
              <w:left w:w="170" w:type="dxa"/>
              <w:right w:w="170" w:type="dxa"/>
            </w:tcMar>
            <w:vAlign w:val="center"/>
          </w:tcPr>
          <w:p w:rsidR="001F5534" w:rsidRPr="00AB32AF" w:rsidRDefault="001F5534" w:rsidP="00CE57C3">
            <w:pPr>
              <w:spacing w:before="40" w:after="20"/>
              <w:ind w:left="-57" w:right="-57"/>
              <w:jc w:val="right"/>
              <w:rPr>
                <w:rFonts w:ascii="Arial Narrow" w:hAnsi="Arial Narrow" w:cs="Arial"/>
                <w:sz w:val="18"/>
                <w:szCs w:val="18"/>
              </w:rPr>
            </w:pPr>
            <w:r w:rsidRPr="00AB32AF">
              <w:rPr>
                <w:rFonts w:ascii="Arial Narrow" w:hAnsi="Arial Narrow" w:cs="Arial"/>
                <w:sz w:val="18"/>
                <w:szCs w:val="18"/>
              </w:rPr>
              <w:t>+0,2</w:t>
            </w:r>
          </w:p>
        </w:tc>
        <w:tc>
          <w:tcPr>
            <w:tcW w:w="850" w:type="dxa"/>
            <w:shd w:val="clear" w:color="auto" w:fill="D9D9D9" w:themeFill="background1" w:themeFillShade="D9"/>
            <w:tcMar>
              <w:left w:w="170" w:type="dxa"/>
              <w:right w:w="170" w:type="dxa"/>
            </w:tcMar>
            <w:vAlign w:val="center"/>
          </w:tcPr>
          <w:p w:rsidR="001F5534" w:rsidRPr="00736384" w:rsidRDefault="001F5534" w:rsidP="00CE57C3">
            <w:pPr>
              <w:spacing w:before="40" w:after="20"/>
              <w:ind w:left="-57" w:right="-57"/>
              <w:jc w:val="right"/>
              <w:rPr>
                <w:rFonts w:ascii="Arial Narrow" w:hAnsi="Arial Narrow" w:cs="Arial"/>
                <w:sz w:val="18"/>
                <w:szCs w:val="18"/>
              </w:rPr>
            </w:pPr>
            <w:r w:rsidRPr="00736384">
              <w:rPr>
                <w:rFonts w:ascii="Arial Narrow" w:hAnsi="Arial Narrow" w:cs="Arial"/>
                <w:sz w:val="18"/>
                <w:szCs w:val="18"/>
              </w:rPr>
              <w:t>-0,5</w:t>
            </w:r>
          </w:p>
        </w:tc>
        <w:tc>
          <w:tcPr>
            <w:tcW w:w="1417" w:type="dxa"/>
            <w:vAlign w:val="center"/>
          </w:tcPr>
          <w:p w:rsidR="001F5534" w:rsidRPr="001F5534" w:rsidRDefault="001F5534" w:rsidP="00CE57C3">
            <w:pPr>
              <w:spacing w:before="40" w:after="20"/>
              <w:ind w:left="-57" w:right="-57"/>
              <w:jc w:val="right"/>
              <w:rPr>
                <w:rFonts w:ascii="Arial Narrow" w:hAnsi="Arial Narrow" w:cs="Arial"/>
                <w:sz w:val="18"/>
                <w:szCs w:val="18"/>
              </w:rPr>
            </w:pPr>
            <w:r w:rsidRPr="001F5534">
              <w:rPr>
                <w:rFonts w:ascii="Arial Narrow" w:hAnsi="Arial Narrow" w:cs="Arial"/>
                <w:sz w:val="18"/>
                <w:szCs w:val="18"/>
              </w:rPr>
              <w:t>4,156</w:t>
            </w:r>
          </w:p>
        </w:tc>
      </w:tr>
      <w:tr w:rsidR="001F5534" w:rsidRPr="001D29FC" w:rsidTr="00CE57C3">
        <w:tblPrEx>
          <w:tblBorders>
            <w:top w:val="single" w:sz="4" w:space="0" w:color="auto"/>
            <w:bottom w:val="single" w:sz="4" w:space="0" w:color="auto"/>
            <w:insideH w:val="single" w:sz="4" w:space="0" w:color="auto"/>
          </w:tblBorders>
          <w:tblCellMar>
            <w:left w:w="108" w:type="dxa"/>
            <w:right w:w="108" w:type="dxa"/>
          </w:tblCellMar>
          <w:tblLook w:val="01E0" w:firstRow="1" w:lastRow="1" w:firstColumn="1" w:lastColumn="1" w:noHBand="0" w:noVBand="0"/>
        </w:tblPrEx>
        <w:trPr>
          <w:trHeight w:val="284"/>
        </w:trPr>
        <w:tc>
          <w:tcPr>
            <w:tcW w:w="2123" w:type="dxa"/>
            <w:vAlign w:val="center"/>
          </w:tcPr>
          <w:p w:rsidR="001F5534" w:rsidRPr="001D29FC" w:rsidRDefault="001F5534" w:rsidP="001F5534">
            <w:pPr>
              <w:spacing w:before="40" w:after="20"/>
              <w:rPr>
                <w:rFonts w:ascii="Arial Narrow" w:hAnsi="Arial Narrow" w:cs="Arial"/>
                <w:sz w:val="18"/>
                <w:szCs w:val="18"/>
              </w:rPr>
            </w:pPr>
            <w:r w:rsidRPr="001D29FC">
              <w:rPr>
                <w:rFonts w:ascii="Arial Narrow" w:hAnsi="Arial Narrow" w:cs="Arial"/>
                <w:sz w:val="18"/>
                <w:szCs w:val="18"/>
              </w:rPr>
              <w:t xml:space="preserve">Beni regolamentati, </w:t>
            </w:r>
            <w:r w:rsidRPr="001D29FC">
              <w:rPr>
                <w:rFonts w:ascii="Arial Narrow" w:hAnsi="Arial Narrow" w:cs="Arial"/>
                <w:i/>
                <w:sz w:val="18"/>
                <w:szCs w:val="18"/>
              </w:rPr>
              <w:t>di cui</w:t>
            </w:r>
            <w:r w:rsidRPr="001D29FC">
              <w:rPr>
                <w:rFonts w:ascii="Arial Narrow" w:hAnsi="Arial Narrow" w:cs="Arial"/>
                <w:sz w:val="18"/>
                <w:szCs w:val="18"/>
              </w:rPr>
              <w:t>:</w:t>
            </w:r>
          </w:p>
        </w:tc>
        <w:tc>
          <w:tcPr>
            <w:tcW w:w="569" w:type="dxa"/>
            <w:shd w:val="clear" w:color="auto" w:fill="E6E6E6"/>
            <w:vAlign w:val="center"/>
          </w:tcPr>
          <w:p w:rsidR="001F5534" w:rsidRPr="009D5308" w:rsidRDefault="001F5534" w:rsidP="00CE57C3">
            <w:pPr>
              <w:spacing w:before="40" w:after="20"/>
              <w:ind w:left="-57" w:right="-57"/>
              <w:jc w:val="right"/>
              <w:rPr>
                <w:rFonts w:ascii="Arial Narrow" w:hAnsi="Arial Narrow" w:cs="Arial"/>
                <w:sz w:val="18"/>
                <w:szCs w:val="18"/>
              </w:rPr>
            </w:pPr>
            <w:r>
              <w:rPr>
                <w:rFonts w:ascii="Arial Narrow" w:hAnsi="Arial Narrow" w:cs="Arial"/>
                <w:sz w:val="18"/>
                <w:szCs w:val="18"/>
              </w:rPr>
              <w:t>+28,9</w:t>
            </w:r>
          </w:p>
        </w:tc>
        <w:tc>
          <w:tcPr>
            <w:tcW w:w="708" w:type="dxa"/>
            <w:vAlign w:val="center"/>
          </w:tcPr>
          <w:p w:rsidR="001F5534" w:rsidRPr="00376716" w:rsidRDefault="001F5534" w:rsidP="00CE57C3">
            <w:pPr>
              <w:spacing w:before="40" w:after="20"/>
              <w:ind w:left="-57" w:right="-46"/>
              <w:jc w:val="right"/>
              <w:rPr>
                <w:rFonts w:ascii="Arial Narrow" w:hAnsi="Arial Narrow" w:cs="Arial"/>
                <w:sz w:val="18"/>
                <w:szCs w:val="18"/>
              </w:rPr>
            </w:pPr>
            <w:r w:rsidRPr="00376716">
              <w:rPr>
                <w:rFonts w:ascii="Arial Narrow" w:hAnsi="Arial Narrow" w:cs="Arial"/>
                <w:sz w:val="18"/>
                <w:szCs w:val="18"/>
              </w:rPr>
              <w:t>-4,6</w:t>
            </w:r>
          </w:p>
        </w:tc>
        <w:tc>
          <w:tcPr>
            <w:tcW w:w="711" w:type="dxa"/>
            <w:shd w:val="clear" w:color="auto" w:fill="D9D9D9" w:themeFill="background1" w:themeFillShade="D9"/>
            <w:vAlign w:val="center"/>
          </w:tcPr>
          <w:p w:rsidR="001F5534" w:rsidRPr="00376716" w:rsidRDefault="001F5534" w:rsidP="00CE57C3">
            <w:pPr>
              <w:spacing w:before="40" w:after="20"/>
              <w:ind w:left="-69" w:right="-58" w:firstLine="12"/>
              <w:jc w:val="right"/>
              <w:rPr>
                <w:rFonts w:ascii="Arial Narrow" w:hAnsi="Arial Narrow" w:cs="Arial"/>
                <w:sz w:val="18"/>
                <w:szCs w:val="18"/>
              </w:rPr>
            </w:pPr>
            <w:r w:rsidRPr="00376716">
              <w:rPr>
                <w:rFonts w:ascii="Arial Narrow" w:hAnsi="Arial Narrow" w:cs="Arial"/>
                <w:sz w:val="18"/>
                <w:szCs w:val="18"/>
              </w:rPr>
              <w:t>-7,5</w:t>
            </w:r>
          </w:p>
        </w:tc>
        <w:tc>
          <w:tcPr>
            <w:tcW w:w="709" w:type="dxa"/>
            <w:vAlign w:val="center"/>
          </w:tcPr>
          <w:p w:rsidR="001F5534" w:rsidRPr="00376716" w:rsidRDefault="001F5534" w:rsidP="00CE57C3">
            <w:pPr>
              <w:spacing w:before="40" w:after="20"/>
              <w:ind w:left="-57" w:right="-57"/>
              <w:jc w:val="right"/>
              <w:rPr>
                <w:rFonts w:ascii="Arial Narrow" w:hAnsi="Arial Narrow" w:cs="Arial"/>
                <w:sz w:val="18"/>
                <w:szCs w:val="18"/>
              </w:rPr>
            </w:pPr>
            <w:r w:rsidRPr="00376716">
              <w:rPr>
                <w:rFonts w:ascii="Arial Narrow" w:hAnsi="Arial Narrow" w:cs="Arial"/>
                <w:sz w:val="18"/>
                <w:szCs w:val="18"/>
              </w:rPr>
              <w:t>-7,7</w:t>
            </w:r>
          </w:p>
        </w:tc>
        <w:tc>
          <w:tcPr>
            <w:tcW w:w="709" w:type="dxa"/>
            <w:shd w:val="clear" w:color="auto" w:fill="D9D9D9" w:themeFill="background1" w:themeFillShade="D9"/>
            <w:vAlign w:val="center"/>
          </w:tcPr>
          <w:p w:rsidR="001F5534" w:rsidRPr="00376716" w:rsidRDefault="001F5534" w:rsidP="00CE57C3">
            <w:pPr>
              <w:spacing w:before="40" w:after="20"/>
              <w:ind w:left="-57" w:right="-57"/>
              <w:jc w:val="right"/>
              <w:rPr>
                <w:rFonts w:ascii="Arial Narrow" w:hAnsi="Arial Narrow" w:cs="Arial"/>
                <w:sz w:val="18"/>
                <w:szCs w:val="18"/>
              </w:rPr>
            </w:pPr>
            <w:r w:rsidRPr="00376716">
              <w:rPr>
                <w:rFonts w:ascii="Arial Narrow" w:hAnsi="Arial Narrow" w:cs="Arial"/>
                <w:sz w:val="18"/>
                <w:szCs w:val="18"/>
              </w:rPr>
              <w:t>-14,2</w:t>
            </w:r>
          </w:p>
        </w:tc>
        <w:tc>
          <w:tcPr>
            <w:tcW w:w="708" w:type="dxa"/>
            <w:shd w:val="clear" w:color="auto" w:fill="auto"/>
            <w:vAlign w:val="center"/>
          </w:tcPr>
          <w:p w:rsidR="001F5534" w:rsidRPr="00601557" w:rsidRDefault="001F5534" w:rsidP="00CE57C3">
            <w:pPr>
              <w:spacing w:before="40" w:after="20"/>
              <w:ind w:left="-57" w:right="-57"/>
              <w:jc w:val="right"/>
              <w:rPr>
                <w:rFonts w:ascii="Arial Narrow" w:hAnsi="Arial Narrow" w:cs="Arial"/>
                <w:sz w:val="18"/>
                <w:szCs w:val="18"/>
              </w:rPr>
            </w:pPr>
            <w:r w:rsidRPr="00601557">
              <w:rPr>
                <w:rFonts w:ascii="Arial Narrow" w:hAnsi="Arial Narrow" w:cs="Arial"/>
                <w:sz w:val="18"/>
                <w:szCs w:val="18"/>
              </w:rPr>
              <w:t>-8,6</w:t>
            </w:r>
          </w:p>
        </w:tc>
        <w:tc>
          <w:tcPr>
            <w:tcW w:w="851" w:type="dxa"/>
            <w:shd w:val="clear" w:color="auto" w:fill="D9D9D9" w:themeFill="background1" w:themeFillShade="D9"/>
            <w:tcMar>
              <w:left w:w="170" w:type="dxa"/>
              <w:right w:w="170" w:type="dxa"/>
            </w:tcMar>
            <w:vAlign w:val="center"/>
          </w:tcPr>
          <w:p w:rsidR="001F5534" w:rsidRPr="00124675" w:rsidRDefault="001F5534" w:rsidP="00CE57C3">
            <w:pPr>
              <w:spacing w:before="40" w:after="20"/>
              <w:ind w:left="-57" w:right="-57"/>
              <w:jc w:val="right"/>
              <w:rPr>
                <w:rFonts w:ascii="Arial Narrow" w:hAnsi="Arial Narrow" w:cs="Arial"/>
                <w:sz w:val="18"/>
                <w:szCs w:val="18"/>
              </w:rPr>
            </w:pPr>
            <w:r w:rsidRPr="00124675">
              <w:rPr>
                <w:rFonts w:ascii="Arial Narrow" w:hAnsi="Arial Narrow" w:cs="Arial"/>
                <w:sz w:val="18"/>
                <w:szCs w:val="18"/>
              </w:rPr>
              <w:t>+11,0</w:t>
            </w:r>
          </w:p>
        </w:tc>
        <w:tc>
          <w:tcPr>
            <w:tcW w:w="851" w:type="dxa"/>
            <w:shd w:val="clear" w:color="auto" w:fill="auto"/>
            <w:tcMar>
              <w:left w:w="170" w:type="dxa"/>
              <w:right w:w="170" w:type="dxa"/>
            </w:tcMar>
            <w:vAlign w:val="center"/>
          </w:tcPr>
          <w:p w:rsidR="001F5534" w:rsidRPr="00AB32AF" w:rsidRDefault="001F5534" w:rsidP="00CE57C3">
            <w:pPr>
              <w:spacing w:before="40" w:after="20"/>
              <w:ind w:left="-57" w:right="-57"/>
              <w:jc w:val="right"/>
              <w:rPr>
                <w:rFonts w:ascii="Arial Narrow" w:hAnsi="Arial Narrow" w:cs="Arial"/>
                <w:sz w:val="18"/>
                <w:szCs w:val="18"/>
              </w:rPr>
            </w:pPr>
            <w:r w:rsidRPr="00AB32AF">
              <w:rPr>
                <w:rFonts w:ascii="Arial Narrow" w:hAnsi="Arial Narrow" w:cs="Arial"/>
                <w:sz w:val="18"/>
                <w:szCs w:val="18"/>
              </w:rPr>
              <w:t>-17,7</w:t>
            </w:r>
          </w:p>
        </w:tc>
        <w:tc>
          <w:tcPr>
            <w:tcW w:w="850" w:type="dxa"/>
            <w:shd w:val="clear" w:color="auto" w:fill="D9D9D9" w:themeFill="background1" w:themeFillShade="D9"/>
            <w:tcMar>
              <w:left w:w="170" w:type="dxa"/>
              <w:right w:w="170" w:type="dxa"/>
            </w:tcMar>
            <w:vAlign w:val="center"/>
          </w:tcPr>
          <w:p w:rsidR="001F5534" w:rsidRPr="00736384" w:rsidRDefault="001F5534" w:rsidP="00CE57C3">
            <w:pPr>
              <w:spacing w:before="40" w:after="20"/>
              <w:ind w:left="-57" w:right="-57"/>
              <w:jc w:val="right"/>
              <w:rPr>
                <w:rFonts w:ascii="Arial Narrow" w:hAnsi="Arial Narrow" w:cs="Arial"/>
                <w:sz w:val="18"/>
                <w:szCs w:val="18"/>
              </w:rPr>
            </w:pPr>
            <w:r w:rsidRPr="00736384">
              <w:rPr>
                <w:rFonts w:ascii="Arial Narrow" w:hAnsi="Arial Narrow" w:cs="Arial"/>
                <w:sz w:val="18"/>
                <w:szCs w:val="18"/>
              </w:rPr>
              <w:t>0,0</w:t>
            </w:r>
          </w:p>
        </w:tc>
        <w:tc>
          <w:tcPr>
            <w:tcW w:w="1417" w:type="dxa"/>
            <w:vAlign w:val="center"/>
          </w:tcPr>
          <w:p w:rsidR="001F5534" w:rsidRPr="001F5534" w:rsidRDefault="001F5534" w:rsidP="00CE57C3">
            <w:pPr>
              <w:spacing w:before="40" w:after="20"/>
              <w:ind w:left="-57" w:right="-57"/>
              <w:jc w:val="right"/>
              <w:rPr>
                <w:rFonts w:ascii="Arial Narrow" w:hAnsi="Arial Narrow" w:cs="Arial"/>
                <w:sz w:val="18"/>
                <w:szCs w:val="18"/>
              </w:rPr>
            </w:pPr>
            <w:r w:rsidRPr="001F5534">
              <w:rPr>
                <w:rFonts w:ascii="Arial Narrow" w:hAnsi="Arial Narrow" w:cs="Arial"/>
                <w:sz w:val="18"/>
                <w:szCs w:val="18"/>
              </w:rPr>
              <w:t>-0,210</w:t>
            </w:r>
          </w:p>
        </w:tc>
      </w:tr>
      <w:tr w:rsidR="001F5534" w:rsidRPr="001D29FC" w:rsidTr="00CE57C3">
        <w:tblPrEx>
          <w:tblBorders>
            <w:top w:val="single" w:sz="4" w:space="0" w:color="auto"/>
            <w:bottom w:val="single" w:sz="4" w:space="0" w:color="auto"/>
            <w:insideH w:val="single" w:sz="4" w:space="0" w:color="auto"/>
          </w:tblBorders>
          <w:tblCellMar>
            <w:left w:w="108" w:type="dxa"/>
            <w:right w:w="108" w:type="dxa"/>
          </w:tblCellMar>
          <w:tblLook w:val="01E0" w:firstRow="1" w:lastRow="1" w:firstColumn="1" w:lastColumn="1" w:noHBand="0" w:noVBand="0"/>
        </w:tblPrEx>
        <w:trPr>
          <w:trHeight w:val="284"/>
        </w:trPr>
        <w:tc>
          <w:tcPr>
            <w:tcW w:w="2123" w:type="dxa"/>
            <w:vAlign w:val="center"/>
          </w:tcPr>
          <w:p w:rsidR="001F5534" w:rsidRPr="001D29FC" w:rsidRDefault="001F5534" w:rsidP="001F5534">
            <w:pPr>
              <w:tabs>
                <w:tab w:val="left" w:pos="307"/>
              </w:tabs>
              <w:spacing w:before="40" w:after="20"/>
              <w:rPr>
                <w:rFonts w:ascii="Arial Narrow" w:hAnsi="Arial Narrow" w:cs="Arial"/>
                <w:sz w:val="18"/>
                <w:szCs w:val="18"/>
              </w:rPr>
            </w:pPr>
            <w:r w:rsidRPr="001D29FC">
              <w:rPr>
                <w:rFonts w:ascii="Arial Narrow" w:hAnsi="Arial Narrow" w:cs="Arial"/>
                <w:sz w:val="18"/>
                <w:szCs w:val="18"/>
              </w:rPr>
              <w:t xml:space="preserve">   Energetici regolamentati </w:t>
            </w:r>
          </w:p>
        </w:tc>
        <w:tc>
          <w:tcPr>
            <w:tcW w:w="569" w:type="dxa"/>
            <w:shd w:val="clear" w:color="auto" w:fill="E6E6E6"/>
            <w:vAlign w:val="center"/>
          </w:tcPr>
          <w:p w:rsidR="001F5534" w:rsidRPr="001630C6" w:rsidRDefault="001F5534" w:rsidP="00CE57C3">
            <w:pPr>
              <w:spacing w:before="40" w:after="20"/>
              <w:ind w:left="-57" w:right="-57"/>
              <w:jc w:val="right"/>
              <w:rPr>
                <w:rFonts w:ascii="Arial Narrow" w:hAnsi="Arial Narrow" w:cs="Arial"/>
                <w:sz w:val="18"/>
                <w:szCs w:val="18"/>
              </w:rPr>
            </w:pPr>
            <w:r>
              <w:rPr>
                <w:rFonts w:ascii="Arial Narrow" w:hAnsi="Arial Narrow" w:cs="Arial"/>
                <w:sz w:val="18"/>
                <w:szCs w:val="18"/>
              </w:rPr>
              <w:t>+</w:t>
            </w:r>
            <w:r w:rsidRPr="001630C6">
              <w:rPr>
                <w:rFonts w:ascii="Arial Narrow" w:hAnsi="Arial Narrow" w:cs="Arial"/>
                <w:sz w:val="18"/>
                <w:szCs w:val="18"/>
              </w:rPr>
              <w:t>65,6</w:t>
            </w:r>
          </w:p>
        </w:tc>
        <w:tc>
          <w:tcPr>
            <w:tcW w:w="708" w:type="dxa"/>
            <w:vAlign w:val="center"/>
          </w:tcPr>
          <w:p w:rsidR="001F5534" w:rsidRPr="00A807E5" w:rsidRDefault="001F5534" w:rsidP="00CE57C3">
            <w:pPr>
              <w:spacing w:before="40" w:after="20"/>
              <w:ind w:left="-57" w:right="-46"/>
              <w:jc w:val="right"/>
              <w:rPr>
                <w:rFonts w:ascii="Arial Narrow" w:hAnsi="Arial Narrow" w:cs="Arial"/>
                <w:sz w:val="18"/>
                <w:szCs w:val="18"/>
              </w:rPr>
            </w:pPr>
            <w:r w:rsidRPr="00A807E5">
              <w:rPr>
                <w:rFonts w:ascii="Arial Narrow" w:hAnsi="Arial Narrow" w:cs="Arial"/>
                <w:sz w:val="18"/>
                <w:szCs w:val="18"/>
              </w:rPr>
              <w:t>-16,2</w:t>
            </w:r>
          </w:p>
        </w:tc>
        <w:tc>
          <w:tcPr>
            <w:tcW w:w="711" w:type="dxa"/>
            <w:shd w:val="clear" w:color="auto" w:fill="D9D9D9" w:themeFill="background1" w:themeFillShade="D9"/>
            <w:vAlign w:val="center"/>
          </w:tcPr>
          <w:p w:rsidR="001F5534" w:rsidRPr="00A807E5" w:rsidRDefault="001F5534" w:rsidP="00CE57C3">
            <w:pPr>
              <w:spacing w:before="40" w:after="20"/>
              <w:ind w:left="-69" w:right="-58" w:firstLine="12"/>
              <w:jc w:val="right"/>
              <w:rPr>
                <w:rFonts w:ascii="Arial Narrow" w:hAnsi="Arial Narrow" w:cs="Arial"/>
                <w:sz w:val="18"/>
                <w:szCs w:val="18"/>
              </w:rPr>
            </w:pPr>
            <w:r w:rsidRPr="00A807E5">
              <w:rPr>
                <w:rFonts w:ascii="Arial Narrow" w:hAnsi="Arial Narrow" w:cs="Arial"/>
                <w:sz w:val="18"/>
                <w:szCs w:val="18"/>
              </w:rPr>
              <w:t>-28,7</w:t>
            </w:r>
          </w:p>
        </w:tc>
        <w:tc>
          <w:tcPr>
            <w:tcW w:w="709" w:type="dxa"/>
            <w:vAlign w:val="center"/>
          </w:tcPr>
          <w:p w:rsidR="001F5534" w:rsidRPr="00A807E5" w:rsidRDefault="001F5534" w:rsidP="00CE57C3">
            <w:pPr>
              <w:spacing w:before="40" w:after="20"/>
              <w:ind w:left="-57" w:right="-57"/>
              <w:jc w:val="right"/>
              <w:rPr>
                <w:rFonts w:ascii="Arial Narrow" w:hAnsi="Arial Narrow" w:cs="Arial"/>
                <w:sz w:val="18"/>
                <w:szCs w:val="18"/>
              </w:rPr>
            </w:pPr>
            <w:r w:rsidRPr="00A807E5">
              <w:rPr>
                <w:rFonts w:ascii="Arial Narrow" w:hAnsi="Arial Narrow" w:cs="Arial"/>
                <w:sz w:val="18"/>
                <w:szCs w:val="18"/>
              </w:rPr>
              <w:t>-29,3</w:t>
            </w:r>
          </w:p>
        </w:tc>
        <w:tc>
          <w:tcPr>
            <w:tcW w:w="709" w:type="dxa"/>
            <w:shd w:val="clear" w:color="auto" w:fill="D9D9D9" w:themeFill="background1" w:themeFillShade="D9"/>
            <w:vAlign w:val="center"/>
          </w:tcPr>
          <w:p w:rsidR="001F5534" w:rsidRPr="00A807E5" w:rsidRDefault="001F5534" w:rsidP="00CE57C3">
            <w:pPr>
              <w:spacing w:before="40" w:after="20"/>
              <w:ind w:left="-57" w:right="-57"/>
              <w:jc w:val="right"/>
              <w:rPr>
                <w:rFonts w:ascii="Arial Narrow" w:hAnsi="Arial Narrow" w:cs="Arial"/>
                <w:sz w:val="18"/>
                <w:szCs w:val="18"/>
              </w:rPr>
            </w:pPr>
            <w:r w:rsidRPr="00A807E5">
              <w:rPr>
                <w:rFonts w:ascii="Arial Narrow" w:hAnsi="Arial Narrow" w:cs="Arial"/>
                <w:sz w:val="18"/>
                <w:szCs w:val="18"/>
              </w:rPr>
              <w:t>-36,2</w:t>
            </w:r>
          </w:p>
        </w:tc>
        <w:tc>
          <w:tcPr>
            <w:tcW w:w="708" w:type="dxa"/>
            <w:shd w:val="clear" w:color="auto" w:fill="auto"/>
            <w:vAlign w:val="center"/>
          </w:tcPr>
          <w:p w:rsidR="001F5534" w:rsidRPr="0086374D" w:rsidRDefault="001F5534" w:rsidP="00CE57C3">
            <w:pPr>
              <w:spacing w:before="40" w:after="20"/>
              <w:ind w:left="-57" w:right="-57"/>
              <w:jc w:val="right"/>
              <w:rPr>
                <w:rFonts w:ascii="Arial Narrow" w:hAnsi="Arial Narrow" w:cs="Arial"/>
                <w:sz w:val="18"/>
                <w:szCs w:val="18"/>
              </w:rPr>
            </w:pPr>
            <w:r w:rsidRPr="0086374D">
              <w:rPr>
                <w:rFonts w:ascii="Arial Narrow" w:hAnsi="Arial Narrow" w:cs="Arial"/>
                <w:sz w:val="18"/>
                <w:szCs w:val="18"/>
              </w:rPr>
              <w:t>-27,8</w:t>
            </w:r>
          </w:p>
        </w:tc>
        <w:tc>
          <w:tcPr>
            <w:tcW w:w="851" w:type="dxa"/>
            <w:shd w:val="clear" w:color="auto" w:fill="D9D9D9" w:themeFill="background1" w:themeFillShade="D9"/>
            <w:tcMar>
              <w:left w:w="170" w:type="dxa"/>
              <w:right w:w="170" w:type="dxa"/>
            </w:tcMar>
            <w:vAlign w:val="center"/>
          </w:tcPr>
          <w:p w:rsidR="001F5534" w:rsidRPr="00DD6C97" w:rsidRDefault="001F5534" w:rsidP="00CE57C3">
            <w:pPr>
              <w:spacing w:before="40" w:after="20"/>
              <w:ind w:left="-57" w:right="-57"/>
              <w:jc w:val="right"/>
              <w:rPr>
                <w:rFonts w:ascii="Arial Narrow" w:hAnsi="Arial Narrow" w:cs="Arial"/>
                <w:sz w:val="18"/>
                <w:szCs w:val="18"/>
              </w:rPr>
            </w:pPr>
            <w:r w:rsidRPr="00DD6C97">
              <w:rPr>
                <w:rFonts w:ascii="Arial Narrow" w:hAnsi="Arial Narrow" w:cs="Arial"/>
                <w:sz w:val="18"/>
                <w:szCs w:val="18"/>
              </w:rPr>
              <w:t>+22,5</w:t>
            </w:r>
          </w:p>
        </w:tc>
        <w:tc>
          <w:tcPr>
            <w:tcW w:w="851" w:type="dxa"/>
            <w:shd w:val="clear" w:color="auto" w:fill="auto"/>
            <w:tcMar>
              <w:left w:w="170" w:type="dxa"/>
              <w:right w:w="170" w:type="dxa"/>
            </w:tcMar>
            <w:vAlign w:val="center"/>
          </w:tcPr>
          <w:p w:rsidR="001F5534" w:rsidRPr="00370EB6" w:rsidRDefault="001F5534" w:rsidP="00CE57C3">
            <w:pPr>
              <w:spacing w:before="40" w:after="20"/>
              <w:ind w:left="-57" w:right="-57"/>
              <w:jc w:val="right"/>
              <w:rPr>
                <w:rFonts w:ascii="Arial Narrow" w:hAnsi="Arial Narrow" w:cs="Arial"/>
                <w:sz w:val="18"/>
                <w:szCs w:val="18"/>
              </w:rPr>
            </w:pPr>
            <w:r w:rsidRPr="00370EB6">
              <w:rPr>
                <w:rFonts w:ascii="Arial Narrow" w:hAnsi="Arial Narrow" w:cs="Arial"/>
                <w:sz w:val="18"/>
                <w:szCs w:val="18"/>
              </w:rPr>
              <w:t>-41,0</w:t>
            </w:r>
          </w:p>
        </w:tc>
        <w:tc>
          <w:tcPr>
            <w:tcW w:w="850" w:type="dxa"/>
            <w:shd w:val="clear" w:color="auto" w:fill="D9D9D9" w:themeFill="background1" w:themeFillShade="D9"/>
            <w:tcMar>
              <w:left w:w="170" w:type="dxa"/>
              <w:right w:w="170" w:type="dxa"/>
            </w:tcMar>
            <w:vAlign w:val="center"/>
          </w:tcPr>
          <w:p w:rsidR="001F5534" w:rsidRPr="004F2A9A" w:rsidRDefault="001F5534" w:rsidP="00CE57C3">
            <w:pPr>
              <w:spacing w:before="40" w:after="20"/>
              <w:ind w:left="-57" w:right="-57"/>
              <w:jc w:val="right"/>
              <w:rPr>
                <w:rFonts w:ascii="Arial Narrow" w:hAnsi="Arial Narrow" w:cs="Arial"/>
                <w:sz w:val="18"/>
                <w:szCs w:val="18"/>
              </w:rPr>
            </w:pPr>
            <w:r w:rsidRPr="004F2A9A">
              <w:rPr>
                <w:rFonts w:ascii="Arial Narrow" w:hAnsi="Arial Narrow" w:cs="Arial"/>
                <w:sz w:val="18"/>
                <w:szCs w:val="18"/>
              </w:rPr>
              <w:t>-0,9</w:t>
            </w:r>
          </w:p>
        </w:tc>
        <w:tc>
          <w:tcPr>
            <w:tcW w:w="1417" w:type="dxa"/>
            <w:vAlign w:val="center"/>
          </w:tcPr>
          <w:p w:rsidR="001F5534" w:rsidRPr="001F5534" w:rsidRDefault="001F5534" w:rsidP="00CE57C3">
            <w:pPr>
              <w:spacing w:before="40" w:after="20"/>
              <w:ind w:left="-57" w:right="-57"/>
              <w:jc w:val="right"/>
              <w:rPr>
                <w:rFonts w:ascii="Arial Narrow" w:hAnsi="Arial Narrow" w:cs="Arial"/>
                <w:sz w:val="18"/>
                <w:szCs w:val="18"/>
              </w:rPr>
            </w:pPr>
            <w:r w:rsidRPr="001F5534">
              <w:rPr>
                <w:rFonts w:ascii="Arial Narrow" w:hAnsi="Arial Narrow" w:cs="Arial"/>
                <w:sz w:val="18"/>
                <w:szCs w:val="18"/>
              </w:rPr>
              <w:t>-0,256</w:t>
            </w:r>
          </w:p>
        </w:tc>
      </w:tr>
      <w:tr w:rsidR="001F5534" w:rsidRPr="001D29FC" w:rsidTr="00CE57C3">
        <w:tblPrEx>
          <w:tblBorders>
            <w:top w:val="single" w:sz="4" w:space="0" w:color="auto"/>
            <w:bottom w:val="single" w:sz="4" w:space="0" w:color="auto"/>
            <w:insideH w:val="single" w:sz="4" w:space="0" w:color="auto"/>
          </w:tblBorders>
          <w:tblCellMar>
            <w:left w:w="108" w:type="dxa"/>
            <w:right w:w="108" w:type="dxa"/>
          </w:tblCellMar>
          <w:tblLook w:val="01E0" w:firstRow="1" w:lastRow="1" w:firstColumn="1" w:lastColumn="1" w:noHBand="0" w:noVBand="0"/>
        </w:tblPrEx>
        <w:trPr>
          <w:trHeight w:val="284"/>
        </w:trPr>
        <w:tc>
          <w:tcPr>
            <w:tcW w:w="2123" w:type="dxa"/>
            <w:vAlign w:val="center"/>
          </w:tcPr>
          <w:p w:rsidR="001F5534" w:rsidRPr="001D29FC" w:rsidRDefault="001F5534" w:rsidP="00CE57C3">
            <w:pPr>
              <w:spacing w:before="0" w:after="0"/>
              <w:rPr>
                <w:rFonts w:ascii="Arial Narrow" w:hAnsi="Arial Narrow" w:cs="Arial"/>
                <w:sz w:val="18"/>
                <w:szCs w:val="18"/>
              </w:rPr>
            </w:pPr>
            <w:r w:rsidRPr="001D29FC">
              <w:rPr>
                <w:rFonts w:ascii="Arial Narrow" w:hAnsi="Arial Narrow" w:cs="Arial"/>
                <w:sz w:val="18"/>
                <w:szCs w:val="18"/>
              </w:rPr>
              <w:t xml:space="preserve">   Altri beni regolamentati</w:t>
            </w:r>
          </w:p>
        </w:tc>
        <w:tc>
          <w:tcPr>
            <w:tcW w:w="569" w:type="dxa"/>
            <w:shd w:val="clear" w:color="auto" w:fill="E6E6E6"/>
            <w:vAlign w:val="center"/>
          </w:tcPr>
          <w:p w:rsidR="001F5534" w:rsidRPr="009D5308" w:rsidRDefault="001F5534" w:rsidP="00CE57C3">
            <w:pPr>
              <w:spacing w:before="0" w:after="0"/>
              <w:ind w:left="-57" w:right="-57"/>
              <w:jc w:val="right"/>
              <w:rPr>
                <w:rFonts w:ascii="Arial Narrow" w:hAnsi="Arial Narrow" w:cs="Arial"/>
                <w:sz w:val="18"/>
                <w:szCs w:val="18"/>
              </w:rPr>
            </w:pPr>
            <w:r>
              <w:rPr>
                <w:rFonts w:ascii="Arial Narrow" w:hAnsi="Arial Narrow" w:cs="Arial"/>
                <w:sz w:val="18"/>
                <w:szCs w:val="18"/>
              </w:rPr>
              <w:t>+0,3</w:t>
            </w:r>
          </w:p>
        </w:tc>
        <w:tc>
          <w:tcPr>
            <w:tcW w:w="708" w:type="dxa"/>
            <w:vAlign w:val="center"/>
          </w:tcPr>
          <w:p w:rsidR="001F5534" w:rsidRPr="00BD3670" w:rsidRDefault="001F5534" w:rsidP="00CE57C3">
            <w:pPr>
              <w:spacing w:before="0" w:after="0"/>
              <w:ind w:right="-46"/>
              <w:jc w:val="right"/>
              <w:rPr>
                <w:rFonts w:ascii="Arial Narrow" w:hAnsi="Arial Narrow" w:cs="Arial"/>
                <w:sz w:val="18"/>
                <w:szCs w:val="18"/>
              </w:rPr>
            </w:pPr>
            <w:r>
              <w:rPr>
                <w:rFonts w:ascii="Arial Narrow" w:hAnsi="Arial Narrow" w:cs="Arial"/>
                <w:sz w:val="18"/>
                <w:szCs w:val="18"/>
              </w:rPr>
              <w:t>+</w:t>
            </w:r>
            <w:r w:rsidRPr="00BD3670">
              <w:rPr>
                <w:rFonts w:ascii="Arial Narrow" w:hAnsi="Arial Narrow" w:cs="Arial"/>
                <w:sz w:val="18"/>
                <w:szCs w:val="18"/>
              </w:rPr>
              <w:t>1,6</w:t>
            </w:r>
          </w:p>
        </w:tc>
        <w:tc>
          <w:tcPr>
            <w:tcW w:w="711" w:type="dxa"/>
            <w:shd w:val="clear" w:color="auto" w:fill="D9D9D9" w:themeFill="background1" w:themeFillShade="D9"/>
            <w:vAlign w:val="center"/>
          </w:tcPr>
          <w:p w:rsidR="001F5534" w:rsidRPr="00BD3670" w:rsidRDefault="001F5534" w:rsidP="00CE57C3">
            <w:pPr>
              <w:spacing w:before="0" w:after="0"/>
              <w:ind w:left="-69" w:right="-58" w:firstLine="12"/>
              <w:jc w:val="right"/>
              <w:rPr>
                <w:rFonts w:ascii="Arial Narrow" w:hAnsi="Arial Narrow" w:cs="Arial"/>
                <w:sz w:val="18"/>
                <w:szCs w:val="18"/>
              </w:rPr>
            </w:pPr>
            <w:r>
              <w:rPr>
                <w:rFonts w:ascii="Arial Narrow" w:hAnsi="Arial Narrow" w:cs="Arial"/>
                <w:sz w:val="18"/>
                <w:szCs w:val="18"/>
              </w:rPr>
              <w:t>+</w:t>
            </w:r>
            <w:r w:rsidRPr="00BD3670">
              <w:rPr>
                <w:rFonts w:ascii="Arial Narrow" w:hAnsi="Arial Narrow" w:cs="Arial"/>
                <w:sz w:val="18"/>
                <w:szCs w:val="18"/>
              </w:rPr>
              <w:t>1,9</w:t>
            </w:r>
          </w:p>
        </w:tc>
        <w:tc>
          <w:tcPr>
            <w:tcW w:w="709" w:type="dxa"/>
            <w:vAlign w:val="center"/>
          </w:tcPr>
          <w:p w:rsidR="001F5534" w:rsidRPr="00BD3670" w:rsidRDefault="001F5534" w:rsidP="00CE57C3">
            <w:pPr>
              <w:spacing w:before="0" w:after="0"/>
              <w:ind w:left="-57" w:right="-57"/>
              <w:jc w:val="right"/>
              <w:rPr>
                <w:rFonts w:ascii="Arial Narrow" w:hAnsi="Arial Narrow" w:cs="Arial"/>
                <w:sz w:val="18"/>
                <w:szCs w:val="18"/>
              </w:rPr>
            </w:pPr>
            <w:r>
              <w:rPr>
                <w:rFonts w:ascii="Arial Narrow" w:hAnsi="Arial Narrow" w:cs="Arial"/>
                <w:sz w:val="18"/>
                <w:szCs w:val="18"/>
              </w:rPr>
              <w:t>+</w:t>
            </w:r>
            <w:r w:rsidRPr="00BD3670">
              <w:rPr>
                <w:rFonts w:ascii="Arial Narrow" w:hAnsi="Arial Narrow" w:cs="Arial"/>
                <w:sz w:val="18"/>
                <w:szCs w:val="18"/>
              </w:rPr>
              <w:t>2,2</w:t>
            </w:r>
          </w:p>
        </w:tc>
        <w:tc>
          <w:tcPr>
            <w:tcW w:w="709" w:type="dxa"/>
            <w:shd w:val="clear" w:color="auto" w:fill="D9D9D9" w:themeFill="background1" w:themeFillShade="D9"/>
            <w:vAlign w:val="center"/>
          </w:tcPr>
          <w:p w:rsidR="001F5534" w:rsidRPr="00BD3670" w:rsidRDefault="001F5534" w:rsidP="00CE57C3">
            <w:pPr>
              <w:spacing w:before="0" w:after="0"/>
              <w:ind w:left="-57" w:right="-57"/>
              <w:jc w:val="right"/>
              <w:rPr>
                <w:rFonts w:ascii="Arial Narrow" w:hAnsi="Arial Narrow" w:cs="Arial"/>
                <w:sz w:val="18"/>
                <w:szCs w:val="18"/>
              </w:rPr>
            </w:pPr>
            <w:r>
              <w:rPr>
                <w:rFonts w:ascii="Arial Narrow" w:hAnsi="Arial Narrow" w:cs="Arial"/>
                <w:sz w:val="18"/>
                <w:szCs w:val="18"/>
              </w:rPr>
              <w:t>+</w:t>
            </w:r>
            <w:r w:rsidRPr="00BD3670">
              <w:rPr>
                <w:rFonts w:ascii="Arial Narrow" w:hAnsi="Arial Narrow" w:cs="Arial"/>
                <w:sz w:val="18"/>
                <w:szCs w:val="18"/>
              </w:rPr>
              <w:t>2,5</w:t>
            </w:r>
          </w:p>
        </w:tc>
        <w:tc>
          <w:tcPr>
            <w:tcW w:w="708" w:type="dxa"/>
            <w:shd w:val="clear" w:color="auto" w:fill="auto"/>
            <w:vAlign w:val="center"/>
          </w:tcPr>
          <w:p w:rsidR="001F5534" w:rsidRPr="00601557" w:rsidRDefault="001F5534" w:rsidP="00CE57C3">
            <w:pPr>
              <w:spacing w:before="0" w:after="0"/>
              <w:ind w:left="-57" w:right="-57"/>
              <w:jc w:val="right"/>
              <w:rPr>
                <w:rFonts w:ascii="Arial Narrow" w:hAnsi="Arial Narrow" w:cs="Arial"/>
                <w:sz w:val="18"/>
                <w:szCs w:val="18"/>
              </w:rPr>
            </w:pPr>
            <w:r w:rsidRPr="00601557">
              <w:rPr>
                <w:rFonts w:ascii="Arial Narrow" w:hAnsi="Arial Narrow" w:cs="Arial"/>
                <w:sz w:val="18"/>
                <w:szCs w:val="18"/>
              </w:rPr>
              <w:t>+2,1</w:t>
            </w:r>
          </w:p>
        </w:tc>
        <w:tc>
          <w:tcPr>
            <w:tcW w:w="851" w:type="dxa"/>
            <w:shd w:val="clear" w:color="auto" w:fill="D9D9D9" w:themeFill="background1" w:themeFillShade="D9"/>
            <w:tcMar>
              <w:left w:w="170" w:type="dxa"/>
              <w:right w:w="170" w:type="dxa"/>
            </w:tcMar>
            <w:vAlign w:val="center"/>
          </w:tcPr>
          <w:p w:rsidR="001F5534" w:rsidRPr="00BF3917" w:rsidRDefault="001F5534" w:rsidP="00CE57C3">
            <w:pPr>
              <w:spacing w:before="0" w:after="0"/>
              <w:ind w:left="-57" w:right="-57"/>
              <w:jc w:val="right"/>
              <w:rPr>
                <w:rFonts w:ascii="Arial Narrow" w:hAnsi="Arial Narrow" w:cs="Arial"/>
                <w:sz w:val="18"/>
                <w:szCs w:val="18"/>
              </w:rPr>
            </w:pPr>
            <w:r>
              <w:rPr>
                <w:rFonts w:ascii="Arial Narrow" w:hAnsi="Arial Narrow" w:cs="Arial"/>
                <w:sz w:val="18"/>
                <w:szCs w:val="18"/>
              </w:rPr>
              <w:t>0,0</w:t>
            </w:r>
          </w:p>
        </w:tc>
        <w:tc>
          <w:tcPr>
            <w:tcW w:w="851" w:type="dxa"/>
            <w:shd w:val="clear" w:color="auto" w:fill="auto"/>
            <w:tcMar>
              <w:left w:w="170" w:type="dxa"/>
              <w:right w:w="170" w:type="dxa"/>
            </w:tcMar>
            <w:vAlign w:val="center"/>
          </w:tcPr>
          <w:p w:rsidR="001F5534" w:rsidRPr="00BF3917" w:rsidRDefault="001F5534" w:rsidP="00CE57C3">
            <w:pPr>
              <w:spacing w:before="0" w:after="0"/>
              <w:ind w:left="-57" w:right="-57"/>
              <w:jc w:val="right"/>
              <w:rPr>
                <w:rFonts w:ascii="Arial Narrow" w:hAnsi="Arial Narrow" w:cs="Arial"/>
                <w:sz w:val="18"/>
                <w:szCs w:val="18"/>
              </w:rPr>
            </w:pPr>
            <w:r w:rsidRPr="00AB32AF">
              <w:rPr>
                <w:rFonts w:ascii="Arial Narrow" w:hAnsi="Arial Narrow" w:cs="Arial"/>
                <w:sz w:val="18"/>
                <w:szCs w:val="18"/>
              </w:rPr>
              <w:t>+2,1</w:t>
            </w:r>
          </w:p>
        </w:tc>
        <w:tc>
          <w:tcPr>
            <w:tcW w:w="850" w:type="dxa"/>
            <w:shd w:val="clear" w:color="auto" w:fill="D9D9D9" w:themeFill="background1" w:themeFillShade="D9"/>
            <w:tcMar>
              <w:left w:w="170" w:type="dxa"/>
              <w:right w:w="170" w:type="dxa"/>
            </w:tcMar>
            <w:vAlign w:val="center"/>
          </w:tcPr>
          <w:p w:rsidR="001F5534" w:rsidRPr="00BF3917" w:rsidRDefault="001F5534" w:rsidP="00CE57C3">
            <w:pPr>
              <w:spacing w:before="0" w:after="0"/>
              <w:ind w:left="-57" w:right="-57"/>
              <w:jc w:val="right"/>
              <w:rPr>
                <w:rFonts w:ascii="Arial Narrow" w:hAnsi="Arial Narrow" w:cs="Arial"/>
                <w:sz w:val="18"/>
                <w:szCs w:val="18"/>
              </w:rPr>
            </w:pPr>
            <w:r>
              <w:rPr>
                <w:rFonts w:ascii="Arial Narrow" w:hAnsi="Arial Narrow" w:cs="Arial"/>
                <w:sz w:val="18"/>
                <w:szCs w:val="18"/>
              </w:rPr>
              <w:t>+0,4</w:t>
            </w:r>
          </w:p>
        </w:tc>
        <w:tc>
          <w:tcPr>
            <w:tcW w:w="1417" w:type="dxa"/>
            <w:vAlign w:val="center"/>
          </w:tcPr>
          <w:p w:rsidR="001F5534" w:rsidRPr="001F5534" w:rsidRDefault="001F5534" w:rsidP="00CE57C3">
            <w:pPr>
              <w:spacing w:before="0" w:after="0"/>
              <w:ind w:left="-57" w:right="-57"/>
              <w:jc w:val="right"/>
              <w:rPr>
                <w:rFonts w:ascii="Arial Narrow" w:hAnsi="Arial Narrow" w:cs="Arial"/>
                <w:sz w:val="18"/>
                <w:szCs w:val="18"/>
              </w:rPr>
            </w:pPr>
            <w:r w:rsidRPr="001F5534">
              <w:rPr>
                <w:rFonts w:ascii="Arial Narrow" w:hAnsi="Arial Narrow" w:cs="Arial"/>
                <w:sz w:val="18"/>
                <w:szCs w:val="18"/>
              </w:rPr>
              <w:t>0,045</w:t>
            </w:r>
          </w:p>
        </w:tc>
      </w:tr>
      <w:tr w:rsidR="001F5534" w:rsidRPr="00E13293" w:rsidTr="00CE57C3">
        <w:tblPrEx>
          <w:tblBorders>
            <w:top w:val="single" w:sz="4" w:space="0" w:color="auto"/>
            <w:bottom w:val="single" w:sz="4" w:space="0" w:color="auto"/>
            <w:insideH w:val="single" w:sz="4" w:space="0" w:color="auto"/>
          </w:tblBorders>
          <w:tblCellMar>
            <w:left w:w="108" w:type="dxa"/>
            <w:right w:w="108" w:type="dxa"/>
          </w:tblCellMar>
          <w:tblLook w:val="01E0" w:firstRow="1" w:lastRow="1" w:firstColumn="1" w:lastColumn="1" w:noHBand="0" w:noVBand="0"/>
        </w:tblPrEx>
        <w:trPr>
          <w:trHeight w:val="284"/>
        </w:trPr>
        <w:tc>
          <w:tcPr>
            <w:tcW w:w="2123" w:type="dxa"/>
            <w:shd w:val="clear" w:color="auto" w:fill="A6A6A6" w:themeFill="background1" w:themeFillShade="A6"/>
            <w:vAlign w:val="center"/>
          </w:tcPr>
          <w:p w:rsidR="001F5534" w:rsidRPr="001D29FC" w:rsidRDefault="001F5534" w:rsidP="001F5534">
            <w:pPr>
              <w:spacing w:before="40" w:after="20"/>
              <w:rPr>
                <w:rFonts w:ascii="Arial Narrow" w:hAnsi="Arial Narrow" w:cs="Arial"/>
                <w:b/>
                <w:color w:val="FFFFFF" w:themeColor="background1"/>
                <w:sz w:val="18"/>
                <w:szCs w:val="18"/>
              </w:rPr>
            </w:pPr>
            <w:r w:rsidRPr="001D29FC">
              <w:rPr>
                <w:rFonts w:ascii="Arial Narrow" w:hAnsi="Arial Narrow" w:cs="Arial"/>
                <w:b/>
                <w:color w:val="FFFFFF" w:themeColor="background1"/>
                <w:sz w:val="18"/>
                <w:szCs w:val="18"/>
              </w:rPr>
              <w:t>Beni</w:t>
            </w:r>
          </w:p>
        </w:tc>
        <w:tc>
          <w:tcPr>
            <w:tcW w:w="569" w:type="dxa"/>
            <w:shd w:val="clear" w:color="auto" w:fill="A6A6A6" w:themeFill="background1" w:themeFillShade="A6"/>
            <w:vAlign w:val="center"/>
          </w:tcPr>
          <w:p w:rsidR="001F5534" w:rsidRPr="00100C96" w:rsidRDefault="001F5534" w:rsidP="00CE57C3">
            <w:pPr>
              <w:spacing w:before="40" w:after="20"/>
              <w:ind w:left="-57" w:right="-57"/>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+11,9</w:t>
            </w:r>
          </w:p>
        </w:tc>
        <w:tc>
          <w:tcPr>
            <w:tcW w:w="708" w:type="dxa"/>
            <w:shd w:val="clear" w:color="auto" w:fill="A6A6A6" w:themeFill="background1" w:themeFillShade="A6"/>
            <w:vAlign w:val="center"/>
          </w:tcPr>
          <w:p w:rsidR="001F5534" w:rsidRPr="00100C96" w:rsidRDefault="001F5534" w:rsidP="00CE57C3">
            <w:pPr>
              <w:spacing w:before="40" w:after="20"/>
              <w:ind w:left="-68" w:right="-46"/>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+12,0</w:t>
            </w:r>
          </w:p>
        </w:tc>
        <w:tc>
          <w:tcPr>
            <w:tcW w:w="711" w:type="dxa"/>
            <w:shd w:val="clear" w:color="auto" w:fill="A6A6A6" w:themeFill="background1" w:themeFillShade="A6"/>
            <w:vAlign w:val="center"/>
          </w:tcPr>
          <w:p w:rsidR="001F5534" w:rsidRPr="00100C96" w:rsidRDefault="001F5534" w:rsidP="00CE57C3">
            <w:pPr>
              <w:spacing w:before="40" w:after="20"/>
              <w:ind w:left="-69" w:right="-58" w:firstLine="12"/>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+9,1</w:t>
            </w:r>
          </w:p>
        </w:tc>
        <w:tc>
          <w:tcPr>
            <w:tcW w:w="709" w:type="dxa"/>
            <w:shd w:val="clear" w:color="auto" w:fill="A6A6A6" w:themeFill="background1" w:themeFillShade="A6"/>
            <w:vAlign w:val="center"/>
          </w:tcPr>
          <w:p w:rsidR="001F5534" w:rsidRPr="00100C96" w:rsidRDefault="001F5534" w:rsidP="00CE57C3">
            <w:pPr>
              <w:spacing w:before="40" w:after="20"/>
              <w:ind w:left="-57" w:right="-57"/>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+6,4</w:t>
            </w:r>
          </w:p>
        </w:tc>
        <w:tc>
          <w:tcPr>
            <w:tcW w:w="709" w:type="dxa"/>
            <w:shd w:val="clear" w:color="auto" w:fill="A6A6A6" w:themeFill="background1" w:themeFillShade="A6"/>
            <w:vAlign w:val="center"/>
          </w:tcPr>
          <w:p w:rsidR="001F5534" w:rsidRPr="00100C96" w:rsidRDefault="001F5534" w:rsidP="00CE57C3">
            <w:pPr>
              <w:spacing w:before="40" w:after="20"/>
              <w:ind w:left="-57" w:right="-57"/>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-1,0</w:t>
            </w:r>
          </w:p>
        </w:tc>
        <w:tc>
          <w:tcPr>
            <w:tcW w:w="708" w:type="dxa"/>
            <w:shd w:val="clear" w:color="auto" w:fill="A6A6A6" w:themeFill="background1" w:themeFillShade="A6"/>
            <w:vAlign w:val="center"/>
          </w:tcPr>
          <w:p w:rsidR="001F5534" w:rsidRPr="00100C96" w:rsidRDefault="001F5534" w:rsidP="00CE57C3">
            <w:pPr>
              <w:spacing w:before="40" w:after="20"/>
              <w:ind w:left="-57" w:right="-57"/>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+6,4</w:t>
            </w:r>
          </w:p>
        </w:tc>
        <w:tc>
          <w:tcPr>
            <w:tcW w:w="851" w:type="dxa"/>
            <w:shd w:val="clear" w:color="auto" w:fill="A6A6A6" w:themeFill="background1" w:themeFillShade="A6"/>
            <w:tcMar>
              <w:left w:w="170" w:type="dxa"/>
              <w:right w:w="170" w:type="dxa"/>
            </w:tcMar>
            <w:vAlign w:val="center"/>
          </w:tcPr>
          <w:p w:rsidR="001F5534" w:rsidRPr="00100C96" w:rsidRDefault="001F5534" w:rsidP="00CE57C3">
            <w:pPr>
              <w:spacing w:before="40" w:after="20"/>
              <w:ind w:left="-57" w:right="-57"/>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+7,5</w:t>
            </w:r>
          </w:p>
        </w:tc>
        <w:tc>
          <w:tcPr>
            <w:tcW w:w="851" w:type="dxa"/>
            <w:shd w:val="clear" w:color="auto" w:fill="A6A6A6" w:themeFill="background1" w:themeFillShade="A6"/>
            <w:tcMar>
              <w:left w:w="170" w:type="dxa"/>
              <w:right w:w="170" w:type="dxa"/>
            </w:tcMar>
            <w:vAlign w:val="center"/>
          </w:tcPr>
          <w:p w:rsidR="001F5534" w:rsidRPr="00100C96" w:rsidRDefault="001F5534" w:rsidP="00CE57C3">
            <w:pPr>
              <w:spacing w:before="40" w:after="20"/>
              <w:ind w:left="-57" w:right="-57"/>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-1,0</w:t>
            </w:r>
          </w:p>
        </w:tc>
        <w:tc>
          <w:tcPr>
            <w:tcW w:w="850" w:type="dxa"/>
            <w:shd w:val="clear" w:color="auto" w:fill="A6A6A6" w:themeFill="background1" w:themeFillShade="A6"/>
            <w:tcMar>
              <w:left w:w="170" w:type="dxa"/>
              <w:right w:w="170" w:type="dxa"/>
            </w:tcMar>
            <w:vAlign w:val="center"/>
          </w:tcPr>
          <w:p w:rsidR="001F5534" w:rsidRPr="00100C96" w:rsidRDefault="001F5534" w:rsidP="00CE57C3">
            <w:pPr>
              <w:spacing w:before="40" w:after="20"/>
              <w:ind w:left="-68" w:right="57"/>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-0,5</w:t>
            </w:r>
          </w:p>
        </w:tc>
        <w:tc>
          <w:tcPr>
            <w:tcW w:w="1417" w:type="dxa"/>
            <w:shd w:val="clear" w:color="auto" w:fill="A6A6A6" w:themeFill="background1" w:themeFillShade="A6"/>
            <w:vAlign w:val="center"/>
          </w:tcPr>
          <w:p w:rsidR="001F5534" w:rsidRPr="00267BA3" w:rsidRDefault="001F5534" w:rsidP="00CE57C3">
            <w:pPr>
              <w:spacing w:before="40" w:after="20"/>
              <w:ind w:left="-57" w:right="-57"/>
              <w:jc w:val="right"/>
              <w:rPr>
                <w:rFonts w:ascii="Arial Narrow" w:hAnsi="Arial Narrow" w:cs="Arial"/>
                <w:b/>
                <w:color w:val="FFFFFF" w:themeColor="background1"/>
                <w:sz w:val="18"/>
                <w:szCs w:val="18"/>
              </w:rPr>
            </w:pPr>
            <w:r w:rsidRPr="00267BA3">
              <w:rPr>
                <w:rFonts w:ascii="Arial Narrow" w:hAnsi="Arial Narrow" w:cs="Arial"/>
                <w:b/>
                <w:color w:val="FFFFFF" w:themeColor="background1"/>
                <w:sz w:val="18"/>
                <w:szCs w:val="18"/>
              </w:rPr>
              <w:t>3,946</w:t>
            </w:r>
          </w:p>
        </w:tc>
      </w:tr>
      <w:tr w:rsidR="001F5534" w:rsidRPr="001D29FC" w:rsidTr="00CE57C3">
        <w:tblPrEx>
          <w:tblBorders>
            <w:top w:val="single" w:sz="4" w:space="0" w:color="auto"/>
            <w:bottom w:val="single" w:sz="4" w:space="0" w:color="auto"/>
            <w:insideH w:val="single" w:sz="4" w:space="0" w:color="auto"/>
          </w:tblBorders>
          <w:tblCellMar>
            <w:left w:w="108" w:type="dxa"/>
            <w:right w:w="108" w:type="dxa"/>
          </w:tblCellMar>
          <w:tblLook w:val="01E0" w:firstRow="1" w:lastRow="1" w:firstColumn="1" w:lastColumn="1" w:noHBand="0" w:noVBand="0"/>
        </w:tblPrEx>
        <w:trPr>
          <w:trHeight w:val="284"/>
        </w:trPr>
        <w:tc>
          <w:tcPr>
            <w:tcW w:w="2123" w:type="dxa"/>
            <w:vAlign w:val="center"/>
          </w:tcPr>
          <w:p w:rsidR="001F5534" w:rsidRPr="001D29FC" w:rsidRDefault="001F5534" w:rsidP="001F5534">
            <w:pPr>
              <w:spacing w:before="40" w:after="20"/>
              <w:rPr>
                <w:rFonts w:ascii="Arial Narrow" w:hAnsi="Arial Narrow" w:cs="Arial"/>
                <w:sz w:val="18"/>
                <w:szCs w:val="18"/>
              </w:rPr>
            </w:pPr>
            <w:r w:rsidRPr="001D29FC">
              <w:rPr>
                <w:rFonts w:ascii="Arial Narrow" w:hAnsi="Arial Narrow" w:cs="Arial"/>
                <w:sz w:val="18"/>
                <w:szCs w:val="18"/>
              </w:rPr>
              <w:t>Servizi non regolamentati</w:t>
            </w:r>
          </w:p>
        </w:tc>
        <w:tc>
          <w:tcPr>
            <w:tcW w:w="569" w:type="dxa"/>
            <w:shd w:val="clear" w:color="auto" w:fill="E6E6E6"/>
            <w:vAlign w:val="center"/>
          </w:tcPr>
          <w:p w:rsidR="001F5534" w:rsidRPr="001630C6" w:rsidRDefault="001F5534" w:rsidP="00CE57C3">
            <w:pPr>
              <w:spacing w:before="40" w:after="20"/>
              <w:ind w:left="-57" w:right="-57"/>
              <w:jc w:val="right"/>
              <w:rPr>
                <w:rFonts w:ascii="Arial Narrow" w:hAnsi="Arial Narrow" w:cs="Arial"/>
                <w:sz w:val="18"/>
                <w:szCs w:val="18"/>
              </w:rPr>
            </w:pPr>
            <w:r>
              <w:rPr>
                <w:rFonts w:ascii="Arial Narrow" w:hAnsi="Arial Narrow" w:cs="Arial"/>
                <w:sz w:val="18"/>
                <w:szCs w:val="18"/>
              </w:rPr>
              <w:t>+3,3</w:t>
            </w:r>
          </w:p>
        </w:tc>
        <w:tc>
          <w:tcPr>
            <w:tcW w:w="708" w:type="dxa"/>
            <w:vAlign w:val="center"/>
          </w:tcPr>
          <w:p w:rsidR="001F5534" w:rsidRPr="00C234BF" w:rsidRDefault="001F5534" w:rsidP="00CE57C3">
            <w:pPr>
              <w:spacing w:before="40" w:after="20"/>
              <w:ind w:left="-57" w:right="-46"/>
              <w:jc w:val="right"/>
              <w:rPr>
                <w:rFonts w:ascii="Arial Narrow" w:hAnsi="Arial Narrow" w:cs="Arial"/>
                <w:sz w:val="18"/>
                <w:szCs w:val="18"/>
              </w:rPr>
            </w:pPr>
            <w:r>
              <w:rPr>
                <w:rFonts w:ascii="Arial Narrow" w:hAnsi="Arial Narrow" w:cs="Arial"/>
                <w:sz w:val="18"/>
                <w:szCs w:val="18"/>
              </w:rPr>
              <w:t>+</w:t>
            </w:r>
            <w:r w:rsidRPr="00C234BF">
              <w:rPr>
                <w:rFonts w:ascii="Arial Narrow" w:hAnsi="Arial Narrow" w:cs="Arial"/>
                <w:sz w:val="18"/>
                <w:szCs w:val="18"/>
              </w:rPr>
              <w:t>4,8</w:t>
            </w:r>
          </w:p>
        </w:tc>
        <w:tc>
          <w:tcPr>
            <w:tcW w:w="711" w:type="dxa"/>
            <w:shd w:val="clear" w:color="auto" w:fill="D9D9D9" w:themeFill="background1" w:themeFillShade="D9"/>
            <w:vAlign w:val="center"/>
          </w:tcPr>
          <w:p w:rsidR="001F5534" w:rsidRPr="00C234BF" w:rsidRDefault="001F5534" w:rsidP="00CE57C3">
            <w:pPr>
              <w:spacing w:before="40" w:after="20"/>
              <w:ind w:left="-69" w:right="-58" w:firstLine="12"/>
              <w:jc w:val="right"/>
              <w:rPr>
                <w:rFonts w:ascii="Arial Narrow" w:hAnsi="Arial Narrow" w:cs="Arial"/>
                <w:sz w:val="18"/>
                <w:szCs w:val="18"/>
              </w:rPr>
            </w:pPr>
            <w:r>
              <w:rPr>
                <w:rFonts w:ascii="Arial Narrow" w:hAnsi="Arial Narrow" w:cs="Arial"/>
                <w:sz w:val="18"/>
                <w:szCs w:val="18"/>
              </w:rPr>
              <w:t>+</w:t>
            </w:r>
            <w:r w:rsidRPr="00C234BF">
              <w:rPr>
                <w:rFonts w:ascii="Arial Narrow" w:hAnsi="Arial Narrow" w:cs="Arial"/>
                <w:sz w:val="18"/>
                <w:szCs w:val="18"/>
              </w:rPr>
              <w:t>5,2</w:t>
            </w:r>
          </w:p>
        </w:tc>
        <w:tc>
          <w:tcPr>
            <w:tcW w:w="709" w:type="dxa"/>
            <w:vAlign w:val="center"/>
          </w:tcPr>
          <w:p w:rsidR="001F5534" w:rsidRPr="00C234BF" w:rsidRDefault="001F5534" w:rsidP="00CE57C3">
            <w:pPr>
              <w:spacing w:before="40" w:after="20"/>
              <w:ind w:left="-57" w:right="-57"/>
              <w:jc w:val="right"/>
              <w:rPr>
                <w:rFonts w:ascii="Arial Narrow" w:hAnsi="Arial Narrow" w:cs="Arial"/>
                <w:sz w:val="18"/>
                <w:szCs w:val="18"/>
              </w:rPr>
            </w:pPr>
            <w:r>
              <w:rPr>
                <w:rFonts w:ascii="Arial Narrow" w:hAnsi="Arial Narrow" w:cs="Arial"/>
                <w:sz w:val="18"/>
                <w:szCs w:val="18"/>
              </w:rPr>
              <w:t>+</w:t>
            </w:r>
            <w:r w:rsidRPr="00C234BF">
              <w:rPr>
                <w:rFonts w:ascii="Arial Narrow" w:hAnsi="Arial Narrow" w:cs="Arial"/>
                <w:sz w:val="18"/>
                <w:szCs w:val="18"/>
              </w:rPr>
              <w:t>4,4</w:t>
            </w:r>
          </w:p>
        </w:tc>
        <w:tc>
          <w:tcPr>
            <w:tcW w:w="709" w:type="dxa"/>
            <w:shd w:val="clear" w:color="auto" w:fill="D9D9D9" w:themeFill="background1" w:themeFillShade="D9"/>
            <w:vAlign w:val="center"/>
          </w:tcPr>
          <w:p w:rsidR="001F5534" w:rsidRPr="00C234BF" w:rsidRDefault="001F5534" w:rsidP="00CE57C3">
            <w:pPr>
              <w:spacing w:before="40" w:after="20"/>
              <w:ind w:left="-57" w:right="-57"/>
              <w:jc w:val="right"/>
              <w:rPr>
                <w:rFonts w:ascii="Arial Narrow" w:hAnsi="Arial Narrow" w:cs="Arial"/>
                <w:sz w:val="18"/>
                <w:szCs w:val="18"/>
              </w:rPr>
            </w:pPr>
            <w:r>
              <w:rPr>
                <w:rFonts w:ascii="Arial Narrow" w:hAnsi="Arial Narrow" w:cs="Arial"/>
                <w:sz w:val="18"/>
                <w:szCs w:val="18"/>
              </w:rPr>
              <w:t>+</w:t>
            </w:r>
            <w:r w:rsidRPr="00C234BF">
              <w:rPr>
                <w:rFonts w:ascii="Arial Narrow" w:hAnsi="Arial Narrow" w:cs="Arial"/>
                <w:sz w:val="18"/>
                <w:szCs w:val="18"/>
              </w:rPr>
              <w:t>3,9</w:t>
            </w:r>
          </w:p>
        </w:tc>
        <w:tc>
          <w:tcPr>
            <w:tcW w:w="708" w:type="dxa"/>
            <w:shd w:val="clear" w:color="auto" w:fill="auto"/>
            <w:vAlign w:val="center"/>
          </w:tcPr>
          <w:p w:rsidR="001F5534" w:rsidRPr="00601557" w:rsidRDefault="001F5534" w:rsidP="00CE57C3">
            <w:pPr>
              <w:spacing w:before="40" w:after="20"/>
              <w:ind w:left="-57" w:right="-57"/>
              <w:jc w:val="right"/>
              <w:rPr>
                <w:rFonts w:ascii="Arial Narrow" w:hAnsi="Arial Narrow" w:cs="Arial"/>
                <w:sz w:val="18"/>
                <w:szCs w:val="18"/>
              </w:rPr>
            </w:pPr>
            <w:r w:rsidRPr="00601557">
              <w:rPr>
                <w:rFonts w:ascii="Arial Narrow" w:hAnsi="Arial Narrow" w:cs="Arial"/>
                <w:sz w:val="18"/>
                <w:szCs w:val="18"/>
              </w:rPr>
              <w:t>+4,5</w:t>
            </w:r>
          </w:p>
        </w:tc>
        <w:tc>
          <w:tcPr>
            <w:tcW w:w="851" w:type="dxa"/>
            <w:shd w:val="clear" w:color="auto" w:fill="D9D9D9" w:themeFill="background1" w:themeFillShade="D9"/>
            <w:tcMar>
              <w:left w:w="170" w:type="dxa"/>
              <w:right w:w="170" w:type="dxa"/>
            </w:tcMar>
            <w:vAlign w:val="center"/>
          </w:tcPr>
          <w:p w:rsidR="001F5534" w:rsidRPr="00124675" w:rsidRDefault="001F5534" w:rsidP="00CE57C3">
            <w:pPr>
              <w:spacing w:before="40" w:after="20"/>
              <w:ind w:left="-57" w:right="-57"/>
              <w:jc w:val="right"/>
              <w:rPr>
                <w:rFonts w:ascii="Arial Narrow" w:hAnsi="Arial Narrow" w:cs="Arial"/>
                <w:sz w:val="18"/>
                <w:szCs w:val="18"/>
              </w:rPr>
            </w:pPr>
            <w:r w:rsidRPr="00124675">
              <w:rPr>
                <w:rFonts w:ascii="Arial Narrow" w:hAnsi="Arial Narrow" w:cs="Arial"/>
                <w:sz w:val="18"/>
                <w:szCs w:val="18"/>
              </w:rPr>
              <w:t>+1,8</w:t>
            </w:r>
          </w:p>
        </w:tc>
        <w:tc>
          <w:tcPr>
            <w:tcW w:w="851" w:type="dxa"/>
            <w:shd w:val="clear" w:color="auto" w:fill="auto"/>
            <w:tcMar>
              <w:left w:w="170" w:type="dxa"/>
              <w:right w:w="170" w:type="dxa"/>
            </w:tcMar>
            <w:vAlign w:val="center"/>
          </w:tcPr>
          <w:p w:rsidR="001F5534" w:rsidRPr="00AB32AF" w:rsidRDefault="001F5534" w:rsidP="00CE57C3">
            <w:pPr>
              <w:spacing w:before="40" w:after="20"/>
              <w:ind w:left="-57" w:right="-57"/>
              <w:jc w:val="right"/>
              <w:rPr>
                <w:rFonts w:ascii="Arial Narrow" w:hAnsi="Arial Narrow" w:cs="Arial"/>
                <w:sz w:val="18"/>
                <w:szCs w:val="18"/>
              </w:rPr>
            </w:pPr>
            <w:r w:rsidRPr="00AB32AF">
              <w:rPr>
                <w:rFonts w:ascii="Arial Narrow" w:hAnsi="Arial Narrow" w:cs="Arial"/>
                <w:sz w:val="18"/>
                <w:szCs w:val="18"/>
              </w:rPr>
              <w:t>+2,7</w:t>
            </w:r>
          </w:p>
        </w:tc>
        <w:tc>
          <w:tcPr>
            <w:tcW w:w="850" w:type="dxa"/>
            <w:shd w:val="clear" w:color="auto" w:fill="D9D9D9" w:themeFill="background1" w:themeFillShade="D9"/>
            <w:tcMar>
              <w:left w:w="170" w:type="dxa"/>
              <w:right w:w="170" w:type="dxa"/>
            </w:tcMar>
            <w:vAlign w:val="center"/>
          </w:tcPr>
          <w:p w:rsidR="001F5534" w:rsidRPr="00BF3917" w:rsidRDefault="001F5534" w:rsidP="00CE57C3">
            <w:pPr>
              <w:spacing w:before="40" w:after="20"/>
              <w:ind w:left="-57" w:right="-57"/>
              <w:jc w:val="right"/>
              <w:rPr>
                <w:rFonts w:ascii="Arial Narrow" w:hAnsi="Arial Narrow" w:cs="Arial"/>
                <w:sz w:val="18"/>
                <w:szCs w:val="18"/>
              </w:rPr>
            </w:pPr>
            <w:r>
              <w:rPr>
                <w:rFonts w:ascii="Arial Narrow" w:hAnsi="Arial Narrow" w:cs="Arial"/>
                <w:sz w:val="18"/>
                <w:szCs w:val="18"/>
              </w:rPr>
              <w:t>+0,8</w:t>
            </w:r>
          </w:p>
        </w:tc>
        <w:tc>
          <w:tcPr>
            <w:tcW w:w="1417" w:type="dxa"/>
            <w:vAlign w:val="center"/>
          </w:tcPr>
          <w:p w:rsidR="001F5534" w:rsidRPr="001F5534" w:rsidRDefault="001F5534" w:rsidP="00CE57C3">
            <w:pPr>
              <w:spacing w:before="40" w:after="20"/>
              <w:ind w:left="-57" w:right="-57"/>
              <w:jc w:val="right"/>
              <w:rPr>
                <w:rFonts w:ascii="Arial Narrow" w:hAnsi="Arial Narrow" w:cs="Arial"/>
                <w:sz w:val="18"/>
                <w:szCs w:val="18"/>
              </w:rPr>
            </w:pPr>
            <w:r w:rsidRPr="001F5534">
              <w:rPr>
                <w:rFonts w:ascii="Arial Narrow" w:hAnsi="Arial Narrow" w:cs="Arial"/>
                <w:sz w:val="18"/>
                <w:szCs w:val="18"/>
              </w:rPr>
              <w:t>1,699</w:t>
            </w:r>
          </w:p>
        </w:tc>
      </w:tr>
      <w:tr w:rsidR="001F5534" w:rsidRPr="001D29FC" w:rsidTr="00CE57C3">
        <w:tblPrEx>
          <w:tblBorders>
            <w:top w:val="single" w:sz="4" w:space="0" w:color="auto"/>
            <w:bottom w:val="single" w:sz="4" w:space="0" w:color="auto"/>
            <w:insideH w:val="single" w:sz="4" w:space="0" w:color="auto"/>
          </w:tblBorders>
          <w:tblCellMar>
            <w:left w:w="108" w:type="dxa"/>
            <w:right w:w="108" w:type="dxa"/>
          </w:tblCellMar>
          <w:tblLook w:val="01E0" w:firstRow="1" w:lastRow="1" w:firstColumn="1" w:lastColumn="1" w:noHBand="0" w:noVBand="0"/>
        </w:tblPrEx>
        <w:trPr>
          <w:trHeight w:val="284"/>
        </w:trPr>
        <w:tc>
          <w:tcPr>
            <w:tcW w:w="2123" w:type="dxa"/>
            <w:vAlign w:val="center"/>
          </w:tcPr>
          <w:p w:rsidR="001F5534" w:rsidRPr="001D29FC" w:rsidRDefault="001F5534" w:rsidP="001F5534">
            <w:pPr>
              <w:spacing w:before="40" w:after="20"/>
              <w:rPr>
                <w:rFonts w:ascii="Arial Narrow" w:hAnsi="Arial Narrow" w:cs="Arial"/>
                <w:sz w:val="18"/>
                <w:szCs w:val="18"/>
              </w:rPr>
            </w:pPr>
            <w:r w:rsidRPr="001D29FC">
              <w:rPr>
                <w:rFonts w:ascii="Arial Narrow" w:hAnsi="Arial Narrow" w:cs="Arial"/>
                <w:sz w:val="18"/>
                <w:szCs w:val="18"/>
              </w:rPr>
              <w:t>Servizi regolamentati</w:t>
            </w:r>
          </w:p>
        </w:tc>
        <w:tc>
          <w:tcPr>
            <w:tcW w:w="569" w:type="dxa"/>
            <w:shd w:val="clear" w:color="auto" w:fill="E6E6E6"/>
            <w:vAlign w:val="center"/>
          </w:tcPr>
          <w:p w:rsidR="001F5534" w:rsidRPr="001630C6" w:rsidRDefault="001F5534" w:rsidP="00CE57C3">
            <w:pPr>
              <w:spacing w:before="40" w:after="20"/>
              <w:ind w:left="-57" w:right="-57"/>
              <w:jc w:val="right"/>
              <w:rPr>
                <w:rFonts w:ascii="Arial Narrow" w:hAnsi="Arial Narrow" w:cs="Arial"/>
                <w:sz w:val="18"/>
                <w:szCs w:val="18"/>
              </w:rPr>
            </w:pPr>
            <w:r>
              <w:rPr>
                <w:rFonts w:ascii="Arial Narrow" w:hAnsi="Arial Narrow" w:cs="Arial"/>
                <w:sz w:val="18"/>
                <w:szCs w:val="18"/>
              </w:rPr>
              <w:t>+1,7</w:t>
            </w:r>
          </w:p>
        </w:tc>
        <w:tc>
          <w:tcPr>
            <w:tcW w:w="708" w:type="dxa"/>
            <w:vAlign w:val="center"/>
          </w:tcPr>
          <w:p w:rsidR="001F5534" w:rsidRPr="00C234BF" w:rsidRDefault="001F5534" w:rsidP="00CE57C3">
            <w:pPr>
              <w:spacing w:before="40" w:after="20"/>
              <w:ind w:left="-57" w:right="-46"/>
              <w:jc w:val="right"/>
              <w:rPr>
                <w:rFonts w:ascii="Arial Narrow" w:hAnsi="Arial Narrow" w:cs="Arial"/>
                <w:sz w:val="18"/>
                <w:szCs w:val="18"/>
              </w:rPr>
            </w:pPr>
            <w:r>
              <w:rPr>
                <w:rFonts w:ascii="Arial Narrow" w:hAnsi="Arial Narrow" w:cs="Arial"/>
                <w:sz w:val="18"/>
                <w:szCs w:val="18"/>
              </w:rPr>
              <w:t>+</w:t>
            </w:r>
            <w:r w:rsidRPr="00C234BF">
              <w:rPr>
                <w:rFonts w:ascii="Arial Narrow" w:hAnsi="Arial Narrow" w:cs="Arial"/>
                <w:sz w:val="18"/>
                <w:szCs w:val="18"/>
              </w:rPr>
              <w:t>0,9</w:t>
            </w:r>
          </w:p>
        </w:tc>
        <w:tc>
          <w:tcPr>
            <w:tcW w:w="711" w:type="dxa"/>
            <w:shd w:val="clear" w:color="auto" w:fill="D9D9D9" w:themeFill="background1" w:themeFillShade="D9"/>
            <w:vAlign w:val="center"/>
          </w:tcPr>
          <w:p w:rsidR="001F5534" w:rsidRPr="00C234BF" w:rsidRDefault="001F5534" w:rsidP="00CE57C3">
            <w:pPr>
              <w:spacing w:before="40" w:after="20"/>
              <w:ind w:left="-69" w:right="-58" w:firstLine="12"/>
              <w:jc w:val="right"/>
              <w:rPr>
                <w:rFonts w:ascii="Arial Narrow" w:hAnsi="Arial Narrow" w:cs="Arial"/>
                <w:sz w:val="18"/>
                <w:szCs w:val="18"/>
              </w:rPr>
            </w:pPr>
            <w:r>
              <w:rPr>
                <w:rFonts w:ascii="Arial Narrow" w:hAnsi="Arial Narrow" w:cs="Arial"/>
                <w:sz w:val="18"/>
                <w:szCs w:val="18"/>
              </w:rPr>
              <w:t>+</w:t>
            </w:r>
            <w:r w:rsidRPr="00C234BF">
              <w:rPr>
                <w:rFonts w:ascii="Arial Narrow" w:hAnsi="Arial Narrow" w:cs="Arial"/>
                <w:sz w:val="18"/>
                <w:szCs w:val="18"/>
              </w:rPr>
              <w:t>1,1</w:t>
            </w:r>
          </w:p>
        </w:tc>
        <w:tc>
          <w:tcPr>
            <w:tcW w:w="709" w:type="dxa"/>
            <w:vAlign w:val="center"/>
          </w:tcPr>
          <w:p w:rsidR="001F5534" w:rsidRPr="00C234BF" w:rsidRDefault="001F5534" w:rsidP="00CE57C3">
            <w:pPr>
              <w:spacing w:before="40" w:after="20"/>
              <w:ind w:left="-57" w:right="-57"/>
              <w:jc w:val="right"/>
              <w:rPr>
                <w:rFonts w:ascii="Arial Narrow" w:hAnsi="Arial Narrow" w:cs="Arial"/>
                <w:sz w:val="18"/>
                <w:szCs w:val="18"/>
              </w:rPr>
            </w:pPr>
            <w:r>
              <w:rPr>
                <w:rFonts w:ascii="Arial Narrow" w:hAnsi="Arial Narrow" w:cs="Arial"/>
                <w:sz w:val="18"/>
                <w:szCs w:val="18"/>
              </w:rPr>
              <w:t>+</w:t>
            </w:r>
            <w:r w:rsidRPr="00C234BF">
              <w:rPr>
                <w:rFonts w:ascii="Arial Narrow" w:hAnsi="Arial Narrow" w:cs="Arial"/>
                <w:sz w:val="18"/>
                <w:szCs w:val="18"/>
              </w:rPr>
              <w:t>1,4</w:t>
            </w:r>
          </w:p>
        </w:tc>
        <w:tc>
          <w:tcPr>
            <w:tcW w:w="709" w:type="dxa"/>
            <w:shd w:val="clear" w:color="auto" w:fill="D9D9D9" w:themeFill="background1" w:themeFillShade="D9"/>
            <w:vAlign w:val="center"/>
          </w:tcPr>
          <w:p w:rsidR="001F5534" w:rsidRPr="00C234BF" w:rsidRDefault="001F5534" w:rsidP="00CE57C3">
            <w:pPr>
              <w:spacing w:before="40" w:after="20"/>
              <w:ind w:left="-57" w:right="-57"/>
              <w:jc w:val="right"/>
              <w:rPr>
                <w:rFonts w:ascii="Arial Narrow" w:hAnsi="Arial Narrow" w:cs="Arial"/>
                <w:sz w:val="18"/>
                <w:szCs w:val="18"/>
              </w:rPr>
            </w:pPr>
            <w:r>
              <w:rPr>
                <w:rFonts w:ascii="Arial Narrow" w:hAnsi="Arial Narrow" w:cs="Arial"/>
                <w:sz w:val="18"/>
                <w:szCs w:val="18"/>
              </w:rPr>
              <w:t>+</w:t>
            </w:r>
            <w:r w:rsidRPr="00C234BF">
              <w:rPr>
                <w:rFonts w:ascii="Arial Narrow" w:hAnsi="Arial Narrow" w:cs="Arial"/>
                <w:sz w:val="18"/>
                <w:szCs w:val="18"/>
              </w:rPr>
              <w:t>1,8</w:t>
            </w:r>
          </w:p>
        </w:tc>
        <w:tc>
          <w:tcPr>
            <w:tcW w:w="708" w:type="dxa"/>
            <w:shd w:val="clear" w:color="auto" w:fill="auto"/>
            <w:vAlign w:val="center"/>
          </w:tcPr>
          <w:p w:rsidR="001F5534" w:rsidRPr="00601557" w:rsidRDefault="001F5534" w:rsidP="00CE57C3">
            <w:pPr>
              <w:spacing w:before="40" w:after="20"/>
              <w:ind w:left="-57" w:right="-57"/>
              <w:jc w:val="right"/>
              <w:rPr>
                <w:rFonts w:ascii="Arial Narrow" w:hAnsi="Arial Narrow" w:cs="Arial"/>
                <w:sz w:val="18"/>
                <w:szCs w:val="18"/>
              </w:rPr>
            </w:pPr>
            <w:r w:rsidRPr="00601557">
              <w:rPr>
                <w:rFonts w:ascii="Arial Narrow" w:hAnsi="Arial Narrow" w:cs="Arial"/>
                <w:sz w:val="18"/>
                <w:szCs w:val="18"/>
              </w:rPr>
              <w:t>+1,3</w:t>
            </w:r>
          </w:p>
        </w:tc>
        <w:tc>
          <w:tcPr>
            <w:tcW w:w="851" w:type="dxa"/>
            <w:shd w:val="clear" w:color="auto" w:fill="D9D9D9" w:themeFill="background1" w:themeFillShade="D9"/>
            <w:tcMar>
              <w:left w:w="170" w:type="dxa"/>
              <w:right w:w="170" w:type="dxa"/>
            </w:tcMar>
            <w:vAlign w:val="center"/>
          </w:tcPr>
          <w:p w:rsidR="001F5534" w:rsidRPr="00124675" w:rsidRDefault="001F5534" w:rsidP="00CE57C3">
            <w:pPr>
              <w:spacing w:before="40" w:after="20"/>
              <w:ind w:left="-57" w:right="-57"/>
              <w:jc w:val="right"/>
              <w:rPr>
                <w:rFonts w:ascii="Arial Narrow" w:hAnsi="Arial Narrow" w:cs="Arial"/>
                <w:sz w:val="18"/>
                <w:szCs w:val="18"/>
              </w:rPr>
            </w:pPr>
            <w:r w:rsidRPr="00124675">
              <w:rPr>
                <w:rFonts w:ascii="Arial Narrow" w:hAnsi="Arial Narrow" w:cs="Arial"/>
                <w:sz w:val="18"/>
                <w:szCs w:val="18"/>
              </w:rPr>
              <w:t>+0,3</w:t>
            </w:r>
          </w:p>
        </w:tc>
        <w:tc>
          <w:tcPr>
            <w:tcW w:w="851" w:type="dxa"/>
            <w:shd w:val="clear" w:color="auto" w:fill="auto"/>
            <w:tcMar>
              <w:left w:w="170" w:type="dxa"/>
              <w:right w:w="170" w:type="dxa"/>
            </w:tcMar>
            <w:vAlign w:val="center"/>
          </w:tcPr>
          <w:p w:rsidR="001F5534" w:rsidRPr="00AB32AF" w:rsidRDefault="001F5534" w:rsidP="00CE57C3">
            <w:pPr>
              <w:spacing w:before="40" w:after="20"/>
              <w:ind w:left="-57" w:right="-57"/>
              <w:jc w:val="right"/>
              <w:rPr>
                <w:rFonts w:ascii="Arial Narrow" w:hAnsi="Arial Narrow" w:cs="Arial"/>
                <w:sz w:val="18"/>
                <w:szCs w:val="18"/>
              </w:rPr>
            </w:pPr>
            <w:r w:rsidRPr="00AB32AF">
              <w:rPr>
                <w:rFonts w:ascii="Arial Narrow" w:hAnsi="Arial Narrow" w:cs="Arial"/>
                <w:sz w:val="18"/>
                <w:szCs w:val="18"/>
              </w:rPr>
              <w:t>+1,0</w:t>
            </w:r>
          </w:p>
        </w:tc>
        <w:tc>
          <w:tcPr>
            <w:tcW w:w="850" w:type="dxa"/>
            <w:shd w:val="clear" w:color="auto" w:fill="D9D9D9" w:themeFill="background1" w:themeFillShade="D9"/>
            <w:tcMar>
              <w:left w:w="170" w:type="dxa"/>
              <w:right w:w="170" w:type="dxa"/>
            </w:tcMar>
            <w:vAlign w:val="center"/>
          </w:tcPr>
          <w:p w:rsidR="001F5534" w:rsidRPr="00BF3917" w:rsidRDefault="001F5534" w:rsidP="00CE57C3">
            <w:pPr>
              <w:spacing w:before="40" w:after="20"/>
              <w:ind w:left="-57" w:right="-57"/>
              <w:jc w:val="right"/>
              <w:rPr>
                <w:rFonts w:ascii="Arial Narrow" w:hAnsi="Arial Narrow" w:cs="Arial"/>
                <w:sz w:val="18"/>
                <w:szCs w:val="18"/>
              </w:rPr>
            </w:pPr>
            <w:r>
              <w:rPr>
                <w:rFonts w:ascii="Arial Narrow" w:hAnsi="Arial Narrow" w:cs="Arial"/>
                <w:sz w:val="18"/>
                <w:szCs w:val="18"/>
              </w:rPr>
              <w:t>+0,8</w:t>
            </w:r>
          </w:p>
        </w:tc>
        <w:tc>
          <w:tcPr>
            <w:tcW w:w="1417" w:type="dxa"/>
            <w:vAlign w:val="center"/>
          </w:tcPr>
          <w:p w:rsidR="001F5534" w:rsidRPr="001F5534" w:rsidRDefault="001F5534" w:rsidP="00CE57C3">
            <w:pPr>
              <w:spacing w:before="40" w:after="20"/>
              <w:ind w:left="-57" w:right="-57"/>
              <w:jc w:val="right"/>
              <w:rPr>
                <w:rFonts w:ascii="Arial Narrow" w:hAnsi="Arial Narrow" w:cs="Arial"/>
                <w:sz w:val="18"/>
                <w:szCs w:val="18"/>
              </w:rPr>
            </w:pPr>
            <w:r w:rsidRPr="001F5534">
              <w:rPr>
                <w:rFonts w:ascii="Arial Narrow" w:hAnsi="Arial Narrow" w:cs="Arial"/>
                <w:sz w:val="18"/>
                <w:szCs w:val="18"/>
              </w:rPr>
              <w:t>0,069</w:t>
            </w:r>
          </w:p>
        </w:tc>
      </w:tr>
      <w:tr w:rsidR="001F5534" w:rsidRPr="001D29FC" w:rsidTr="00CE57C3">
        <w:tblPrEx>
          <w:tblBorders>
            <w:top w:val="single" w:sz="4" w:space="0" w:color="auto"/>
            <w:bottom w:val="single" w:sz="4" w:space="0" w:color="auto"/>
            <w:insideH w:val="single" w:sz="4" w:space="0" w:color="auto"/>
          </w:tblBorders>
          <w:tblCellMar>
            <w:left w:w="108" w:type="dxa"/>
            <w:right w:w="108" w:type="dxa"/>
          </w:tblCellMar>
          <w:tblLook w:val="01E0" w:firstRow="1" w:lastRow="1" w:firstColumn="1" w:lastColumn="1" w:noHBand="0" w:noVBand="0"/>
        </w:tblPrEx>
        <w:trPr>
          <w:trHeight w:val="284"/>
        </w:trPr>
        <w:tc>
          <w:tcPr>
            <w:tcW w:w="2123" w:type="dxa"/>
            <w:shd w:val="clear" w:color="auto" w:fill="A6A6A6" w:themeFill="background1" w:themeFillShade="A6"/>
            <w:vAlign w:val="center"/>
          </w:tcPr>
          <w:p w:rsidR="001F5534" w:rsidRPr="001D29FC" w:rsidRDefault="001F5534" w:rsidP="001F5534">
            <w:pPr>
              <w:spacing w:before="40" w:after="20"/>
              <w:rPr>
                <w:rFonts w:ascii="Arial Narrow" w:hAnsi="Arial Narrow" w:cs="Arial"/>
                <w:b/>
                <w:bCs/>
                <w:color w:val="FFFFFF" w:themeColor="background1"/>
                <w:sz w:val="18"/>
                <w:szCs w:val="18"/>
              </w:rPr>
            </w:pPr>
            <w:r w:rsidRPr="001D29FC">
              <w:rPr>
                <w:rFonts w:ascii="Arial Narrow" w:hAnsi="Arial Narrow" w:cs="Arial"/>
                <w:b/>
                <w:bCs/>
                <w:color w:val="FFFFFF" w:themeColor="background1"/>
                <w:sz w:val="18"/>
                <w:szCs w:val="18"/>
              </w:rPr>
              <w:t>Servizi</w:t>
            </w:r>
          </w:p>
        </w:tc>
        <w:tc>
          <w:tcPr>
            <w:tcW w:w="569" w:type="dxa"/>
            <w:shd w:val="clear" w:color="auto" w:fill="A6A6A6" w:themeFill="background1" w:themeFillShade="A6"/>
            <w:vAlign w:val="center"/>
          </w:tcPr>
          <w:p w:rsidR="001F5534" w:rsidRPr="00100C96" w:rsidRDefault="001F5534" w:rsidP="00CE57C3">
            <w:pPr>
              <w:spacing w:before="40" w:after="20"/>
              <w:ind w:left="-57" w:right="-57"/>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+3,0</w:t>
            </w:r>
          </w:p>
        </w:tc>
        <w:tc>
          <w:tcPr>
            <w:tcW w:w="708" w:type="dxa"/>
            <w:shd w:val="clear" w:color="auto" w:fill="A6A6A6" w:themeFill="background1" w:themeFillShade="A6"/>
            <w:vAlign w:val="center"/>
          </w:tcPr>
          <w:p w:rsidR="001F5534" w:rsidRPr="00100C96" w:rsidRDefault="001F5534" w:rsidP="00CE57C3">
            <w:pPr>
              <w:spacing w:before="40" w:after="20"/>
              <w:ind w:left="-57" w:right="-46"/>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+4,3</w:t>
            </w:r>
          </w:p>
        </w:tc>
        <w:tc>
          <w:tcPr>
            <w:tcW w:w="711" w:type="dxa"/>
            <w:shd w:val="clear" w:color="auto" w:fill="A6A6A6" w:themeFill="background1" w:themeFillShade="A6"/>
            <w:vAlign w:val="center"/>
          </w:tcPr>
          <w:p w:rsidR="001F5534" w:rsidRPr="00100C96" w:rsidRDefault="001F5534" w:rsidP="00CE57C3">
            <w:pPr>
              <w:spacing w:before="40" w:after="20"/>
              <w:ind w:left="-69" w:right="-58" w:firstLine="12"/>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+4,6</w:t>
            </w:r>
          </w:p>
        </w:tc>
        <w:tc>
          <w:tcPr>
            <w:tcW w:w="709" w:type="dxa"/>
            <w:shd w:val="clear" w:color="auto" w:fill="A6A6A6" w:themeFill="background1" w:themeFillShade="A6"/>
            <w:vAlign w:val="center"/>
          </w:tcPr>
          <w:p w:rsidR="001F5534" w:rsidRPr="00100C96" w:rsidRDefault="001F5534" w:rsidP="00CE57C3">
            <w:pPr>
              <w:spacing w:before="40" w:after="20"/>
              <w:ind w:left="-57" w:right="-57"/>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+3,9</w:t>
            </w:r>
          </w:p>
        </w:tc>
        <w:tc>
          <w:tcPr>
            <w:tcW w:w="709" w:type="dxa"/>
            <w:shd w:val="clear" w:color="auto" w:fill="A6A6A6" w:themeFill="background1" w:themeFillShade="A6"/>
            <w:vAlign w:val="center"/>
          </w:tcPr>
          <w:p w:rsidR="001F5534" w:rsidRPr="00100C96" w:rsidRDefault="001F5534" w:rsidP="00CE57C3">
            <w:pPr>
              <w:spacing w:before="40" w:after="20"/>
              <w:ind w:left="-57" w:right="-57"/>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+3,7</w:t>
            </w:r>
          </w:p>
        </w:tc>
        <w:tc>
          <w:tcPr>
            <w:tcW w:w="708" w:type="dxa"/>
            <w:shd w:val="clear" w:color="auto" w:fill="A6A6A6" w:themeFill="background1" w:themeFillShade="A6"/>
            <w:vAlign w:val="center"/>
          </w:tcPr>
          <w:p w:rsidR="001F5534" w:rsidRPr="00100C96" w:rsidRDefault="001F5534" w:rsidP="00CE57C3">
            <w:pPr>
              <w:spacing w:before="40" w:after="20"/>
              <w:ind w:left="-57" w:right="-57"/>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+4,2</w:t>
            </w:r>
          </w:p>
        </w:tc>
        <w:tc>
          <w:tcPr>
            <w:tcW w:w="851" w:type="dxa"/>
            <w:shd w:val="clear" w:color="auto" w:fill="A6A6A6" w:themeFill="background1" w:themeFillShade="A6"/>
            <w:tcMar>
              <w:left w:w="170" w:type="dxa"/>
              <w:right w:w="170" w:type="dxa"/>
            </w:tcMar>
            <w:vAlign w:val="center"/>
          </w:tcPr>
          <w:p w:rsidR="001F5534" w:rsidRPr="00100C96" w:rsidRDefault="001F5534" w:rsidP="00CE57C3">
            <w:pPr>
              <w:spacing w:before="40" w:after="20"/>
              <w:ind w:left="-57" w:right="-57"/>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+1,6</w:t>
            </w:r>
          </w:p>
        </w:tc>
        <w:tc>
          <w:tcPr>
            <w:tcW w:w="851" w:type="dxa"/>
            <w:shd w:val="clear" w:color="auto" w:fill="A6A6A6" w:themeFill="background1" w:themeFillShade="A6"/>
            <w:tcMar>
              <w:left w:w="170" w:type="dxa"/>
              <w:right w:w="170" w:type="dxa"/>
            </w:tcMar>
            <w:vAlign w:val="center"/>
          </w:tcPr>
          <w:p w:rsidR="001F5534" w:rsidRPr="00100C96" w:rsidRDefault="001F5534" w:rsidP="00CE57C3">
            <w:pPr>
              <w:spacing w:before="40" w:after="20"/>
              <w:ind w:left="-57" w:right="-57"/>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+2,5</w:t>
            </w:r>
          </w:p>
        </w:tc>
        <w:tc>
          <w:tcPr>
            <w:tcW w:w="850" w:type="dxa"/>
            <w:shd w:val="clear" w:color="auto" w:fill="A6A6A6" w:themeFill="background1" w:themeFillShade="A6"/>
            <w:tcMar>
              <w:left w:w="170" w:type="dxa"/>
              <w:right w:w="170" w:type="dxa"/>
            </w:tcMar>
            <w:vAlign w:val="center"/>
          </w:tcPr>
          <w:p w:rsidR="001F5534" w:rsidRPr="00100C96" w:rsidRDefault="001F5534" w:rsidP="00CE57C3">
            <w:pPr>
              <w:spacing w:before="40" w:after="20"/>
              <w:ind w:left="-57" w:right="-57"/>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+0,8</w:t>
            </w:r>
          </w:p>
        </w:tc>
        <w:tc>
          <w:tcPr>
            <w:tcW w:w="1417" w:type="dxa"/>
            <w:shd w:val="clear" w:color="auto" w:fill="A6A6A6" w:themeFill="background1" w:themeFillShade="A6"/>
            <w:vAlign w:val="center"/>
          </w:tcPr>
          <w:p w:rsidR="001F5534" w:rsidRPr="00267BA3" w:rsidRDefault="001F5534" w:rsidP="00CE57C3">
            <w:pPr>
              <w:spacing w:before="40" w:after="20"/>
              <w:ind w:left="-57" w:right="-57"/>
              <w:jc w:val="right"/>
              <w:rPr>
                <w:rFonts w:ascii="Arial Narrow" w:hAnsi="Arial Narrow" w:cs="Arial"/>
                <w:b/>
                <w:color w:val="FFFFFF" w:themeColor="background1"/>
                <w:sz w:val="18"/>
                <w:szCs w:val="18"/>
              </w:rPr>
            </w:pPr>
            <w:r w:rsidRPr="00267BA3">
              <w:rPr>
                <w:rFonts w:ascii="Arial Narrow" w:hAnsi="Arial Narrow" w:cs="Arial"/>
                <w:b/>
                <w:color w:val="FFFFFF" w:themeColor="background1"/>
                <w:sz w:val="18"/>
                <w:szCs w:val="18"/>
              </w:rPr>
              <w:t>1,768</w:t>
            </w:r>
          </w:p>
        </w:tc>
      </w:tr>
      <w:tr w:rsidR="001F5534" w:rsidRPr="001D29FC" w:rsidTr="00CE57C3">
        <w:tblPrEx>
          <w:tblBorders>
            <w:top w:val="single" w:sz="4" w:space="0" w:color="auto"/>
            <w:bottom w:val="single" w:sz="4" w:space="0" w:color="auto"/>
            <w:insideH w:val="single" w:sz="4" w:space="0" w:color="auto"/>
          </w:tblBorders>
          <w:tblCellMar>
            <w:left w:w="108" w:type="dxa"/>
            <w:right w:w="108" w:type="dxa"/>
          </w:tblCellMar>
          <w:tblLook w:val="01E0" w:firstRow="1" w:lastRow="1" w:firstColumn="1" w:lastColumn="1" w:noHBand="0" w:noVBand="0"/>
        </w:tblPrEx>
        <w:trPr>
          <w:trHeight w:val="284"/>
        </w:trPr>
        <w:tc>
          <w:tcPr>
            <w:tcW w:w="2123" w:type="dxa"/>
            <w:shd w:val="clear" w:color="auto" w:fill="FF0000"/>
            <w:vAlign w:val="center"/>
          </w:tcPr>
          <w:p w:rsidR="001F5534" w:rsidRPr="001D29FC" w:rsidRDefault="001F5534" w:rsidP="001F5534">
            <w:pPr>
              <w:spacing w:before="0" w:after="0"/>
              <w:rPr>
                <w:rFonts w:ascii="Arial" w:hAnsi="Arial" w:cs="Arial"/>
                <w:bCs/>
                <w:sz w:val="18"/>
                <w:szCs w:val="18"/>
              </w:rPr>
            </w:pPr>
            <w:r w:rsidRPr="001D29FC">
              <w:rPr>
                <w:rFonts w:ascii="Arial Narrow" w:hAnsi="Arial Narrow" w:cs="Arial"/>
                <w:b/>
                <w:bCs/>
                <w:color w:val="FFFFFF"/>
                <w:sz w:val="18"/>
                <w:szCs w:val="18"/>
              </w:rPr>
              <w:t>Indice generale</w:t>
            </w:r>
          </w:p>
        </w:tc>
        <w:tc>
          <w:tcPr>
            <w:tcW w:w="569" w:type="dxa"/>
            <w:shd w:val="clear" w:color="auto" w:fill="FF0000"/>
            <w:vAlign w:val="center"/>
          </w:tcPr>
          <w:p w:rsidR="001F5534" w:rsidRPr="00100C96" w:rsidRDefault="001F5534" w:rsidP="00CE57C3">
            <w:pPr>
              <w:spacing w:before="40" w:after="20"/>
              <w:ind w:left="-57" w:right="-57"/>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+8,1</w:t>
            </w:r>
          </w:p>
        </w:tc>
        <w:tc>
          <w:tcPr>
            <w:tcW w:w="708" w:type="dxa"/>
            <w:shd w:val="clear" w:color="auto" w:fill="FF0000"/>
            <w:vAlign w:val="center"/>
          </w:tcPr>
          <w:p w:rsidR="001F5534" w:rsidRPr="00100C96" w:rsidRDefault="001F5534" w:rsidP="00CE57C3">
            <w:pPr>
              <w:spacing w:before="40" w:after="20"/>
              <w:ind w:left="-57" w:right="-46"/>
              <w:jc w:val="right"/>
              <w:rPr>
                <w:rFonts w:ascii="Arial Narrow" w:hAnsi="Arial Narrow" w:cs="Arial"/>
                <w:b/>
                <w:color w:val="FFFFFF" w:themeColor="background1"/>
                <w:sz w:val="18"/>
                <w:szCs w:val="18"/>
              </w:rPr>
            </w:pPr>
            <w:r>
              <w:rPr>
                <w:rFonts w:ascii="Arial Narrow" w:hAnsi="Arial Narrow" w:cs="Arial"/>
                <w:b/>
                <w:color w:val="FFFFFF" w:themeColor="background1"/>
                <w:sz w:val="18"/>
                <w:szCs w:val="18"/>
              </w:rPr>
              <w:t>+</w:t>
            </w:r>
            <w:r w:rsidRPr="00100C96">
              <w:rPr>
                <w:rFonts w:ascii="Arial Narrow" w:hAnsi="Arial Narrow" w:cs="Arial"/>
                <w:b/>
                <w:color w:val="FFFFFF" w:themeColor="background1"/>
                <w:sz w:val="18"/>
                <w:szCs w:val="18"/>
              </w:rPr>
              <w:t>9,1</w:t>
            </w:r>
          </w:p>
        </w:tc>
        <w:tc>
          <w:tcPr>
            <w:tcW w:w="711" w:type="dxa"/>
            <w:shd w:val="clear" w:color="auto" w:fill="FF0000"/>
            <w:vAlign w:val="center"/>
          </w:tcPr>
          <w:p w:rsidR="001F5534" w:rsidRPr="00100C96" w:rsidRDefault="001F5534" w:rsidP="00CE57C3">
            <w:pPr>
              <w:spacing w:before="40" w:after="20"/>
              <w:ind w:left="-69" w:right="-58" w:firstLine="12"/>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+7,5</w:t>
            </w:r>
          </w:p>
        </w:tc>
        <w:tc>
          <w:tcPr>
            <w:tcW w:w="709" w:type="dxa"/>
            <w:shd w:val="clear" w:color="auto" w:fill="FF0000"/>
            <w:vAlign w:val="center"/>
          </w:tcPr>
          <w:p w:rsidR="001F5534" w:rsidRPr="00100C96" w:rsidRDefault="001F5534" w:rsidP="00CE57C3">
            <w:pPr>
              <w:spacing w:before="40" w:after="20"/>
              <w:ind w:left="-57" w:right="-57"/>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+5,8</w:t>
            </w:r>
          </w:p>
        </w:tc>
        <w:tc>
          <w:tcPr>
            <w:tcW w:w="709" w:type="dxa"/>
            <w:shd w:val="clear" w:color="auto" w:fill="FF0000"/>
            <w:vAlign w:val="center"/>
          </w:tcPr>
          <w:p w:rsidR="001F5534" w:rsidRPr="00100C96" w:rsidRDefault="001F5534" w:rsidP="00CE57C3">
            <w:pPr>
              <w:spacing w:before="40" w:after="20"/>
              <w:ind w:left="-57" w:right="-57"/>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+1,1</w:t>
            </w:r>
          </w:p>
        </w:tc>
        <w:tc>
          <w:tcPr>
            <w:tcW w:w="708" w:type="dxa"/>
            <w:shd w:val="clear" w:color="auto" w:fill="FF0000"/>
            <w:vAlign w:val="center"/>
          </w:tcPr>
          <w:p w:rsidR="001F5534" w:rsidRPr="00100C96" w:rsidRDefault="001F5534" w:rsidP="00CE57C3">
            <w:pPr>
              <w:spacing w:before="40" w:after="20"/>
              <w:ind w:left="-57" w:right="-57"/>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+5,7</w:t>
            </w:r>
          </w:p>
        </w:tc>
        <w:tc>
          <w:tcPr>
            <w:tcW w:w="851" w:type="dxa"/>
            <w:shd w:val="clear" w:color="auto" w:fill="FF0000"/>
            <w:tcMar>
              <w:left w:w="170" w:type="dxa"/>
              <w:right w:w="170" w:type="dxa"/>
            </w:tcMar>
            <w:vAlign w:val="center"/>
          </w:tcPr>
          <w:p w:rsidR="001F5534" w:rsidRPr="00100C96" w:rsidRDefault="001F5534" w:rsidP="00CE57C3">
            <w:pPr>
              <w:spacing w:before="40" w:after="20"/>
              <w:ind w:left="-57" w:right="-57"/>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+5,1</w:t>
            </w:r>
          </w:p>
        </w:tc>
        <w:tc>
          <w:tcPr>
            <w:tcW w:w="851" w:type="dxa"/>
            <w:shd w:val="clear" w:color="auto" w:fill="FF0000"/>
            <w:tcMar>
              <w:left w:w="170" w:type="dxa"/>
              <w:right w:w="170" w:type="dxa"/>
            </w:tcMar>
            <w:vAlign w:val="center"/>
          </w:tcPr>
          <w:p w:rsidR="001F5534" w:rsidRPr="00100C96" w:rsidRDefault="001F5534" w:rsidP="00CE57C3">
            <w:pPr>
              <w:spacing w:before="40" w:after="20"/>
              <w:ind w:left="-57" w:right="-57"/>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+0,5</w:t>
            </w:r>
          </w:p>
        </w:tc>
        <w:tc>
          <w:tcPr>
            <w:tcW w:w="850" w:type="dxa"/>
            <w:shd w:val="clear" w:color="auto" w:fill="FF0000"/>
            <w:tcMar>
              <w:left w:w="170" w:type="dxa"/>
              <w:right w:w="170" w:type="dxa"/>
            </w:tcMar>
            <w:vAlign w:val="center"/>
          </w:tcPr>
          <w:p w:rsidR="001F5534" w:rsidRPr="00100C96" w:rsidRDefault="001F5534" w:rsidP="00CE57C3">
            <w:pPr>
              <w:spacing w:before="40" w:after="20"/>
              <w:ind w:left="-57" w:right="-57"/>
              <w:jc w:val="right"/>
              <w:rPr>
                <w:rFonts w:ascii="Arial Narrow" w:hAnsi="Arial Narrow" w:cs="Arial"/>
                <w:b/>
                <w:color w:val="FFFFFF" w:themeColor="background1"/>
                <w:sz w:val="18"/>
                <w:szCs w:val="18"/>
              </w:rPr>
            </w:pPr>
            <w:r w:rsidRPr="00100C96">
              <w:rPr>
                <w:rFonts w:ascii="Arial Narrow" w:hAnsi="Arial Narrow" w:cs="Arial"/>
                <w:b/>
                <w:color w:val="FFFFFF" w:themeColor="background1"/>
                <w:sz w:val="18"/>
                <w:szCs w:val="18"/>
              </w:rPr>
              <w:t>+0,1</w:t>
            </w:r>
          </w:p>
        </w:tc>
        <w:tc>
          <w:tcPr>
            <w:tcW w:w="1417" w:type="dxa"/>
            <w:shd w:val="clear" w:color="auto" w:fill="FF0000"/>
            <w:vAlign w:val="center"/>
          </w:tcPr>
          <w:p w:rsidR="001F5534" w:rsidRPr="00267BA3" w:rsidRDefault="001F5534" w:rsidP="00CE57C3">
            <w:pPr>
              <w:spacing w:before="40" w:after="20"/>
              <w:ind w:left="-57" w:right="-57"/>
              <w:jc w:val="right"/>
              <w:rPr>
                <w:rFonts w:ascii="Arial Narrow" w:hAnsi="Arial Narrow" w:cs="Arial"/>
                <w:b/>
                <w:color w:val="FFFFFF" w:themeColor="background1"/>
                <w:sz w:val="18"/>
                <w:szCs w:val="18"/>
              </w:rPr>
            </w:pPr>
          </w:p>
        </w:tc>
      </w:tr>
    </w:tbl>
    <w:p w:rsidR="0087369D" w:rsidRPr="00AA0C22" w:rsidRDefault="00FF2F4C" w:rsidP="00AA0C22">
      <w:pPr>
        <w:spacing w:before="0" w:after="120"/>
        <w:jc w:val="both"/>
        <w:rPr>
          <w:rFonts w:ascii="Arial Narrow" w:hAnsi="Arial Narrow" w:cs="Arial"/>
          <w:sz w:val="15"/>
          <w:szCs w:val="15"/>
        </w:rPr>
      </w:pPr>
      <w:r w:rsidRPr="001D29FC">
        <w:rPr>
          <w:rFonts w:ascii="Arial Narrow" w:hAnsi="Arial Narrow" w:cs="Arial"/>
          <w:sz w:val="15"/>
          <w:szCs w:val="15"/>
        </w:rPr>
        <w:t xml:space="preserve">Per il calcolo dei tassi di inflazione ereditato e proprio </w:t>
      </w:r>
      <w:r w:rsidRPr="001D29FC">
        <w:rPr>
          <w:rFonts w:ascii="Arial Narrow" w:hAnsi="Arial Narrow" w:cs="Arial"/>
          <w:i/>
          <w:sz w:val="15"/>
          <w:szCs w:val="15"/>
        </w:rPr>
        <w:t>Cfr</w:t>
      </w:r>
      <w:r w:rsidRPr="001D29FC">
        <w:rPr>
          <w:rFonts w:ascii="Arial Narrow" w:hAnsi="Arial Narrow" w:cs="Arial"/>
          <w:sz w:val="15"/>
          <w:szCs w:val="15"/>
        </w:rPr>
        <w:t xml:space="preserve">. il Glossario. </w:t>
      </w:r>
    </w:p>
    <w:p w:rsidR="00857F6C" w:rsidRPr="001D6772" w:rsidRDefault="00857F6C" w:rsidP="00911F21">
      <w:pPr>
        <w:tabs>
          <w:tab w:val="left" w:pos="2940"/>
        </w:tabs>
        <w:spacing w:before="0" w:after="0"/>
        <w:jc w:val="both"/>
        <w:rPr>
          <w:rFonts w:ascii="Arial" w:hAnsi="Arial" w:cs="Arial"/>
          <w:bCs/>
          <w:sz w:val="16"/>
          <w:szCs w:val="16"/>
        </w:rPr>
      </w:pPr>
    </w:p>
    <w:p w:rsidR="002A1858" w:rsidRPr="00C8504B" w:rsidRDefault="00857F6C" w:rsidP="002A1858">
      <w:pPr>
        <w:pStyle w:val="Corpotesto"/>
        <w:tabs>
          <w:tab w:val="left" w:pos="6237"/>
        </w:tabs>
        <w:spacing w:after="120" w:line="240" w:lineRule="exact"/>
        <w:jc w:val="both"/>
        <w:rPr>
          <w:rFonts w:ascii="Arial Narrow" w:hAnsi="Arial Narrow" w:cs="Arial"/>
          <w:color w:val="5F5F5F"/>
        </w:rPr>
      </w:pPr>
      <w:r>
        <w:rPr>
          <w:rFonts w:ascii="Arial Narrow" w:hAnsi="Arial Narrow" w:cs="Arial"/>
          <w:b/>
          <w:color w:val="E42618"/>
          <w:sz w:val="22"/>
          <w:szCs w:val="22"/>
        </w:rPr>
        <w:t>PROSPETTO 9</w:t>
      </w:r>
      <w:r w:rsidRPr="00C8504B">
        <w:rPr>
          <w:rFonts w:ascii="Arial Narrow" w:hAnsi="Arial Narrow" w:cs="Arial"/>
          <w:b/>
          <w:color w:val="E42618"/>
          <w:sz w:val="22"/>
          <w:szCs w:val="22"/>
        </w:rPr>
        <w:t>.</w:t>
      </w:r>
      <w:r w:rsidRPr="00C8504B">
        <w:rPr>
          <w:rFonts w:ascii="Arial Narrow" w:hAnsi="Arial Narrow" w:cs="Arial"/>
          <w:b/>
          <w:color w:val="2298D1"/>
          <w:sz w:val="22"/>
          <w:szCs w:val="22"/>
        </w:rPr>
        <w:t xml:space="preserve"> </w:t>
      </w:r>
      <w:r w:rsidRPr="00C8504B">
        <w:rPr>
          <w:rFonts w:ascii="Arial Narrow" w:hAnsi="Arial Narrow" w:cs="Calibri"/>
          <w:b/>
          <w:bCs/>
          <w:color w:val="5F5F5F"/>
          <w:kern w:val="0"/>
          <w:sz w:val="22"/>
          <w:szCs w:val="22"/>
        </w:rPr>
        <w:t>INDICI DEI PREZZI AL CONSUMO NIC</w:t>
      </w:r>
      <w:r w:rsidRPr="00857F6C">
        <w:rPr>
          <w:rFonts w:ascii="Arial Narrow" w:hAnsi="Arial Narrow" w:cs="Calibri"/>
          <w:b/>
          <w:bCs/>
          <w:color w:val="5F5F5F"/>
          <w:kern w:val="0"/>
          <w:sz w:val="22"/>
          <w:szCs w:val="22"/>
        </w:rPr>
        <w:t xml:space="preserve"> PER PRODOTTI A DIVERSA FREQUENZA DI ACQUISTO</w:t>
      </w:r>
      <w:r w:rsidRPr="00C8504B">
        <w:rPr>
          <w:rFonts w:ascii="Arial Narrow" w:hAnsi="Arial Narrow" w:cs="Arial"/>
          <w:b/>
          <w:caps/>
          <w:color w:val="5F5F5F"/>
        </w:rPr>
        <w:br/>
      </w:r>
      <w:r w:rsidR="00D64124">
        <w:rPr>
          <w:rFonts w:ascii="Arial Narrow" w:hAnsi="Arial Narrow" w:cs="Arial"/>
          <w:color w:val="5F5F5F"/>
        </w:rPr>
        <w:t>Anno 202</w:t>
      </w:r>
      <w:r w:rsidR="00343A75">
        <w:rPr>
          <w:rFonts w:ascii="Arial Narrow" w:hAnsi="Arial Narrow" w:cs="Arial"/>
          <w:color w:val="5F5F5F"/>
        </w:rPr>
        <w:t>3</w:t>
      </w:r>
      <w:r w:rsidR="002A1858" w:rsidRPr="001A7A55">
        <w:rPr>
          <w:rFonts w:ascii="Arial Narrow" w:hAnsi="Arial Narrow" w:cs="Arial"/>
          <w:color w:val="5F5F5F"/>
        </w:rPr>
        <w:t>, variazioni percentuali tendenziali e contributi alla variazione tendenziale dell’indice generale (base 2015=100)</w:t>
      </w:r>
      <w:r w:rsidR="002A1858" w:rsidRPr="00C8504B">
        <w:rPr>
          <w:rFonts w:ascii="Arial Narrow" w:hAnsi="Arial Narrow" w:cs="Arial"/>
          <w:color w:val="5F5F5F"/>
        </w:rPr>
        <w:t xml:space="preserve"> </w:t>
      </w:r>
    </w:p>
    <w:tbl>
      <w:tblPr>
        <w:tblW w:w="10206" w:type="dxa"/>
        <w:tblInd w:w="70" w:type="dxa"/>
        <w:tblBorders>
          <w:top w:val="single" w:sz="4" w:space="0" w:color="000000"/>
          <w:bottom w:val="single" w:sz="4" w:space="0" w:color="000000"/>
          <w:insideH w:val="single" w:sz="4" w:space="0" w:color="000000"/>
        </w:tblBorders>
        <w:tblLayout w:type="fixed"/>
        <w:tblCellMar>
          <w:left w:w="70" w:type="dxa"/>
          <w:right w:w="0" w:type="dxa"/>
        </w:tblCellMar>
        <w:tblLook w:val="0000" w:firstRow="0" w:lastRow="0" w:firstColumn="0" w:lastColumn="0" w:noHBand="0" w:noVBand="0"/>
      </w:tblPr>
      <w:tblGrid>
        <w:gridCol w:w="2125"/>
        <w:gridCol w:w="710"/>
        <w:gridCol w:w="567"/>
        <w:gridCol w:w="709"/>
        <w:gridCol w:w="567"/>
        <w:gridCol w:w="709"/>
        <w:gridCol w:w="568"/>
        <w:gridCol w:w="991"/>
        <w:gridCol w:w="851"/>
        <w:gridCol w:w="850"/>
        <w:gridCol w:w="1559"/>
      </w:tblGrid>
      <w:tr w:rsidR="003B3E1E" w:rsidRPr="00C8504B" w:rsidTr="002A1858">
        <w:trPr>
          <w:trHeight w:val="311"/>
        </w:trPr>
        <w:tc>
          <w:tcPr>
            <w:tcW w:w="2125" w:type="dxa"/>
            <w:vMerge w:val="restart"/>
            <w:vAlign w:val="center"/>
          </w:tcPr>
          <w:p w:rsidR="003B3E1E" w:rsidRPr="00C8504B" w:rsidRDefault="003B3E1E" w:rsidP="003B3E1E">
            <w:pPr>
              <w:spacing w:before="40" w:after="20"/>
              <w:rPr>
                <w:rFonts w:ascii="Arial Narrow" w:hAnsi="Arial Narrow" w:cs="Arial"/>
                <w:bCs/>
                <w:sz w:val="18"/>
                <w:szCs w:val="18"/>
              </w:rPr>
            </w:pPr>
            <w:r w:rsidRPr="00C8504B">
              <w:rPr>
                <w:rFonts w:ascii="Arial Narrow" w:hAnsi="Arial Narrow" w:cs="Arial"/>
                <w:b/>
                <w:bCs/>
                <w:sz w:val="18"/>
                <w:szCs w:val="18"/>
              </w:rPr>
              <w:t>TIPOLOGIE DI PRODOTTO</w:t>
            </w:r>
          </w:p>
        </w:tc>
        <w:tc>
          <w:tcPr>
            <w:tcW w:w="3830" w:type="dxa"/>
            <w:gridSpan w:val="6"/>
            <w:shd w:val="clear" w:color="auto" w:fill="auto"/>
            <w:vAlign w:val="center"/>
          </w:tcPr>
          <w:p w:rsidR="003B3E1E" w:rsidRPr="008814F3" w:rsidRDefault="003B3E1E" w:rsidP="003B3E1E">
            <w:pPr>
              <w:spacing w:before="40" w:after="20"/>
              <w:ind w:right="57"/>
              <w:jc w:val="center"/>
              <w:rPr>
                <w:rFonts w:ascii="Arial Narrow" w:hAnsi="Arial Narrow" w:cs="Arial"/>
                <w:b/>
                <w:bCs/>
                <w:kern w:val="0"/>
                <w:sz w:val="18"/>
                <w:szCs w:val="18"/>
              </w:rPr>
            </w:pPr>
            <w:r>
              <w:rPr>
                <w:rFonts w:ascii="Arial Narrow" w:hAnsi="Arial Narrow" w:cs="Arial"/>
                <w:b/>
                <w:bCs/>
                <w:kern w:val="0"/>
                <w:sz w:val="18"/>
                <w:szCs w:val="18"/>
              </w:rPr>
              <w:t>V</w:t>
            </w:r>
            <w:r w:rsidRPr="00E35895">
              <w:rPr>
                <w:rFonts w:ascii="Arial Narrow" w:hAnsi="Arial Narrow" w:cs="Arial"/>
                <w:b/>
                <w:bCs/>
                <w:kern w:val="0"/>
                <w:sz w:val="18"/>
                <w:szCs w:val="18"/>
              </w:rPr>
              <w:t>ariazioni medi</w:t>
            </w:r>
            <w:r>
              <w:rPr>
                <w:rFonts w:ascii="Arial Narrow" w:hAnsi="Arial Narrow" w:cs="Arial"/>
                <w:b/>
                <w:bCs/>
                <w:kern w:val="0"/>
                <w:sz w:val="18"/>
                <w:szCs w:val="18"/>
              </w:rPr>
              <w:t>e</w:t>
            </w:r>
          </w:p>
        </w:tc>
        <w:tc>
          <w:tcPr>
            <w:tcW w:w="991" w:type="dxa"/>
            <w:vMerge w:val="restart"/>
            <w:shd w:val="clear" w:color="auto" w:fill="D9D9D9" w:themeFill="background1" w:themeFillShade="D9"/>
            <w:vAlign w:val="center"/>
          </w:tcPr>
          <w:p w:rsidR="003B3E1E" w:rsidRPr="00FD599C" w:rsidRDefault="003B3E1E" w:rsidP="003B3E1E">
            <w:pPr>
              <w:spacing w:before="40" w:after="20"/>
              <w:ind w:right="57"/>
              <w:jc w:val="center"/>
              <w:rPr>
                <w:rFonts w:ascii="Arial Narrow" w:hAnsi="Arial Narrow" w:cs="Arial"/>
                <w:b/>
                <w:bCs/>
                <w:kern w:val="0"/>
                <w:sz w:val="18"/>
                <w:szCs w:val="18"/>
              </w:rPr>
            </w:pPr>
            <w:r w:rsidRPr="00FD599C">
              <w:rPr>
                <w:rFonts w:ascii="Arial Narrow" w:hAnsi="Arial Narrow" w:cs="Arial"/>
                <w:b/>
                <w:bCs/>
                <w:kern w:val="0"/>
                <w:sz w:val="18"/>
                <w:szCs w:val="18"/>
              </w:rPr>
              <w:t>Inflazione ereditata</w:t>
            </w:r>
            <w:r>
              <w:rPr>
                <w:rFonts w:ascii="Arial Narrow" w:hAnsi="Arial Narrow" w:cs="Arial"/>
                <w:b/>
                <w:bCs/>
                <w:kern w:val="0"/>
                <w:sz w:val="18"/>
                <w:szCs w:val="18"/>
              </w:rPr>
              <w:t xml:space="preserve">      dal 202</w:t>
            </w:r>
            <w:r w:rsidR="009E1719">
              <w:rPr>
                <w:rFonts w:ascii="Arial Narrow" w:hAnsi="Arial Narrow" w:cs="Arial"/>
                <w:b/>
                <w:bCs/>
                <w:kern w:val="0"/>
                <w:sz w:val="18"/>
                <w:szCs w:val="18"/>
              </w:rPr>
              <w:t>2</w:t>
            </w:r>
          </w:p>
        </w:tc>
        <w:tc>
          <w:tcPr>
            <w:tcW w:w="851" w:type="dxa"/>
            <w:vMerge w:val="restart"/>
            <w:vAlign w:val="center"/>
          </w:tcPr>
          <w:p w:rsidR="003B3E1E" w:rsidRPr="00FD599C" w:rsidRDefault="003B3E1E" w:rsidP="003B3E1E">
            <w:pPr>
              <w:spacing w:before="40" w:after="20"/>
              <w:ind w:left="-64"/>
              <w:jc w:val="center"/>
              <w:rPr>
                <w:rFonts w:ascii="Arial Narrow" w:hAnsi="Arial Narrow" w:cs="Arial"/>
                <w:b/>
                <w:bCs/>
                <w:kern w:val="0"/>
                <w:sz w:val="18"/>
                <w:szCs w:val="18"/>
              </w:rPr>
            </w:pPr>
            <w:r>
              <w:rPr>
                <w:rFonts w:ascii="Arial Narrow" w:hAnsi="Arial Narrow" w:cs="Arial"/>
                <w:b/>
                <w:bCs/>
                <w:kern w:val="0"/>
                <w:sz w:val="18"/>
                <w:szCs w:val="18"/>
              </w:rPr>
              <w:t>Inflazio</w:t>
            </w:r>
            <w:r w:rsidRPr="00FD599C">
              <w:rPr>
                <w:rFonts w:ascii="Arial Narrow" w:hAnsi="Arial Narrow" w:cs="Arial"/>
                <w:b/>
                <w:bCs/>
                <w:kern w:val="0"/>
                <w:sz w:val="18"/>
                <w:szCs w:val="18"/>
              </w:rPr>
              <w:t>ne propria</w:t>
            </w:r>
          </w:p>
        </w:tc>
        <w:tc>
          <w:tcPr>
            <w:tcW w:w="850" w:type="dxa"/>
            <w:vMerge w:val="restart"/>
            <w:shd w:val="clear" w:color="auto" w:fill="D9D9D9" w:themeFill="background1" w:themeFillShade="D9"/>
            <w:vAlign w:val="center"/>
          </w:tcPr>
          <w:p w:rsidR="003B3E1E" w:rsidRPr="00FD599C" w:rsidRDefault="003B3E1E" w:rsidP="009E1719">
            <w:pPr>
              <w:spacing w:before="40" w:after="20"/>
              <w:ind w:right="57"/>
              <w:jc w:val="center"/>
              <w:rPr>
                <w:rFonts w:ascii="Arial Narrow" w:hAnsi="Arial Narrow" w:cs="Arial"/>
                <w:b/>
                <w:bCs/>
                <w:kern w:val="0"/>
                <w:sz w:val="18"/>
                <w:szCs w:val="18"/>
              </w:rPr>
            </w:pPr>
            <w:r>
              <w:rPr>
                <w:rFonts w:ascii="Arial Narrow" w:hAnsi="Arial Narrow" w:cs="Arial"/>
                <w:b/>
                <w:bCs/>
                <w:kern w:val="0"/>
                <w:sz w:val="18"/>
                <w:szCs w:val="18"/>
              </w:rPr>
              <w:t>Trascina-mento                  al 202</w:t>
            </w:r>
            <w:r w:rsidR="009E1719">
              <w:rPr>
                <w:rFonts w:ascii="Arial Narrow" w:hAnsi="Arial Narrow" w:cs="Arial"/>
                <w:b/>
                <w:bCs/>
                <w:kern w:val="0"/>
                <w:sz w:val="18"/>
                <w:szCs w:val="18"/>
              </w:rPr>
              <w:t>4</w:t>
            </w:r>
          </w:p>
        </w:tc>
        <w:tc>
          <w:tcPr>
            <w:tcW w:w="1559" w:type="dxa"/>
            <w:vMerge w:val="restart"/>
            <w:shd w:val="clear" w:color="auto" w:fill="auto"/>
          </w:tcPr>
          <w:p w:rsidR="003B3E1E" w:rsidRDefault="003B3E1E" w:rsidP="003B3E1E">
            <w:pPr>
              <w:spacing w:before="40" w:after="20"/>
              <w:ind w:right="57"/>
              <w:jc w:val="center"/>
              <w:rPr>
                <w:rFonts w:ascii="Arial Narrow" w:hAnsi="Arial Narrow" w:cs="Arial"/>
                <w:b/>
                <w:bCs/>
                <w:kern w:val="0"/>
                <w:sz w:val="18"/>
                <w:szCs w:val="18"/>
              </w:rPr>
            </w:pPr>
            <w:r>
              <w:rPr>
                <w:rFonts w:ascii="Arial Narrow" w:hAnsi="Arial Narrow" w:cs="Arial"/>
                <w:b/>
                <w:bCs/>
                <w:kern w:val="0"/>
                <w:sz w:val="18"/>
                <w:szCs w:val="18"/>
              </w:rPr>
              <w:t>C</w:t>
            </w:r>
            <w:r w:rsidRPr="00D164E5">
              <w:rPr>
                <w:rFonts w:ascii="Arial Narrow" w:hAnsi="Arial Narrow" w:cs="Arial"/>
                <w:b/>
                <w:bCs/>
                <w:kern w:val="0"/>
                <w:sz w:val="18"/>
                <w:szCs w:val="18"/>
              </w:rPr>
              <w:t>ontributi alla variazione media annua dell’indice generale</w:t>
            </w:r>
          </w:p>
        </w:tc>
      </w:tr>
      <w:tr w:rsidR="003B3E1E" w:rsidRPr="00C8504B" w:rsidTr="002A1858">
        <w:trPr>
          <w:trHeight w:val="311"/>
        </w:trPr>
        <w:tc>
          <w:tcPr>
            <w:tcW w:w="2125" w:type="dxa"/>
            <w:vMerge/>
            <w:vAlign w:val="center"/>
          </w:tcPr>
          <w:p w:rsidR="003B3E1E" w:rsidRPr="00C8504B" w:rsidRDefault="003B3E1E" w:rsidP="003B3E1E">
            <w:pPr>
              <w:spacing w:before="40" w:after="20"/>
              <w:rPr>
                <w:rFonts w:ascii="Arial Narrow" w:hAnsi="Arial Narrow" w:cs="Arial"/>
                <w:b/>
                <w:bCs/>
                <w:sz w:val="18"/>
                <w:szCs w:val="18"/>
              </w:rPr>
            </w:pPr>
          </w:p>
        </w:tc>
        <w:tc>
          <w:tcPr>
            <w:tcW w:w="710" w:type="dxa"/>
            <w:shd w:val="clear" w:color="auto" w:fill="D9D9D9" w:themeFill="background1" w:themeFillShade="D9"/>
            <w:vAlign w:val="center"/>
          </w:tcPr>
          <w:p w:rsidR="003B3E1E" w:rsidRDefault="009E1719" w:rsidP="003B3E1E">
            <w:pPr>
              <w:widowControl/>
              <w:overflowPunct/>
              <w:autoSpaceDE/>
              <w:autoSpaceDN/>
              <w:adjustRightInd/>
              <w:spacing w:before="40" w:after="20"/>
              <w:jc w:val="center"/>
              <w:rPr>
                <w:rFonts w:ascii="Arial Narrow" w:hAnsi="Arial Narrow" w:cs="Arial"/>
                <w:kern w:val="0"/>
                <w:sz w:val="18"/>
                <w:szCs w:val="18"/>
                <w:u w:val="single"/>
              </w:rPr>
            </w:pPr>
            <w:r>
              <w:rPr>
                <w:rFonts w:ascii="Arial Narrow" w:hAnsi="Arial Narrow" w:cs="Arial"/>
                <w:kern w:val="0"/>
                <w:sz w:val="18"/>
                <w:szCs w:val="18"/>
                <w:u w:val="single"/>
              </w:rPr>
              <w:t>2022</w:t>
            </w:r>
          </w:p>
          <w:p w:rsidR="003B3E1E" w:rsidRPr="008814F3" w:rsidRDefault="003B3E1E" w:rsidP="003B3E1E">
            <w:pPr>
              <w:widowControl/>
              <w:overflowPunct/>
              <w:autoSpaceDE/>
              <w:autoSpaceDN/>
              <w:adjustRightInd/>
              <w:spacing w:before="40" w:after="20"/>
              <w:jc w:val="center"/>
              <w:rPr>
                <w:rFonts w:ascii="Arial Narrow" w:hAnsi="Arial Narrow" w:cs="Arial"/>
                <w:b/>
                <w:bCs/>
                <w:kern w:val="0"/>
                <w:sz w:val="18"/>
                <w:szCs w:val="18"/>
              </w:rPr>
            </w:pPr>
            <w:r>
              <w:rPr>
                <w:rFonts w:ascii="Arial Narrow" w:hAnsi="Arial Narrow" w:cs="Arial"/>
                <w:kern w:val="0"/>
                <w:sz w:val="18"/>
                <w:szCs w:val="18"/>
              </w:rPr>
              <w:t>202</w:t>
            </w:r>
            <w:r w:rsidR="009E1719">
              <w:rPr>
                <w:rFonts w:ascii="Arial Narrow" w:hAnsi="Arial Narrow" w:cs="Arial"/>
                <w:kern w:val="0"/>
                <w:sz w:val="18"/>
                <w:szCs w:val="18"/>
              </w:rPr>
              <w:t>1</w:t>
            </w:r>
          </w:p>
        </w:tc>
        <w:tc>
          <w:tcPr>
            <w:tcW w:w="567" w:type="dxa"/>
            <w:shd w:val="clear" w:color="auto" w:fill="auto"/>
            <w:vAlign w:val="center"/>
          </w:tcPr>
          <w:p w:rsidR="003B3E1E" w:rsidRDefault="003B3E1E" w:rsidP="003B3E1E">
            <w:pPr>
              <w:spacing w:before="40" w:after="20"/>
              <w:jc w:val="center"/>
              <w:rPr>
                <w:rFonts w:ascii="Arial Narrow" w:hAnsi="Arial Narrow" w:cs="Arial"/>
                <w:bCs/>
                <w:sz w:val="18"/>
                <w:szCs w:val="18"/>
              </w:rPr>
            </w:pPr>
            <w:r w:rsidRPr="00FD599C">
              <w:rPr>
                <w:rFonts w:ascii="Arial Narrow" w:hAnsi="Arial Narrow" w:cs="Arial"/>
                <w:bCs/>
                <w:sz w:val="18"/>
                <w:szCs w:val="18"/>
              </w:rPr>
              <w:t>I trim</w:t>
            </w:r>
          </w:p>
          <w:p w:rsidR="003B3E1E" w:rsidRPr="00FD599C" w:rsidRDefault="003B3E1E" w:rsidP="009E1719">
            <w:pPr>
              <w:spacing w:before="40" w:after="20"/>
              <w:jc w:val="center"/>
              <w:rPr>
                <w:rFonts w:ascii="Arial Narrow" w:hAnsi="Arial Narrow" w:cs="Arial"/>
                <w:bCs/>
                <w:sz w:val="18"/>
                <w:szCs w:val="18"/>
              </w:rPr>
            </w:pPr>
            <w:r>
              <w:rPr>
                <w:rFonts w:ascii="Arial Narrow" w:hAnsi="Arial Narrow" w:cs="Arial"/>
                <w:bCs/>
                <w:sz w:val="18"/>
                <w:szCs w:val="18"/>
              </w:rPr>
              <w:t>202</w:t>
            </w:r>
            <w:r w:rsidR="009E1719">
              <w:rPr>
                <w:rFonts w:ascii="Arial Narrow" w:hAnsi="Arial Narrow" w:cs="Arial"/>
                <w:bCs/>
                <w:sz w:val="18"/>
                <w:szCs w:val="18"/>
              </w:rPr>
              <w:t>3</w:t>
            </w:r>
          </w:p>
        </w:tc>
        <w:tc>
          <w:tcPr>
            <w:tcW w:w="709" w:type="dxa"/>
            <w:shd w:val="clear" w:color="auto" w:fill="D9D9D9" w:themeFill="background1" w:themeFillShade="D9"/>
            <w:vAlign w:val="center"/>
          </w:tcPr>
          <w:p w:rsidR="003B3E1E" w:rsidRDefault="003B3E1E" w:rsidP="003B3E1E">
            <w:pPr>
              <w:spacing w:before="40" w:after="20"/>
              <w:jc w:val="center"/>
              <w:rPr>
                <w:rFonts w:ascii="Arial Narrow" w:hAnsi="Arial Narrow" w:cs="Arial"/>
                <w:bCs/>
                <w:sz w:val="18"/>
                <w:szCs w:val="18"/>
              </w:rPr>
            </w:pPr>
            <w:r>
              <w:rPr>
                <w:rFonts w:ascii="Arial Narrow" w:hAnsi="Arial Narrow" w:cs="Arial"/>
                <w:bCs/>
                <w:sz w:val="18"/>
                <w:szCs w:val="18"/>
              </w:rPr>
              <w:t>II</w:t>
            </w:r>
            <w:r w:rsidRPr="00FD599C">
              <w:rPr>
                <w:rFonts w:ascii="Arial Narrow" w:hAnsi="Arial Narrow" w:cs="Arial"/>
                <w:bCs/>
                <w:sz w:val="18"/>
                <w:szCs w:val="18"/>
              </w:rPr>
              <w:t xml:space="preserve"> trim</w:t>
            </w:r>
          </w:p>
          <w:p w:rsidR="003B3E1E" w:rsidRPr="00FD599C" w:rsidRDefault="003B3E1E" w:rsidP="009E1719">
            <w:pPr>
              <w:spacing w:before="40" w:after="20"/>
              <w:jc w:val="center"/>
              <w:rPr>
                <w:rFonts w:ascii="Arial Narrow" w:hAnsi="Arial Narrow" w:cs="Arial"/>
                <w:bCs/>
                <w:sz w:val="18"/>
                <w:szCs w:val="18"/>
              </w:rPr>
            </w:pPr>
            <w:r>
              <w:rPr>
                <w:rFonts w:ascii="Arial Narrow" w:hAnsi="Arial Narrow" w:cs="Arial"/>
                <w:bCs/>
                <w:sz w:val="18"/>
                <w:szCs w:val="18"/>
              </w:rPr>
              <w:t>202</w:t>
            </w:r>
            <w:r w:rsidR="009E1719">
              <w:rPr>
                <w:rFonts w:ascii="Arial Narrow" w:hAnsi="Arial Narrow" w:cs="Arial"/>
                <w:bCs/>
                <w:sz w:val="18"/>
                <w:szCs w:val="18"/>
              </w:rPr>
              <w:t>3</w:t>
            </w:r>
          </w:p>
        </w:tc>
        <w:tc>
          <w:tcPr>
            <w:tcW w:w="567" w:type="dxa"/>
            <w:shd w:val="clear" w:color="auto" w:fill="auto"/>
            <w:vAlign w:val="center"/>
          </w:tcPr>
          <w:p w:rsidR="003B3E1E" w:rsidRDefault="003B3E1E" w:rsidP="003B3E1E">
            <w:pPr>
              <w:spacing w:before="40" w:after="20"/>
              <w:jc w:val="center"/>
              <w:rPr>
                <w:rFonts w:ascii="Arial Narrow" w:hAnsi="Arial Narrow" w:cs="Arial"/>
                <w:bCs/>
                <w:sz w:val="18"/>
                <w:szCs w:val="18"/>
              </w:rPr>
            </w:pPr>
            <w:r w:rsidRPr="00FD599C">
              <w:rPr>
                <w:rFonts w:ascii="Arial Narrow" w:hAnsi="Arial Narrow" w:cs="Arial"/>
                <w:bCs/>
                <w:sz w:val="18"/>
                <w:szCs w:val="18"/>
              </w:rPr>
              <w:t>III trim</w:t>
            </w:r>
          </w:p>
          <w:p w:rsidR="003B3E1E" w:rsidRPr="00FD599C" w:rsidRDefault="003B3E1E" w:rsidP="009E1719">
            <w:pPr>
              <w:spacing w:before="40" w:after="20"/>
              <w:jc w:val="center"/>
              <w:rPr>
                <w:rFonts w:ascii="Arial Narrow" w:hAnsi="Arial Narrow" w:cs="Arial"/>
                <w:bCs/>
                <w:sz w:val="18"/>
                <w:szCs w:val="18"/>
              </w:rPr>
            </w:pPr>
            <w:r>
              <w:rPr>
                <w:rFonts w:ascii="Arial Narrow" w:hAnsi="Arial Narrow" w:cs="Arial"/>
                <w:bCs/>
                <w:sz w:val="18"/>
                <w:szCs w:val="18"/>
              </w:rPr>
              <w:t>202</w:t>
            </w:r>
            <w:r w:rsidR="009E1719">
              <w:rPr>
                <w:rFonts w:ascii="Arial Narrow" w:hAnsi="Arial Narrow" w:cs="Arial"/>
                <w:bCs/>
                <w:sz w:val="18"/>
                <w:szCs w:val="18"/>
              </w:rPr>
              <w:t>3</w:t>
            </w:r>
          </w:p>
        </w:tc>
        <w:tc>
          <w:tcPr>
            <w:tcW w:w="709" w:type="dxa"/>
            <w:shd w:val="clear" w:color="auto" w:fill="D9D9D9" w:themeFill="background1" w:themeFillShade="D9"/>
            <w:vAlign w:val="center"/>
          </w:tcPr>
          <w:p w:rsidR="003B3E1E" w:rsidRDefault="003B3E1E" w:rsidP="003B3E1E">
            <w:pPr>
              <w:spacing w:before="40" w:after="20"/>
              <w:jc w:val="center"/>
              <w:rPr>
                <w:rFonts w:ascii="Arial Narrow" w:hAnsi="Arial Narrow" w:cs="Arial"/>
                <w:bCs/>
                <w:sz w:val="18"/>
                <w:szCs w:val="18"/>
              </w:rPr>
            </w:pPr>
            <w:r w:rsidRPr="00FD599C">
              <w:rPr>
                <w:rFonts w:ascii="Arial Narrow" w:hAnsi="Arial Narrow" w:cs="Arial"/>
                <w:bCs/>
                <w:sz w:val="18"/>
                <w:szCs w:val="18"/>
              </w:rPr>
              <w:t>IV trim</w:t>
            </w:r>
          </w:p>
          <w:p w:rsidR="003B3E1E" w:rsidRPr="00FD599C" w:rsidRDefault="003B3E1E" w:rsidP="003B3E1E">
            <w:pPr>
              <w:spacing w:before="40" w:after="20"/>
              <w:jc w:val="center"/>
              <w:rPr>
                <w:rFonts w:ascii="Arial Narrow" w:hAnsi="Arial Narrow" w:cs="Arial"/>
                <w:bCs/>
                <w:sz w:val="18"/>
                <w:szCs w:val="18"/>
              </w:rPr>
            </w:pPr>
            <w:r>
              <w:rPr>
                <w:rFonts w:ascii="Arial Narrow" w:hAnsi="Arial Narrow" w:cs="Arial"/>
                <w:bCs/>
                <w:sz w:val="18"/>
                <w:szCs w:val="18"/>
              </w:rPr>
              <w:t>202</w:t>
            </w:r>
            <w:r w:rsidR="009E1719">
              <w:rPr>
                <w:rFonts w:ascii="Arial Narrow" w:hAnsi="Arial Narrow" w:cs="Arial"/>
                <w:bCs/>
                <w:sz w:val="18"/>
                <w:szCs w:val="18"/>
              </w:rPr>
              <w:t>3</w:t>
            </w:r>
          </w:p>
        </w:tc>
        <w:tc>
          <w:tcPr>
            <w:tcW w:w="568" w:type="dxa"/>
            <w:shd w:val="clear" w:color="auto" w:fill="auto"/>
            <w:vAlign w:val="center"/>
          </w:tcPr>
          <w:p w:rsidR="003B3E1E" w:rsidRDefault="009E1719" w:rsidP="003B3E1E">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2023</w:t>
            </w:r>
          </w:p>
          <w:p w:rsidR="003B3E1E" w:rsidRPr="008814F3" w:rsidRDefault="003B3E1E" w:rsidP="009E1719">
            <w:pPr>
              <w:widowControl/>
              <w:overflowPunct/>
              <w:autoSpaceDE/>
              <w:autoSpaceDN/>
              <w:adjustRightInd/>
              <w:spacing w:before="0" w:after="0"/>
              <w:ind w:right="57"/>
              <w:jc w:val="right"/>
              <w:rPr>
                <w:rFonts w:ascii="Arial Narrow" w:hAnsi="Arial Narrow" w:cs="Arial"/>
                <w:b/>
                <w:bCs/>
                <w:kern w:val="0"/>
                <w:sz w:val="18"/>
                <w:szCs w:val="18"/>
              </w:rPr>
            </w:pPr>
            <w:r>
              <w:rPr>
                <w:rFonts w:ascii="Arial Narrow" w:hAnsi="Arial Narrow" w:cs="Arial"/>
                <w:kern w:val="0"/>
                <w:sz w:val="18"/>
                <w:szCs w:val="18"/>
              </w:rPr>
              <w:t>202</w:t>
            </w:r>
            <w:r w:rsidR="009E1719">
              <w:rPr>
                <w:rFonts w:ascii="Arial Narrow" w:hAnsi="Arial Narrow" w:cs="Arial"/>
                <w:kern w:val="0"/>
                <w:sz w:val="18"/>
                <w:szCs w:val="18"/>
              </w:rPr>
              <w:t>2</w:t>
            </w:r>
          </w:p>
        </w:tc>
        <w:tc>
          <w:tcPr>
            <w:tcW w:w="991" w:type="dxa"/>
            <w:vMerge/>
            <w:shd w:val="clear" w:color="auto" w:fill="D9D9D9" w:themeFill="background1" w:themeFillShade="D9"/>
            <w:vAlign w:val="center"/>
          </w:tcPr>
          <w:p w:rsidR="003B3E1E" w:rsidRPr="00FD599C" w:rsidRDefault="003B3E1E" w:rsidP="003B3E1E">
            <w:pPr>
              <w:spacing w:before="40" w:after="20"/>
              <w:ind w:right="57"/>
              <w:jc w:val="center"/>
              <w:rPr>
                <w:rFonts w:ascii="Arial Narrow" w:hAnsi="Arial Narrow" w:cs="Arial"/>
                <w:b/>
                <w:bCs/>
                <w:kern w:val="0"/>
                <w:sz w:val="18"/>
                <w:szCs w:val="18"/>
              </w:rPr>
            </w:pPr>
          </w:p>
        </w:tc>
        <w:tc>
          <w:tcPr>
            <w:tcW w:w="851" w:type="dxa"/>
            <w:vMerge/>
            <w:vAlign w:val="center"/>
          </w:tcPr>
          <w:p w:rsidR="003B3E1E" w:rsidRDefault="003B3E1E" w:rsidP="003B3E1E">
            <w:pPr>
              <w:spacing w:before="40" w:after="20"/>
              <w:ind w:right="57"/>
              <w:jc w:val="center"/>
              <w:rPr>
                <w:rFonts w:ascii="Arial Narrow" w:hAnsi="Arial Narrow" w:cs="Arial"/>
                <w:b/>
                <w:bCs/>
                <w:kern w:val="0"/>
                <w:sz w:val="18"/>
                <w:szCs w:val="18"/>
              </w:rPr>
            </w:pPr>
          </w:p>
        </w:tc>
        <w:tc>
          <w:tcPr>
            <w:tcW w:w="850" w:type="dxa"/>
            <w:vMerge/>
            <w:shd w:val="clear" w:color="auto" w:fill="D9D9D9" w:themeFill="background1" w:themeFillShade="D9"/>
            <w:vAlign w:val="center"/>
          </w:tcPr>
          <w:p w:rsidR="003B3E1E" w:rsidRDefault="003B3E1E" w:rsidP="003B3E1E">
            <w:pPr>
              <w:spacing w:before="40" w:after="20"/>
              <w:ind w:right="57"/>
              <w:jc w:val="center"/>
              <w:rPr>
                <w:rFonts w:ascii="Arial Narrow" w:hAnsi="Arial Narrow" w:cs="Arial"/>
                <w:b/>
                <w:bCs/>
                <w:kern w:val="0"/>
                <w:sz w:val="18"/>
                <w:szCs w:val="18"/>
              </w:rPr>
            </w:pPr>
          </w:p>
        </w:tc>
        <w:tc>
          <w:tcPr>
            <w:tcW w:w="1559" w:type="dxa"/>
            <w:vMerge/>
            <w:shd w:val="clear" w:color="auto" w:fill="auto"/>
          </w:tcPr>
          <w:p w:rsidR="003B3E1E" w:rsidRPr="00D164E5" w:rsidRDefault="003B3E1E" w:rsidP="003B3E1E">
            <w:pPr>
              <w:spacing w:before="40" w:after="20"/>
              <w:ind w:right="57"/>
              <w:jc w:val="center"/>
              <w:rPr>
                <w:rFonts w:ascii="Arial Narrow" w:hAnsi="Arial Narrow" w:cs="Arial"/>
                <w:b/>
                <w:bCs/>
                <w:kern w:val="0"/>
                <w:sz w:val="18"/>
                <w:szCs w:val="18"/>
              </w:rPr>
            </w:pPr>
          </w:p>
        </w:tc>
      </w:tr>
      <w:tr w:rsidR="00F0329A" w:rsidRPr="001D29FC" w:rsidTr="00D331B6">
        <w:tblPrEx>
          <w:tblBorders>
            <w:top w:val="single" w:sz="4" w:space="0" w:color="auto"/>
            <w:bottom w:val="single" w:sz="4" w:space="0" w:color="auto"/>
            <w:insideH w:val="single" w:sz="4" w:space="0" w:color="auto"/>
          </w:tblBorders>
          <w:tblCellMar>
            <w:left w:w="108" w:type="dxa"/>
            <w:right w:w="108" w:type="dxa"/>
          </w:tblCellMar>
          <w:tblLook w:val="01E0" w:firstRow="1" w:lastRow="1" w:firstColumn="1" w:lastColumn="1" w:noHBand="0" w:noVBand="0"/>
        </w:tblPrEx>
        <w:trPr>
          <w:trHeight w:val="284"/>
        </w:trPr>
        <w:tc>
          <w:tcPr>
            <w:tcW w:w="2125" w:type="dxa"/>
            <w:vAlign w:val="center"/>
          </w:tcPr>
          <w:p w:rsidR="00F0329A" w:rsidRPr="001D29FC" w:rsidRDefault="00F0329A" w:rsidP="00F0329A">
            <w:pPr>
              <w:spacing w:before="0" w:after="0"/>
              <w:rPr>
                <w:rFonts w:ascii="Arial Narrow" w:hAnsi="Arial Narrow" w:cs="Arial"/>
                <w:sz w:val="18"/>
                <w:szCs w:val="18"/>
              </w:rPr>
            </w:pPr>
            <w:r w:rsidRPr="001D29FC">
              <w:rPr>
                <w:rFonts w:ascii="Arial Narrow" w:hAnsi="Arial Narrow" w:cs="Arial"/>
                <w:sz w:val="18"/>
                <w:szCs w:val="18"/>
              </w:rPr>
              <w:t>Alta frequenza</w:t>
            </w:r>
          </w:p>
        </w:tc>
        <w:tc>
          <w:tcPr>
            <w:tcW w:w="710" w:type="dxa"/>
            <w:shd w:val="clear" w:color="auto" w:fill="D9D9D9" w:themeFill="background1" w:themeFillShade="D9"/>
            <w:vAlign w:val="center"/>
          </w:tcPr>
          <w:p w:rsidR="00F0329A" w:rsidRPr="004D03D9" w:rsidRDefault="00F0329A" w:rsidP="00F0329A">
            <w:pPr>
              <w:spacing w:before="40" w:after="20"/>
              <w:ind w:left="-57" w:right="-57"/>
              <w:jc w:val="right"/>
              <w:rPr>
                <w:rFonts w:ascii="Arial Narrow" w:hAnsi="Arial Narrow" w:cs="Arial"/>
                <w:sz w:val="18"/>
                <w:szCs w:val="18"/>
              </w:rPr>
            </w:pPr>
            <w:r>
              <w:rPr>
                <w:rFonts w:ascii="Arial Narrow" w:hAnsi="Arial Narrow" w:cs="Arial"/>
                <w:sz w:val="18"/>
                <w:szCs w:val="18"/>
              </w:rPr>
              <w:t>+7,3</w:t>
            </w:r>
          </w:p>
        </w:tc>
        <w:tc>
          <w:tcPr>
            <w:tcW w:w="567" w:type="dxa"/>
            <w:vAlign w:val="bottom"/>
          </w:tcPr>
          <w:p w:rsidR="00F0329A" w:rsidRPr="00E61719" w:rsidRDefault="00F0329A" w:rsidP="00F0329A">
            <w:pPr>
              <w:spacing w:before="40" w:after="20"/>
              <w:ind w:left="-57" w:right="-57"/>
              <w:jc w:val="right"/>
              <w:rPr>
                <w:rFonts w:ascii="Arial Narrow" w:hAnsi="Arial Narrow" w:cs="Arial"/>
                <w:sz w:val="18"/>
                <w:szCs w:val="18"/>
              </w:rPr>
            </w:pPr>
            <w:r>
              <w:rPr>
                <w:rFonts w:ascii="Arial Narrow" w:hAnsi="Arial Narrow" w:cs="Arial"/>
                <w:sz w:val="18"/>
                <w:szCs w:val="18"/>
              </w:rPr>
              <w:t>+</w:t>
            </w:r>
            <w:r w:rsidRPr="00E61719">
              <w:rPr>
                <w:rFonts w:ascii="Arial Narrow" w:hAnsi="Arial Narrow" w:cs="Arial"/>
                <w:sz w:val="18"/>
                <w:szCs w:val="18"/>
              </w:rPr>
              <w:t>8,5</w:t>
            </w:r>
          </w:p>
        </w:tc>
        <w:tc>
          <w:tcPr>
            <w:tcW w:w="709" w:type="dxa"/>
            <w:shd w:val="clear" w:color="auto" w:fill="D9D9D9" w:themeFill="background1" w:themeFillShade="D9"/>
            <w:vAlign w:val="bottom"/>
          </w:tcPr>
          <w:p w:rsidR="00F0329A" w:rsidRPr="00E61719" w:rsidRDefault="00F0329A" w:rsidP="00F0329A">
            <w:pPr>
              <w:spacing w:before="40" w:after="20"/>
              <w:ind w:left="-57" w:right="-57"/>
              <w:jc w:val="right"/>
              <w:rPr>
                <w:rFonts w:ascii="Arial Narrow" w:hAnsi="Arial Narrow" w:cs="Arial"/>
                <w:sz w:val="18"/>
                <w:szCs w:val="18"/>
              </w:rPr>
            </w:pPr>
            <w:r>
              <w:rPr>
                <w:rFonts w:ascii="Arial Narrow" w:hAnsi="Arial Narrow" w:cs="Arial"/>
                <w:sz w:val="18"/>
                <w:szCs w:val="18"/>
              </w:rPr>
              <w:t>+</w:t>
            </w:r>
            <w:r w:rsidRPr="00E61719">
              <w:rPr>
                <w:rFonts w:ascii="Arial Narrow" w:hAnsi="Arial Narrow" w:cs="Arial"/>
                <w:sz w:val="18"/>
                <w:szCs w:val="18"/>
              </w:rPr>
              <w:t>7</w:t>
            </w:r>
            <w:r>
              <w:rPr>
                <w:rFonts w:ascii="Arial Narrow" w:hAnsi="Arial Narrow" w:cs="Arial"/>
                <w:sz w:val="18"/>
                <w:szCs w:val="18"/>
              </w:rPr>
              <w:t>,0</w:t>
            </w:r>
          </w:p>
        </w:tc>
        <w:tc>
          <w:tcPr>
            <w:tcW w:w="567" w:type="dxa"/>
            <w:vAlign w:val="bottom"/>
          </w:tcPr>
          <w:p w:rsidR="00F0329A" w:rsidRPr="00E61719" w:rsidRDefault="00F0329A" w:rsidP="00F0329A">
            <w:pPr>
              <w:spacing w:before="40" w:after="20"/>
              <w:ind w:left="-57" w:right="-57"/>
              <w:jc w:val="right"/>
              <w:rPr>
                <w:rFonts w:ascii="Arial Narrow" w:hAnsi="Arial Narrow" w:cs="Arial"/>
                <w:sz w:val="18"/>
                <w:szCs w:val="18"/>
              </w:rPr>
            </w:pPr>
            <w:r>
              <w:rPr>
                <w:rFonts w:ascii="Arial Narrow" w:hAnsi="Arial Narrow" w:cs="Arial"/>
                <w:sz w:val="18"/>
                <w:szCs w:val="18"/>
              </w:rPr>
              <w:t>+</w:t>
            </w:r>
            <w:r w:rsidRPr="00E61719">
              <w:rPr>
                <w:rFonts w:ascii="Arial Narrow" w:hAnsi="Arial Narrow" w:cs="Arial"/>
                <w:sz w:val="18"/>
                <w:szCs w:val="18"/>
              </w:rPr>
              <w:t>6,3</w:t>
            </w:r>
          </w:p>
        </w:tc>
        <w:tc>
          <w:tcPr>
            <w:tcW w:w="709" w:type="dxa"/>
            <w:shd w:val="clear" w:color="auto" w:fill="D9D9D9" w:themeFill="background1" w:themeFillShade="D9"/>
            <w:vAlign w:val="bottom"/>
          </w:tcPr>
          <w:p w:rsidR="00F0329A" w:rsidRPr="00E61719" w:rsidRDefault="00F0329A" w:rsidP="00F0329A">
            <w:pPr>
              <w:spacing w:before="40" w:after="20"/>
              <w:ind w:left="-57" w:right="-57"/>
              <w:jc w:val="right"/>
              <w:rPr>
                <w:rFonts w:ascii="Arial Narrow" w:hAnsi="Arial Narrow" w:cs="Arial"/>
                <w:sz w:val="18"/>
                <w:szCs w:val="18"/>
              </w:rPr>
            </w:pPr>
            <w:r>
              <w:rPr>
                <w:rFonts w:ascii="Arial Narrow" w:hAnsi="Arial Narrow" w:cs="Arial"/>
                <w:sz w:val="18"/>
                <w:szCs w:val="18"/>
              </w:rPr>
              <w:t>+</w:t>
            </w:r>
            <w:r w:rsidRPr="00E61719">
              <w:rPr>
                <w:rFonts w:ascii="Arial Narrow" w:hAnsi="Arial Narrow" w:cs="Arial"/>
                <w:sz w:val="18"/>
                <w:szCs w:val="18"/>
              </w:rPr>
              <w:t>4,9</w:t>
            </w:r>
          </w:p>
        </w:tc>
        <w:tc>
          <w:tcPr>
            <w:tcW w:w="568" w:type="dxa"/>
            <w:shd w:val="clear" w:color="auto" w:fill="auto"/>
            <w:vAlign w:val="center"/>
          </w:tcPr>
          <w:p w:rsidR="00F0329A" w:rsidRPr="006E215E" w:rsidRDefault="00F0329A" w:rsidP="00F0329A">
            <w:pPr>
              <w:spacing w:before="40" w:after="20"/>
              <w:ind w:left="-57" w:right="-57"/>
              <w:jc w:val="right"/>
              <w:rPr>
                <w:rFonts w:ascii="Arial Narrow" w:hAnsi="Arial Narrow" w:cs="Arial"/>
                <w:sz w:val="18"/>
                <w:szCs w:val="18"/>
              </w:rPr>
            </w:pPr>
            <w:r w:rsidRPr="006E215E">
              <w:rPr>
                <w:rFonts w:ascii="Arial Narrow" w:hAnsi="Arial Narrow" w:cs="Arial"/>
                <w:sz w:val="18"/>
                <w:szCs w:val="18"/>
              </w:rPr>
              <w:t>+6,7</w:t>
            </w:r>
          </w:p>
        </w:tc>
        <w:tc>
          <w:tcPr>
            <w:tcW w:w="991" w:type="dxa"/>
            <w:shd w:val="clear" w:color="auto" w:fill="D9D9D9" w:themeFill="background1" w:themeFillShade="D9"/>
            <w:tcMar>
              <w:left w:w="170" w:type="dxa"/>
              <w:right w:w="170" w:type="dxa"/>
            </w:tcMar>
            <w:vAlign w:val="bottom"/>
          </w:tcPr>
          <w:p w:rsidR="00F0329A" w:rsidRPr="0005240F" w:rsidRDefault="00F0329A" w:rsidP="00F0329A">
            <w:pPr>
              <w:spacing w:before="40" w:after="20"/>
              <w:ind w:left="-57" w:right="-57"/>
              <w:jc w:val="right"/>
              <w:rPr>
                <w:rFonts w:ascii="Arial Narrow" w:hAnsi="Arial Narrow" w:cs="Arial"/>
                <w:sz w:val="18"/>
                <w:szCs w:val="18"/>
              </w:rPr>
            </w:pPr>
            <w:r>
              <w:rPr>
                <w:rFonts w:ascii="Arial Narrow" w:hAnsi="Arial Narrow" w:cs="Arial"/>
                <w:sz w:val="18"/>
                <w:szCs w:val="18"/>
              </w:rPr>
              <w:t>+</w:t>
            </w:r>
            <w:r w:rsidRPr="0005240F">
              <w:rPr>
                <w:rFonts w:ascii="Arial Narrow" w:hAnsi="Arial Narrow" w:cs="Arial"/>
                <w:sz w:val="18"/>
                <w:szCs w:val="18"/>
              </w:rPr>
              <w:t>2,9</w:t>
            </w:r>
          </w:p>
        </w:tc>
        <w:tc>
          <w:tcPr>
            <w:tcW w:w="851" w:type="dxa"/>
            <w:shd w:val="clear" w:color="auto" w:fill="auto"/>
            <w:tcMar>
              <w:left w:w="170" w:type="dxa"/>
              <w:right w:w="170" w:type="dxa"/>
            </w:tcMar>
            <w:vAlign w:val="bottom"/>
          </w:tcPr>
          <w:p w:rsidR="00F0329A" w:rsidRPr="00E91BF8" w:rsidRDefault="00F0329A" w:rsidP="00F0329A">
            <w:pPr>
              <w:spacing w:before="40" w:after="20"/>
              <w:ind w:left="-57" w:right="-57"/>
              <w:jc w:val="right"/>
              <w:rPr>
                <w:rFonts w:ascii="Arial Narrow" w:hAnsi="Arial Narrow" w:cs="Arial"/>
                <w:sz w:val="18"/>
                <w:szCs w:val="18"/>
              </w:rPr>
            </w:pPr>
            <w:r>
              <w:rPr>
                <w:rFonts w:ascii="Arial Narrow" w:hAnsi="Arial Narrow" w:cs="Arial"/>
                <w:sz w:val="18"/>
                <w:szCs w:val="18"/>
              </w:rPr>
              <w:t>+</w:t>
            </w:r>
            <w:r w:rsidRPr="00E91BF8">
              <w:rPr>
                <w:rFonts w:ascii="Arial Narrow" w:hAnsi="Arial Narrow" w:cs="Arial"/>
                <w:sz w:val="18"/>
                <w:szCs w:val="18"/>
              </w:rPr>
              <w:t>3,7</w:t>
            </w:r>
          </w:p>
        </w:tc>
        <w:tc>
          <w:tcPr>
            <w:tcW w:w="850" w:type="dxa"/>
            <w:shd w:val="clear" w:color="auto" w:fill="D9D9D9" w:themeFill="background1" w:themeFillShade="D9"/>
            <w:tcMar>
              <w:left w:w="170" w:type="dxa"/>
              <w:right w:w="170" w:type="dxa"/>
            </w:tcMar>
            <w:vAlign w:val="bottom"/>
          </w:tcPr>
          <w:p w:rsidR="00F0329A" w:rsidRPr="00141BD5" w:rsidRDefault="00F0329A" w:rsidP="00F0329A">
            <w:pPr>
              <w:spacing w:before="40" w:after="20"/>
              <w:ind w:left="-57" w:right="-57"/>
              <w:jc w:val="right"/>
              <w:rPr>
                <w:rFonts w:ascii="Arial Narrow" w:hAnsi="Arial Narrow" w:cs="Arial"/>
                <w:sz w:val="18"/>
                <w:szCs w:val="18"/>
              </w:rPr>
            </w:pPr>
            <w:r>
              <w:rPr>
                <w:rFonts w:ascii="Arial Narrow" w:hAnsi="Arial Narrow" w:cs="Arial"/>
                <w:sz w:val="18"/>
                <w:szCs w:val="18"/>
              </w:rPr>
              <w:t>+</w:t>
            </w:r>
            <w:r w:rsidRPr="00141BD5">
              <w:rPr>
                <w:rFonts w:ascii="Arial Narrow" w:hAnsi="Arial Narrow" w:cs="Arial"/>
                <w:sz w:val="18"/>
                <w:szCs w:val="18"/>
              </w:rPr>
              <w:t>0,7</w:t>
            </w:r>
          </w:p>
        </w:tc>
        <w:tc>
          <w:tcPr>
            <w:tcW w:w="1559" w:type="dxa"/>
            <w:shd w:val="clear" w:color="auto" w:fill="auto"/>
            <w:vAlign w:val="bottom"/>
          </w:tcPr>
          <w:p w:rsidR="00F0329A" w:rsidRPr="00F0329A" w:rsidRDefault="00F0329A" w:rsidP="00F0329A">
            <w:pPr>
              <w:spacing w:before="40" w:after="20"/>
              <w:ind w:left="-57" w:right="-57"/>
              <w:jc w:val="right"/>
              <w:rPr>
                <w:rFonts w:ascii="Arial Narrow" w:hAnsi="Arial Narrow" w:cs="Arial"/>
                <w:sz w:val="18"/>
                <w:szCs w:val="18"/>
              </w:rPr>
            </w:pPr>
            <w:r w:rsidRPr="00F0329A">
              <w:rPr>
                <w:rFonts w:ascii="Arial Narrow" w:hAnsi="Arial Narrow" w:cs="Arial"/>
                <w:sz w:val="18"/>
                <w:szCs w:val="18"/>
              </w:rPr>
              <w:t>2,734</w:t>
            </w:r>
          </w:p>
        </w:tc>
      </w:tr>
      <w:tr w:rsidR="00F0329A" w:rsidRPr="001D29FC" w:rsidTr="00D331B6">
        <w:tblPrEx>
          <w:tblBorders>
            <w:top w:val="single" w:sz="4" w:space="0" w:color="auto"/>
            <w:bottom w:val="single" w:sz="4" w:space="0" w:color="auto"/>
            <w:insideH w:val="single" w:sz="4" w:space="0" w:color="auto"/>
          </w:tblBorders>
          <w:tblCellMar>
            <w:left w:w="108" w:type="dxa"/>
            <w:right w:w="108" w:type="dxa"/>
          </w:tblCellMar>
          <w:tblLook w:val="01E0" w:firstRow="1" w:lastRow="1" w:firstColumn="1" w:lastColumn="1" w:noHBand="0" w:noVBand="0"/>
        </w:tblPrEx>
        <w:trPr>
          <w:trHeight w:val="284"/>
        </w:trPr>
        <w:tc>
          <w:tcPr>
            <w:tcW w:w="2125" w:type="dxa"/>
            <w:vAlign w:val="center"/>
          </w:tcPr>
          <w:p w:rsidR="00F0329A" w:rsidRPr="001D29FC" w:rsidRDefault="00F0329A" w:rsidP="00F0329A">
            <w:pPr>
              <w:spacing w:before="0" w:after="0"/>
              <w:rPr>
                <w:rFonts w:ascii="Arial Narrow" w:hAnsi="Arial Narrow" w:cs="Arial"/>
                <w:sz w:val="18"/>
                <w:szCs w:val="18"/>
              </w:rPr>
            </w:pPr>
            <w:r w:rsidRPr="001D29FC">
              <w:rPr>
                <w:rFonts w:ascii="Arial Narrow" w:hAnsi="Arial Narrow" w:cs="Arial"/>
                <w:sz w:val="18"/>
                <w:szCs w:val="18"/>
              </w:rPr>
              <w:t>Media frequenza</w:t>
            </w:r>
          </w:p>
        </w:tc>
        <w:tc>
          <w:tcPr>
            <w:tcW w:w="710" w:type="dxa"/>
            <w:shd w:val="clear" w:color="auto" w:fill="D9D9D9" w:themeFill="background1" w:themeFillShade="D9"/>
            <w:vAlign w:val="center"/>
          </w:tcPr>
          <w:p w:rsidR="00F0329A" w:rsidRPr="004D03D9" w:rsidRDefault="00F0329A" w:rsidP="00F0329A">
            <w:pPr>
              <w:spacing w:before="40" w:after="20"/>
              <w:ind w:left="-57" w:right="-57"/>
              <w:jc w:val="right"/>
              <w:rPr>
                <w:rFonts w:ascii="Arial Narrow" w:hAnsi="Arial Narrow" w:cs="Arial"/>
                <w:sz w:val="18"/>
                <w:szCs w:val="18"/>
              </w:rPr>
            </w:pPr>
            <w:r>
              <w:rPr>
                <w:rFonts w:ascii="Arial Narrow" w:hAnsi="Arial Narrow" w:cs="Arial"/>
                <w:sz w:val="18"/>
                <w:szCs w:val="18"/>
              </w:rPr>
              <w:t>+11,8</w:t>
            </w:r>
          </w:p>
        </w:tc>
        <w:tc>
          <w:tcPr>
            <w:tcW w:w="567" w:type="dxa"/>
            <w:vAlign w:val="bottom"/>
          </w:tcPr>
          <w:p w:rsidR="00F0329A" w:rsidRPr="00E61719" w:rsidRDefault="00F0329A" w:rsidP="00F0329A">
            <w:pPr>
              <w:spacing w:before="40" w:after="20"/>
              <w:ind w:left="-57" w:right="-57"/>
              <w:jc w:val="right"/>
              <w:rPr>
                <w:rFonts w:ascii="Arial Narrow" w:hAnsi="Arial Narrow" w:cs="Arial"/>
                <w:sz w:val="18"/>
                <w:szCs w:val="18"/>
              </w:rPr>
            </w:pPr>
            <w:r>
              <w:rPr>
                <w:rFonts w:ascii="Arial Narrow" w:hAnsi="Arial Narrow" w:cs="Arial"/>
                <w:sz w:val="18"/>
                <w:szCs w:val="18"/>
              </w:rPr>
              <w:t>+</w:t>
            </w:r>
            <w:r w:rsidRPr="00E61719">
              <w:rPr>
                <w:rFonts w:ascii="Arial Narrow" w:hAnsi="Arial Narrow" w:cs="Arial"/>
                <w:sz w:val="18"/>
                <w:szCs w:val="18"/>
              </w:rPr>
              <w:t>11,4</w:t>
            </w:r>
          </w:p>
        </w:tc>
        <w:tc>
          <w:tcPr>
            <w:tcW w:w="709" w:type="dxa"/>
            <w:shd w:val="clear" w:color="auto" w:fill="D9D9D9" w:themeFill="background1" w:themeFillShade="D9"/>
            <w:vAlign w:val="bottom"/>
          </w:tcPr>
          <w:p w:rsidR="00F0329A" w:rsidRPr="00E61719" w:rsidRDefault="00F0329A" w:rsidP="00F0329A">
            <w:pPr>
              <w:spacing w:before="40" w:after="20"/>
              <w:ind w:left="-57" w:right="-57"/>
              <w:jc w:val="right"/>
              <w:rPr>
                <w:rFonts w:ascii="Arial Narrow" w:hAnsi="Arial Narrow" w:cs="Arial"/>
                <w:sz w:val="18"/>
                <w:szCs w:val="18"/>
              </w:rPr>
            </w:pPr>
            <w:r>
              <w:rPr>
                <w:rFonts w:ascii="Arial Narrow" w:hAnsi="Arial Narrow" w:cs="Arial"/>
                <w:sz w:val="18"/>
                <w:szCs w:val="18"/>
              </w:rPr>
              <w:t>+</w:t>
            </w:r>
            <w:r w:rsidRPr="00E61719">
              <w:rPr>
                <w:rFonts w:ascii="Arial Narrow" w:hAnsi="Arial Narrow" w:cs="Arial"/>
                <w:sz w:val="18"/>
                <w:szCs w:val="18"/>
              </w:rPr>
              <w:t>9,2</w:t>
            </w:r>
          </w:p>
        </w:tc>
        <w:tc>
          <w:tcPr>
            <w:tcW w:w="567" w:type="dxa"/>
            <w:vAlign w:val="bottom"/>
          </w:tcPr>
          <w:p w:rsidR="00F0329A" w:rsidRPr="00E61719" w:rsidRDefault="00F0329A" w:rsidP="00F0329A">
            <w:pPr>
              <w:spacing w:before="40" w:after="20"/>
              <w:ind w:left="-57" w:right="-57"/>
              <w:jc w:val="right"/>
              <w:rPr>
                <w:rFonts w:ascii="Arial Narrow" w:hAnsi="Arial Narrow" w:cs="Arial"/>
                <w:sz w:val="18"/>
                <w:szCs w:val="18"/>
              </w:rPr>
            </w:pPr>
            <w:r>
              <w:rPr>
                <w:rFonts w:ascii="Arial Narrow" w:hAnsi="Arial Narrow" w:cs="Arial"/>
                <w:sz w:val="18"/>
                <w:szCs w:val="18"/>
              </w:rPr>
              <w:t>+</w:t>
            </w:r>
            <w:r w:rsidRPr="00E61719">
              <w:rPr>
                <w:rFonts w:ascii="Arial Narrow" w:hAnsi="Arial Narrow" w:cs="Arial"/>
                <w:sz w:val="18"/>
                <w:szCs w:val="18"/>
              </w:rPr>
              <w:t>5,7</w:t>
            </w:r>
          </w:p>
        </w:tc>
        <w:tc>
          <w:tcPr>
            <w:tcW w:w="709" w:type="dxa"/>
            <w:shd w:val="clear" w:color="auto" w:fill="D9D9D9" w:themeFill="background1" w:themeFillShade="D9"/>
            <w:vAlign w:val="bottom"/>
          </w:tcPr>
          <w:p w:rsidR="00F0329A" w:rsidRPr="00E61719" w:rsidRDefault="00F0329A" w:rsidP="00F0329A">
            <w:pPr>
              <w:spacing w:before="40" w:after="20"/>
              <w:ind w:left="-57" w:right="-57"/>
              <w:jc w:val="right"/>
              <w:rPr>
                <w:rFonts w:ascii="Arial Narrow" w:hAnsi="Arial Narrow" w:cs="Arial"/>
                <w:sz w:val="18"/>
                <w:szCs w:val="18"/>
              </w:rPr>
            </w:pPr>
            <w:r w:rsidRPr="00E61719">
              <w:rPr>
                <w:rFonts w:ascii="Arial Narrow" w:hAnsi="Arial Narrow" w:cs="Arial"/>
                <w:sz w:val="18"/>
                <w:szCs w:val="18"/>
              </w:rPr>
              <w:t>-3,5</w:t>
            </w:r>
          </w:p>
        </w:tc>
        <w:tc>
          <w:tcPr>
            <w:tcW w:w="568" w:type="dxa"/>
            <w:shd w:val="clear" w:color="auto" w:fill="auto"/>
            <w:vAlign w:val="center"/>
          </w:tcPr>
          <w:p w:rsidR="00F0329A" w:rsidRPr="006E215E" w:rsidRDefault="00F0329A" w:rsidP="00F0329A">
            <w:pPr>
              <w:spacing w:before="40" w:after="20"/>
              <w:ind w:left="-57" w:right="-57"/>
              <w:jc w:val="right"/>
              <w:rPr>
                <w:rFonts w:ascii="Arial Narrow" w:hAnsi="Arial Narrow" w:cs="Arial"/>
                <w:sz w:val="18"/>
                <w:szCs w:val="18"/>
              </w:rPr>
            </w:pPr>
            <w:r w:rsidRPr="006E215E">
              <w:rPr>
                <w:rFonts w:ascii="Arial Narrow" w:hAnsi="Arial Narrow" w:cs="Arial"/>
                <w:sz w:val="18"/>
                <w:szCs w:val="18"/>
              </w:rPr>
              <w:t>+5,4</w:t>
            </w:r>
          </w:p>
        </w:tc>
        <w:tc>
          <w:tcPr>
            <w:tcW w:w="991" w:type="dxa"/>
            <w:shd w:val="clear" w:color="auto" w:fill="D9D9D9" w:themeFill="background1" w:themeFillShade="D9"/>
            <w:tcMar>
              <w:left w:w="170" w:type="dxa"/>
              <w:right w:w="170" w:type="dxa"/>
            </w:tcMar>
            <w:vAlign w:val="bottom"/>
          </w:tcPr>
          <w:p w:rsidR="00F0329A" w:rsidRPr="0005240F" w:rsidRDefault="00F0329A" w:rsidP="00F0329A">
            <w:pPr>
              <w:spacing w:before="40" w:after="20"/>
              <w:ind w:left="-57" w:right="-57"/>
              <w:jc w:val="right"/>
              <w:rPr>
                <w:rFonts w:ascii="Arial Narrow" w:hAnsi="Arial Narrow" w:cs="Arial"/>
                <w:sz w:val="18"/>
                <w:szCs w:val="18"/>
              </w:rPr>
            </w:pPr>
            <w:r>
              <w:rPr>
                <w:rFonts w:ascii="Arial Narrow" w:hAnsi="Arial Narrow" w:cs="Arial"/>
                <w:sz w:val="18"/>
                <w:szCs w:val="18"/>
              </w:rPr>
              <w:t>+</w:t>
            </w:r>
            <w:r w:rsidRPr="0005240F">
              <w:rPr>
                <w:rFonts w:ascii="Arial Narrow" w:hAnsi="Arial Narrow" w:cs="Arial"/>
                <w:sz w:val="18"/>
                <w:szCs w:val="18"/>
              </w:rPr>
              <w:t>8,8</w:t>
            </w:r>
          </w:p>
        </w:tc>
        <w:tc>
          <w:tcPr>
            <w:tcW w:w="851" w:type="dxa"/>
            <w:shd w:val="clear" w:color="auto" w:fill="auto"/>
            <w:tcMar>
              <w:left w:w="170" w:type="dxa"/>
              <w:right w:w="170" w:type="dxa"/>
            </w:tcMar>
            <w:vAlign w:val="bottom"/>
          </w:tcPr>
          <w:p w:rsidR="00F0329A" w:rsidRPr="00E91BF8" w:rsidRDefault="00F0329A" w:rsidP="00F0329A">
            <w:pPr>
              <w:spacing w:before="40" w:after="20"/>
              <w:ind w:left="-57" w:right="-57"/>
              <w:jc w:val="right"/>
              <w:rPr>
                <w:rFonts w:ascii="Arial Narrow" w:hAnsi="Arial Narrow" w:cs="Arial"/>
                <w:sz w:val="18"/>
                <w:szCs w:val="18"/>
              </w:rPr>
            </w:pPr>
            <w:r w:rsidRPr="00E91BF8">
              <w:rPr>
                <w:rFonts w:ascii="Arial Narrow" w:hAnsi="Arial Narrow" w:cs="Arial"/>
                <w:sz w:val="18"/>
                <w:szCs w:val="18"/>
              </w:rPr>
              <w:t>-3,1</w:t>
            </w:r>
          </w:p>
        </w:tc>
        <w:tc>
          <w:tcPr>
            <w:tcW w:w="850" w:type="dxa"/>
            <w:shd w:val="clear" w:color="auto" w:fill="D9D9D9" w:themeFill="background1" w:themeFillShade="D9"/>
            <w:tcMar>
              <w:left w:w="170" w:type="dxa"/>
              <w:right w:w="170" w:type="dxa"/>
            </w:tcMar>
            <w:vAlign w:val="bottom"/>
          </w:tcPr>
          <w:p w:rsidR="00F0329A" w:rsidRPr="00141BD5" w:rsidRDefault="00F0329A" w:rsidP="00F0329A">
            <w:pPr>
              <w:spacing w:before="40" w:after="20"/>
              <w:ind w:left="-57" w:right="-57"/>
              <w:jc w:val="right"/>
              <w:rPr>
                <w:rFonts w:ascii="Arial Narrow" w:hAnsi="Arial Narrow" w:cs="Arial"/>
                <w:sz w:val="18"/>
                <w:szCs w:val="18"/>
              </w:rPr>
            </w:pPr>
            <w:r w:rsidRPr="00141BD5">
              <w:rPr>
                <w:rFonts w:ascii="Arial Narrow" w:hAnsi="Arial Narrow" w:cs="Arial"/>
                <w:sz w:val="18"/>
                <w:szCs w:val="18"/>
              </w:rPr>
              <w:t>-0,9</w:t>
            </w:r>
          </w:p>
        </w:tc>
        <w:tc>
          <w:tcPr>
            <w:tcW w:w="1559" w:type="dxa"/>
            <w:shd w:val="clear" w:color="auto" w:fill="auto"/>
            <w:vAlign w:val="bottom"/>
          </w:tcPr>
          <w:p w:rsidR="00F0329A" w:rsidRPr="00F0329A" w:rsidRDefault="00F0329A" w:rsidP="00F0329A">
            <w:pPr>
              <w:spacing w:before="40" w:after="20"/>
              <w:ind w:left="-57" w:right="-57"/>
              <w:jc w:val="right"/>
              <w:rPr>
                <w:rFonts w:ascii="Arial Narrow" w:hAnsi="Arial Narrow" w:cs="Arial"/>
                <w:sz w:val="18"/>
                <w:szCs w:val="18"/>
              </w:rPr>
            </w:pPr>
            <w:r w:rsidRPr="00F0329A">
              <w:rPr>
                <w:rFonts w:ascii="Arial Narrow" w:hAnsi="Arial Narrow" w:cs="Arial"/>
                <w:sz w:val="18"/>
                <w:szCs w:val="18"/>
              </w:rPr>
              <w:t>2,249</w:t>
            </w:r>
          </w:p>
        </w:tc>
      </w:tr>
      <w:tr w:rsidR="00F0329A" w:rsidRPr="001D29FC" w:rsidTr="00D331B6">
        <w:tblPrEx>
          <w:tblBorders>
            <w:top w:val="single" w:sz="4" w:space="0" w:color="auto"/>
            <w:bottom w:val="single" w:sz="4" w:space="0" w:color="auto"/>
            <w:insideH w:val="single" w:sz="4" w:space="0" w:color="auto"/>
          </w:tblBorders>
          <w:tblCellMar>
            <w:left w:w="108" w:type="dxa"/>
            <w:right w:w="108" w:type="dxa"/>
          </w:tblCellMar>
          <w:tblLook w:val="01E0" w:firstRow="1" w:lastRow="1" w:firstColumn="1" w:lastColumn="1" w:noHBand="0" w:noVBand="0"/>
        </w:tblPrEx>
        <w:trPr>
          <w:trHeight w:val="284"/>
        </w:trPr>
        <w:tc>
          <w:tcPr>
            <w:tcW w:w="2125" w:type="dxa"/>
            <w:vAlign w:val="center"/>
          </w:tcPr>
          <w:p w:rsidR="00F0329A" w:rsidRPr="001D29FC" w:rsidRDefault="00F0329A" w:rsidP="00F0329A">
            <w:pPr>
              <w:spacing w:before="0" w:after="0"/>
              <w:rPr>
                <w:rFonts w:ascii="Arial Narrow" w:hAnsi="Arial Narrow" w:cs="Arial"/>
                <w:sz w:val="18"/>
                <w:szCs w:val="18"/>
              </w:rPr>
            </w:pPr>
            <w:r w:rsidRPr="001D29FC">
              <w:rPr>
                <w:rFonts w:ascii="Arial Narrow" w:hAnsi="Arial Narrow" w:cs="Arial"/>
                <w:sz w:val="18"/>
                <w:szCs w:val="18"/>
              </w:rPr>
              <w:t>Bassa frequenza</w:t>
            </w:r>
          </w:p>
        </w:tc>
        <w:tc>
          <w:tcPr>
            <w:tcW w:w="710" w:type="dxa"/>
            <w:shd w:val="clear" w:color="auto" w:fill="D9D9D9" w:themeFill="background1" w:themeFillShade="D9"/>
            <w:vAlign w:val="center"/>
          </w:tcPr>
          <w:p w:rsidR="00F0329A" w:rsidRPr="004D03D9" w:rsidRDefault="00F0329A" w:rsidP="00F0329A">
            <w:pPr>
              <w:spacing w:before="40" w:after="20"/>
              <w:ind w:left="-57" w:right="-57"/>
              <w:jc w:val="right"/>
              <w:rPr>
                <w:rFonts w:ascii="Arial Narrow" w:hAnsi="Arial Narrow" w:cs="Arial"/>
                <w:sz w:val="18"/>
                <w:szCs w:val="18"/>
              </w:rPr>
            </w:pPr>
            <w:r>
              <w:rPr>
                <w:rFonts w:ascii="Arial Narrow" w:hAnsi="Arial Narrow" w:cs="Arial"/>
                <w:sz w:val="18"/>
                <w:szCs w:val="18"/>
              </w:rPr>
              <w:t>+3,0</w:t>
            </w:r>
          </w:p>
        </w:tc>
        <w:tc>
          <w:tcPr>
            <w:tcW w:w="567" w:type="dxa"/>
            <w:vAlign w:val="bottom"/>
          </w:tcPr>
          <w:p w:rsidR="00F0329A" w:rsidRPr="00E61719" w:rsidRDefault="00F0329A" w:rsidP="00F0329A">
            <w:pPr>
              <w:spacing w:before="40" w:after="20"/>
              <w:ind w:left="-57" w:right="-57"/>
              <w:jc w:val="right"/>
              <w:rPr>
                <w:rFonts w:ascii="Arial Narrow" w:hAnsi="Arial Narrow" w:cs="Arial"/>
                <w:sz w:val="18"/>
                <w:szCs w:val="18"/>
              </w:rPr>
            </w:pPr>
            <w:r>
              <w:rPr>
                <w:rFonts w:ascii="Arial Narrow" w:hAnsi="Arial Narrow" w:cs="Arial"/>
                <w:sz w:val="18"/>
                <w:szCs w:val="18"/>
              </w:rPr>
              <w:t>+</w:t>
            </w:r>
            <w:r w:rsidRPr="00E61719">
              <w:rPr>
                <w:rFonts w:ascii="Arial Narrow" w:hAnsi="Arial Narrow" w:cs="Arial"/>
                <w:sz w:val="18"/>
                <w:szCs w:val="18"/>
              </w:rPr>
              <w:t>4,8</w:t>
            </w:r>
          </w:p>
        </w:tc>
        <w:tc>
          <w:tcPr>
            <w:tcW w:w="709" w:type="dxa"/>
            <w:shd w:val="clear" w:color="auto" w:fill="D9D9D9" w:themeFill="background1" w:themeFillShade="D9"/>
            <w:vAlign w:val="bottom"/>
          </w:tcPr>
          <w:p w:rsidR="00F0329A" w:rsidRPr="00E61719" w:rsidRDefault="00F0329A" w:rsidP="00F0329A">
            <w:pPr>
              <w:spacing w:before="40" w:after="20"/>
              <w:ind w:left="-57" w:right="-57"/>
              <w:jc w:val="right"/>
              <w:rPr>
                <w:rFonts w:ascii="Arial Narrow" w:hAnsi="Arial Narrow" w:cs="Arial"/>
                <w:sz w:val="18"/>
                <w:szCs w:val="18"/>
              </w:rPr>
            </w:pPr>
            <w:r>
              <w:rPr>
                <w:rFonts w:ascii="Arial Narrow" w:hAnsi="Arial Narrow" w:cs="Arial"/>
                <w:sz w:val="18"/>
                <w:szCs w:val="18"/>
              </w:rPr>
              <w:t>+</w:t>
            </w:r>
            <w:r w:rsidRPr="00E61719">
              <w:rPr>
                <w:rFonts w:ascii="Arial Narrow" w:hAnsi="Arial Narrow" w:cs="Arial"/>
                <w:sz w:val="18"/>
                <w:szCs w:val="18"/>
              </w:rPr>
              <w:t>4,4</w:t>
            </w:r>
          </w:p>
        </w:tc>
        <w:tc>
          <w:tcPr>
            <w:tcW w:w="567" w:type="dxa"/>
            <w:vAlign w:val="bottom"/>
          </w:tcPr>
          <w:p w:rsidR="00F0329A" w:rsidRPr="00E61719" w:rsidRDefault="00F0329A" w:rsidP="00F0329A">
            <w:pPr>
              <w:spacing w:before="40" w:after="20"/>
              <w:ind w:left="-57" w:right="-57"/>
              <w:jc w:val="right"/>
              <w:rPr>
                <w:rFonts w:ascii="Arial Narrow" w:hAnsi="Arial Narrow" w:cs="Arial"/>
                <w:sz w:val="18"/>
                <w:szCs w:val="18"/>
              </w:rPr>
            </w:pPr>
            <w:r>
              <w:rPr>
                <w:rFonts w:ascii="Arial Narrow" w:hAnsi="Arial Narrow" w:cs="Arial"/>
                <w:sz w:val="18"/>
                <w:szCs w:val="18"/>
              </w:rPr>
              <w:t>+</w:t>
            </w:r>
            <w:r w:rsidRPr="00E61719">
              <w:rPr>
                <w:rFonts w:ascii="Arial Narrow" w:hAnsi="Arial Narrow" w:cs="Arial"/>
                <w:sz w:val="18"/>
                <w:szCs w:val="18"/>
              </w:rPr>
              <w:t>3,6</w:t>
            </w:r>
          </w:p>
        </w:tc>
        <w:tc>
          <w:tcPr>
            <w:tcW w:w="709" w:type="dxa"/>
            <w:shd w:val="clear" w:color="auto" w:fill="D9D9D9" w:themeFill="background1" w:themeFillShade="D9"/>
            <w:vAlign w:val="bottom"/>
          </w:tcPr>
          <w:p w:rsidR="00F0329A" w:rsidRPr="00E61719" w:rsidRDefault="00F0329A" w:rsidP="00F0329A">
            <w:pPr>
              <w:spacing w:before="40" w:after="20"/>
              <w:ind w:left="-57" w:right="-57"/>
              <w:jc w:val="right"/>
              <w:rPr>
                <w:rFonts w:ascii="Arial Narrow" w:hAnsi="Arial Narrow" w:cs="Arial"/>
                <w:sz w:val="18"/>
                <w:szCs w:val="18"/>
              </w:rPr>
            </w:pPr>
            <w:r>
              <w:rPr>
                <w:rFonts w:ascii="Arial Narrow" w:hAnsi="Arial Narrow" w:cs="Arial"/>
                <w:sz w:val="18"/>
                <w:szCs w:val="18"/>
              </w:rPr>
              <w:t>+</w:t>
            </w:r>
            <w:r w:rsidRPr="00E61719">
              <w:rPr>
                <w:rFonts w:ascii="Arial Narrow" w:hAnsi="Arial Narrow" w:cs="Arial"/>
                <w:sz w:val="18"/>
                <w:szCs w:val="18"/>
              </w:rPr>
              <w:t>2,1</w:t>
            </w:r>
          </w:p>
        </w:tc>
        <w:tc>
          <w:tcPr>
            <w:tcW w:w="568" w:type="dxa"/>
            <w:shd w:val="clear" w:color="auto" w:fill="auto"/>
            <w:vAlign w:val="center"/>
          </w:tcPr>
          <w:p w:rsidR="00F0329A" w:rsidRPr="006E215E" w:rsidRDefault="00F0329A" w:rsidP="00F0329A">
            <w:pPr>
              <w:spacing w:before="40" w:after="20"/>
              <w:ind w:left="-57" w:right="-57"/>
              <w:jc w:val="right"/>
              <w:rPr>
                <w:rFonts w:ascii="Arial Narrow" w:hAnsi="Arial Narrow" w:cs="Arial"/>
                <w:sz w:val="18"/>
                <w:szCs w:val="18"/>
              </w:rPr>
            </w:pPr>
            <w:r w:rsidRPr="006E215E">
              <w:rPr>
                <w:rFonts w:ascii="Arial Narrow" w:hAnsi="Arial Narrow" w:cs="Arial"/>
                <w:sz w:val="18"/>
                <w:szCs w:val="18"/>
              </w:rPr>
              <w:t>+3,7</w:t>
            </w:r>
          </w:p>
        </w:tc>
        <w:tc>
          <w:tcPr>
            <w:tcW w:w="991" w:type="dxa"/>
            <w:shd w:val="clear" w:color="auto" w:fill="D9D9D9" w:themeFill="background1" w:themeFillShade="D9"/>
            <w:tcMar>
              <w:left w:w="170" w:type="dxa"/>
              <w:right w:w="170" w:type="dxa"/>
            </w:tcMar>
            <w:vAlign w:val="bottom"/>
          </w:tcPr>
          <w:p w:rsidR="00F0329A" w:rsidRPr="0005240F" w:rsidRDefault="00F0329A" w:rsidP="00F0329A">
            <w:pPr>
              <w:spacing w:before="40" w:after="20"/>
              <w:ind w:left="-57" w:right="-57"/>
              <w:jc w:val="right"/>
              <w:rPr>
                <w:rFonts w:ascii="Arial Narrow" w:hAnsi="Arial Narrow" w:cs="Arial"/>
                <w:sz w:val="18"/>
                <w:szCs w:val="18"/>
              </w:rPr>
            </w:pPr>
            <w:r>
              <w:rPr>
                <w:rFonts w:ascii="Arial Narrow" w:hAnsi="Arial Narrow" w:cs="Arial"/>
                <w:sz w:val="18"/>
                <w:szCs w:val="18"/>
              </w:rPr>
              <w:t>+</w:t>
            </w:r>
            <w:r w:rsidRPr="0005240F">
              <w:rPr>
                <w:rFonts w:ascii="Arial Narrow" w:hAnsi="Arial Narrow" w:cs="Arial"/>
                <w:sz w:val="18"/>
                <w:szCs w:val="18"/>
              </w:rPr>
              <w:t>2,2</w:t>
            </w:r>
          </w:p>
        </w:tc>
        <w:tc>
          <w:tcPr>
            <w:tcW w:w="851" w:type="dxa"/>
            <w:shd w:val="clear" w:color="auto" w:fill="auto"/>
            <w:tcMar>
              <w:left w:w="170" w:type="dxa"/>
              <w:right w:w="170" w:type="dxa"/>
            </w:tcMar>
            <w:vAlign w:val="bottom"/>
          </w:tcPr>
          <w:p w:rsidR="00F0329A" w:rsidRPr="00E91BF8" w:rsidRDefault="00F0329A" w:rsidP="00F0329A">
            <w:pPr>
              <w:spacing w:before="40" w:after="20"/>
              <w:ind w:left="-57" w:right="-57"/>
              <w:jc w:val="right"/>
              <w:rPr>
                <w:rFonts w:ascii="Arial Narrow" w:hAnsi="Arial Narrow" w:cs="Arial"/>
                <w:sz w:val="18"/>
                <w:szCs w:val="18"/>
              </w:rPr>
            </w:pPr>
            <w:r>
              <w:rPr>
                <w:rFonts w:ascii="Arial Narrow" w:hAnsi="Arial Narrow" w:cs="Arial"/>
                <w:sz w:val="18"/>
                <w:szCs w:val="18"/>
              </w:rPr>
              <w:t>+</w:t>
            </w:r>
            <w:r w:rsidRPr="00E91BF8">
              <w:rPr>
                <w:rFonts w:ascii="Arial Narrow" w:hAnsi="Arial Narrow" w:cs="Arial"/>
                <w:sz w:val="18"/>
                <w:szCs w:val="18"/>
              </w:rPr>
              <w:t>1,5</w:t>
            </w:r>
          </w:p>
        </w:tc>
        <w:tc>
          <w:tcPr>
            <w:tcW w:w="850" w:type="dxa"/>
            <w:shd w:val="clear" w:color="auto" w:fill="D9D9D9" w:themeFill="background1" w:themeFillShade="D9"/>
            <w:tcMar>
              <w:left w:w="170" w:type="dxa"/>
              <w:right w:w="170" w:type="dxa"/>
            </w:tcMar>
            <w:vAlign w:val="bottom"/>
          </w:tcPr>
          <w:p w:rsidR="00F0329A" w:rsidRPr="00141BD5" w:rsidRDefault="00F0329A" w:rsidP="00F0329A">
            <w:pPr>
              <w:spacing w:before="40" w:after="20"/>
              <w:ind w:left="-57" w:right="-57"/>
              <w:jc w:val="right"/>
              <w:rPr>
                <w:rFonts w:ascii="Arial Narrow" w:hAnsi="Arial Narrow" w:cs="Arial"/>
                <w:sz w:val="18"/>
                <w:szCs w:val="18"/>
              </w:rPr>
            </w:pPr>
            <w:r>
              <w:rPr>
                <w:rFonts w:ascii="Arial Narrow" w:hAnsi="Arial Narrow" w:cs="Arial"/>
                <w:sz w:val="18"/>
                <w:szCs w:val="18"/>
              </w:rPr>
              <w:t>+</w:t>
            </w:r>
            <w:r w:rsidRPr="00141BD5">
              <w:rPr>
                <w:rFonts w:ascii="Arial Narrow" w:hAnsi="Arial Narrow" w:cs="Arial"/>
                <w:sz w:val="18"/>
                <w:szCs w:val="18"/>
              </w:rPr>
              <w:t>0,3</w:t>
            </w:r>
          </w:p>
        </w:tc>
        <w:tc>
          <w:tcPr>
            <w:tcW w:w="1559" w:type="dxa"/>
            <w:shd w:val="clear" w:color="auto" w:fill="auto"/>
            <w:vAlign w:val="bottom"/>
          </w:tcPr>
          <w:p w:rsidR="00F0329A" w:rsidRPr="00F0329A" w:rsidRDefault="00F0329A" w:rsidP="00F0329A">
            <w:pPr>
              <w:spacing w:before="40" w:after="20"/>
              <w:ind w:left="-57" w:right="-57"/>
              <w:jc w:val="right"/>
              <w:rPr>
                <w:rFonts w:ascii="Arial Narrow" w:hAnsi="Arial Narrow" w:cs="Arial"/>
                <w:sz w:val="18"/>
                <w:szCs w:val="18"/>
              </w:rPr>
            </w:pPr>
            <w:r w:rsidRPr="00F0329A">
              <w:rPr>
                <w:rFonts w:ascii="Arial Narrow" w:hAnsi="Arial Narrow" w:cs="Arial"/>
                <w:sz w:val="18"/>
                <w:szCs w:val="18"/>
              </w:rPr>
              <w:t>0,732</w:t>
            </w:r>
          </w:p>
        </w:tc>
      </w:tr>
      <w:tr w:rsidR="004B5573" w:rsidRPr="001D29FC" w:rsidTr="00DC6658">
        <w:tblPrEx>
          <w:tblBorders>
            <w:top w:val="single" w:sz="4" w:space="0" w:color="auto"/>
            <w:bottom w:val="single" w:sz="4" w:space="0" w:color="auto"/>
            <w:insideH w:val="single" w:sz="4" w:space="0" w:color="auto"/>
          </w:tblBorders>
          <w:tblCellMar>
            <w:left w:w="108" w:type="dxa"/>
            <w:right w:w="108" w:type="dxa"/>
          </w:tblCellMar>
          <w:tblLook w:val="01E0" w:firstRow="1" w:lastRow="1" w:firstColumn="1" w:lastColumn="1" w:noHBand="0" w:noVBand="0"/>
        </w:tblPrEx>
        <w:trPr>
          <w:trHeight w:val="284"/>
        </w:trPr>
        <w:tc>
          <w:tcPr>
            <w:tcW w:w="2125" w:type="dxa"/>
            <w:shd w:val="clear" w:color="auto" w:fill="FF0000"/>
            <w:vAlign w:val="center"/>
          </w:tcPr>
          <w:p w:rsidR="004B5573" w:rsidRPr="001D29FC" w:rsidRDefault="004B5573" w:rsidP="004B5573">
            <w:pPr>
              <w:spacing w:before="0" w:after="0"/>
              <w:rPr>
                <w:rFonts w:ascii="Arial" w:hAnsi="Arial" w:cs="Arial"/>
                <w:bCs/>
                <w:sz w:val="18"/>
                <w:szCs w:val="18"/>
              </w:rPr>
            </w:pPr>
            <w:r w:rsidRPr="001D29FC">
              <w:rPr>
                <w:rFonts w:ascii="Arial Narrow" w:hAnsi="Arial Narrow" w:cs="Arial"/>
                <w:b/>
                <w:bCs/>
                <w:color w:val="FFFFFF"/>
                <w:sz w:val="18"/>
                <w:szCs w:val="18"/>
              </w:rPr>
              <w:t>Indice generale</w:t>
            </w:r>
          </w:p>
        </w:tc>
        <w:tc>
          <w:tcPr>
            <w:tcW w:w="710" w:type="dxa"/>
            <w:shd w:val="clear" w:color="auto" w:fill="FF0000"/>
            <w:vAlign w:val="center"/>
          </w:tcPr>
          <w:p w:rsidR="004B5573" w:rsidRPr="004D03D9" w:rsidRDefault="004B5573" w:rsidP="004B5573">
            <w:pPr>
              <w:spacing w:before="40" w:after="20"/>
              <w:ind w:left="-57" w:right="-57"/>
              <w:jc w:val="right"/>
              <w:rPr>
                <w:rFonts w:ascii="Arial Narrow" w:hAnsi="Arial Narrow" w:cs="Arial"/>
                <w:b/>
                <w:color w:val="FFFFFF" w:themeColor="background1"/>
                <w:sz w:val="18"/>
                <w:szCs w:val="18"/>
              </w:rPr>
            </w:pPr>
            <w:r>
              <w:rPr>
                <w:rFonts w:ascii="Arial Narrow" w:hAnsi="Arial Narrow" w:cs="Arial"/>
                <w:b/>
                <w:color w:val="FFFFFF" w:themeColor="background1"/>
                <w:sz w:val="18"/>
                <w:szCs w:val="18"/>
              </w:rPr>
              <w:t>+8,1</w:t>
            </w:r>
          </w:p>
        </w:tc>
        <w:tc>
          <w:tcPr>
            <w:tcW w:w="567" w:type="dxa"/>
            <w:shd w:val="clear" w:color="auto" w:fill="FF0000"/>
            <w:vAlign w:val="bottom"/>
          </w:tcPr>
          <w:p w:rsidR="004B5573" w:rsidRPr="006D025C" w:rsidRDefault="004B5573" w:rsidP="004B5573">
            <w:pPr>
              <w:spacing w:before="40" w:after="20"/>
              <w:ind w:left="-57" w:right="-57"/>
              <w:jc w:val="right"/>
              <w:rPr>
                <w:rFonts w:ascii="Arial Narrow" w:hAnsi="Arial Narrow" w:cs="Arial"/>
                <w:b/>
                <w:color w:val="FFFFFF" w:themeColor="background1"/>
                <w:sz w:val="18"/>
                <w:szCs w:val="18"/>
              </w:rPr>
            </w:pPr>
            <w:r w:rsidRPr="006D025C">
              <w:rPr>
                <w:rFonts w:ascii="Arial Narrow" w:hAnsi="Arial Narrow" w:cs="Arial"/>
                <w:b/>
                <w:color w:val="FFFFFF" w:themeColor="background1"/>
                <w:sz w:val="18"/>
                <w:szCs w:val="18"/>
              </w:rPr>
              <w:t>+</w:t>
            </w:r>
            <w:r>
              <w:rPr>
                <w:rFonts w:ascii="Arial Narrow" w:hAnsi="Arial Narrow" w:cs="Arial"/>
                <w:b/>
                <w:color w:val="FFFFFF" w:themeColor="background1"/>
                <w:sz w:val="18"/>
                <w:szCs w:val="18"/>
              </w:rPr>
              <w:t>9,1</w:t>
            </w:r>
          </w:p>
        </w:tc>
        <w:tc>
          <w:tcPr>
            <w:tcW w:w="709" w:type="dxa"/>
            <w:shd w:val="clear" w:color="auto" w:fill="FF0000"/>
            <w:vAlign w:val="bottom"/>
          </w:tcPr>
          <w:p w:rsidR="004B5573" w:rsidRPr="006D025C" w:rsidRDefault="004B5573" w:rsidP="004B5573">
            <w:pPr>
              <w:spacing w:before="40" w:after="20"/>
              <w:ind w:left="-57" w:right="-57"/>
              <w:jc w:val="right"/>
              <w:rPr>
                <w:rFonts w:ascii="Arial Narrow" w:hAnsi="Arial Narrow" w:cs="Arial"/>
                <w:b/>
                <w:color w:val="FFFFFF" w:themeColor="background1"/>
                <w:sz w:val="18"/>
                <w:szCs w:val="18"/>
              </w:rPr>
            </w:pPr>
            <w:r w:rsidRPr="006D025C">
              <w:rPr>
                <w:rFonts w:ascii="Arial Narrow" w:hAnsi="Arial Narrow" w:cs="Arial"/>
                <w:b/>
                <w:color w:val="FFFFFF" w:themeColor="background1"/>
                <w:sz w:val="18"/>
                <w:szCs w:val="18"/>
              </w:rPr>
              <w:t>+7,</w:t>
            </w:r>
            <w:r>
              <w:rPr>
                <w:rFonts w:ascii="Arial Narrow" w:hAnsi="Arial Narrow" w:cs="Arial"/>
                <w:b/>
                <w:color w:val="FFFFFF" w:themeColor="background1"/>
                <w:sz w:val="18"/>
                <w:szCs w:val="18"/>
              </w:rPr>
              <w:t>5</w:t>
            </w:r>
          </w:p>
        </w:tc>
        <w:tc>
          <w:tcPr>
            <w:tcW w:w="567" w:type="dxa"/>
            <w:shd w:val="clear" w:color="auto" w:fill="FF0000"/>
            <w:vAlign w:val="bottom"/>
          </w:tcPr>
          <w:p w:rsidR="004B5573" w:rsidRPr="006D025C" w:rsidRDefault="004B5573" w:rsidP="004B5573">
            <w:pPr>
              <w:spacing w:before="40" w:after="20"/>
              <w:ind w:left="-57" w:right="-57"/>
              <w:jc w:val="right"/>
              <w:rPr>
                <w:rFonts w:ascii="Arial Narrow" w:hAnsi="Arial Narrow" w:cs="Arial"/>
                <w:b/>
                <w:color w:val="FFFFFF" w:themeColor="background1"/>
                <w:sz w:val="18"/>
                <w:szCs w:val="18"/>
              </w:rPr>
            </w:pPr>
            <w:r w:rsidRPr="006D025C">
              <w:rPr>
                <w:rFonts w:ascii="Arial Narrow" w:hAnsi="Arial Narrow" w:cs="Arial"/>
                <w:b/>
                <w:color w:val="FFFFFF" w:themeColor="background1"/>
                <w:sz w:val="18"/>
                <w:szCs w:val="18"/>
              </w:rPr>
              <w:t>+</w:t>
            </w:r>
            <w:r>
              <w:rPr>
                <w:rFonts w:ascii="Arial Narrow" w:hAnsi="Arial Narrow" w:cs="Arial"/>
                <w:b/>
                <w:color w:val="FFFFFF" w:themeColor="background1"/>
                <w:sz w:val="18"/>
                <w:szCs w:val="18"/>
              </w:rPr>
              <w:t>5,8</w:t>
            </w:r>
          </w:p>
        </w:tc>
        <w:tc>
          <w:tcPr>
            <w:tcW w:w="709" w:type="dxa"/>
            <w:shd w:val="clear" w:color="auto" w:fill="FF0000"/>
            <w:vAlign w:val="bottom"/>
          </w:tcPr>
          <w:p w:rsidR="004B5573" w:rsidRPr="006D025C" w:rsidRDefault="004B5573" w:rsidP="004B5573">
            <w:pPr>
              <w:spacing w:before="40" w:after="20"/>
              <w:ind w:left="-57" w:right="-57"/>
              <w:jc w:val="right"/>
              <w:rPr>
                <w:rFonts w:ascii="Arial Narrow" w:hAnsi="Arial Narrow" w:cs="Arial"/>
                <w:b/>
                <w:color w:val="FFFFFF" w:themeColor="background1"/>
                <w:sz w:val="18"/>
                <w:szCs w:val="18"/>
              </w:rPr>
            </w:pPr>
            <w:r>
              <w:rPr>
                <w:rFonts w:ascii="Arial Narrow" w:hAnsi="Arial Narrow" w:cs="Arial"/>
                <w:b/>
                <w:color w:val="FFFFFF" w:themeColor="background1"/>
                <w:sz w:val="18"/>
                <w:szCs w:val="18"/>
              </w:rPr>
              <w:t>+1,1</w:t>
            </w:r>
          </w:p>
        </w:tc>
        <w:tc>
          <w:tcPr>
            <w:tcW w:w="568" w:type="dxa"/>
            <w:shd w:val="clear" w:color="auto" w:fill="FF0000"/>
            <w:vAlign w:val="center"/>
          </w:tcPr>
          <w:p w:rsidR="004B5573" w:rsidRPr="006E215E" w:rsidRDefault="004B5573" w:rsidP="004B5573">
            <w:pPr>
              <w:spacing w:before="40" w:after="20"/>
              <w:ind w:left="-57" w:right="-57"/>
              <w:jc w:val="right"/>
              <w:rPr>
                <w:rFonts w:ascii="Arial Narrow" w:hAnsi="Arial Narrow" w:cs="Arial"/>
                <w:b/>
                <w:color w:val="FFFFFF" w:themeColor="background1"/>
                <w:sz w:val="18"/>
                <w:szCs w:val="18"/>
              </w:rPr>
            </w:pPr>
            <w:r w:rsidRPr="006E215E">
              <w:rPr>
                <w:rFonts w:ascii="Arial Narrow" w:hAnsi="Arial Narrow" w:cs="Arial"/>
                <w:b/>
                <w:color w:val="FFFFFF" w:themeColor="background1"/>
                <w:sz w:val="18"/>
                <w:szCs w:val="18"/>
              </w:rPr>
              <w:t>+5,7</w:t>
            </w:r>
          </w:p>
        </w:tc>
        <w:tc>
          <w:tcPr>
            <w:tcW w:w="991" w:type="dxa"/>
            <w:shd w:val="clear" w:color="auto" w:fill="FF0000"/>
            <w:tcMar>
              <w:left w:w="170" w:type="dxa"/>
              <w:right w:w="170" w:type="dxa"/>
            </w:tcMar>
            <w:vAlign w:val="bottom"/>
          </w:tcPr>
          <w:p w:rsidR="004B5573" w:rsidRPr="0005240F" w:rsidRDefault="004B5573" w:rsidP="004B5573">
            <w:pPr>
              <w:spacing w:before="40" w:after="20"/>
              <w:ind w:left="-57" w:right="-57"/>
              <w:jc w:val="right"/>
              <w:rPr>
                <w:rFonts w:ascii="Arial Narrow" w:hAnsi="Arial Narrow" w:cs="Arial"/>
                <w:b/>
                <w:color w:val="FFFFFF" w:themeColor="background1"/>
                <w:sz w:val="18"/>
                <w:szCs w:val="18"/>
              </w:rPr>
            </w:pPr>
            <w:r w:rsidRPr="0005240F">
              <w:rPr>
                <w:rFonts w:ascii="Arial Narrow" w:hAnsi="Arial Narrow" w:cs="Arial"/>
                <w:b/>
                <w:color w:val="FFFFFF" w:themeColor="background1"/>
                <w:sz w:val="18"/>
                <w:szCs w:val="18"/>
              </w:rPr>
              <w:t>+</w:t>
            </w:r>
            <w:r>
              <w:rPr>
                <w:rFonts w:ascii="Arial Narrow" w:hAnsi="Arial Narrow" w:cs="Arial"/>
                <w:b/>
                <w:color w:val="FFFFFF" w:themeColor="background1"/>
                <w:sz w:val="18"/>
                <w:szCs w:val="18"/>
              </w:rPr>
              <w:t>5,1</w:t>
            </w:r>
          </w:p>
        </w:tc>
        <w:tc>
          <w:tcPr>
            <w:tcW w:w="851" w:type="dxa"/>
            <w:shd w:val="clear" w:color="auto" w:fill="FF0000"/>
            <w:tcMar>
              <w:left w:w="170" w:type="dxa"/>
              <w:right w:w="170" w:type="dxa"/>
            </w:tcMar>
            <w:vAlign w:val="center"/>
          </w:tcPr>
          <w:p w:rsidR="004B5573" w:rsidRPr="00E91BF8" w:rsidRDefault="004B5573" w:rsidP="004B5573">
            <w:pPr>
              <w:spacing w:before="40" w:after="20"/>
              <w:ind w:left="-57" w:right="-57"/>
              <w:jc w:val="right"/>
              <w:rPr>
                <w:rFonts w:ascii="Arial Narrow" w:hAnsi="Arial Narrow" w:cs="Arial"/>
                <w:b/>
                <w:color w:val="FFFFFF" w:themeColor="background1"/>
                <w:sz w:val="18"/>
                <w:szCs w:val="18"/>
              </w:rPr>
            </w:pPr>
            <w:r w:rsidRPr="00E91BF8">
              <w:rPr>
                <w:rFonts w:ascii="Arial Narrow" w:hAnsi="Arial Narrow" w:cs="Arial"/>
                <w:b/>
                <w:color w:val="FFFFFF" w:themeColor="background1"/>
                <w:sz w:val="18"/>
                <w:szCs w:val="18"/>
              </w:rPr>
              <w:t>+0,5</w:t>
            </w:r>
          </w:p>
        </w:tc>
        <w:tc>
          <w:tcPr>
            <w:tcW w:w="850" w:type="dxa"/>
            <w:shd w:val="clear" w:color="auto" w:fill="FF0000"/>
            <w:tcMar>
              <w:left w:w="170" w:type="dxa"/>
              <w:right w:w="170" w:type="dxa"/>
            </w:tcMar>
            <w:vAlign w:val="center"/>
          </w:tcPr>
          <w:p w:rsidR="004B5573" w:rsidRPr="00141BD5" w:rsidRDefault="004B5573" w:rsidP="004B5573">
            <w:pPr>
              <w:spacing w:before="40" w:after="20"/>
              <w:ind w:left="-57" w:right="-57"/>
              <w:jc w:val="right"/>
              <w:rPr>
                <w:rFonts w:ascii="Arial Narrow" w:hAnsi="Arial Narrow" w:cs="Arial"/>
                <w:b/>
                <w:color w:val="FFFFFF" w:themeColor="background1"/>
                <w:sz w:val="18"/>
                <w:szCs w:val="18"/>
              </w:rPr>
            </w:pPr>
            <w:r w:rsidRPr="00141BD5">
              <w:rPr>
                <w:rFonts w:ascii="Arial Narrow" w:hAnsi="Arial Narrow" w:cs="Arial"/>
                <w:b/>
                <w:color w:val="FFFFFF" w:themeColor="background1"/>
                <w:sz w:val="18"/>
                <w:szCs w:val="18"/>
              </w:rPr>
              <w:t>+0,1</w:t>
            </w:r>
          </w:p>
        </w:tc>
        <w:tc>
          <w:tcPr>
            <w:tcW w:w="1559" w:type="dxa"/>
            <w:shd w:val="clear" w:color="auto" w:fill="FF0000"/>
            <w:vAlign w:val="bottom"/>
          </w:tcPr>
          <w:p w:rsidR="004B5573" w:rsidRPr="00267BA3" w:rsidRDefault="004B5573" w:rsidP="004B5573">
            <w:pPr>
              <w:spacing w:before="40" w:after="20"/>
              <w:ind w:left="-57" w:right="-57"/>
              <w:jc w:val="right"/>
              <w:rPr>
                <w:rFonts w:ascii="Arial Narrow" w:hAnsi="Arial Narrow" w:cs="Arial"/>
                <w:b/>
                <w:color w:val="FFFFFF" w:themeColor="background1"/>
                <w:sz w:val="18"/>
                <w:szCs w:val="18"/>
              </w:rPr>
            </w:pPr>
          </w:p>
        </w:tc>
      </w:tr>
    </w:tbl>
    <w:p w:rsidR="00857F6C" w:rsidRPr="001D29FC" w:rsidRDefault="00857F6C" w:rsidP="00857F6C">
      <w:pPr>
        <w:spacing w:before="0" w:after="0"/>
        <w:jc w:val="both"/>
        <w:rPr>
          <w:rFonts w:ascii="Arial Narrow" w:hAnsi="Arial Narrow" w:cs="Arial"/>
          <w:sz w:val="15"/>
          <w:szCs w:val="15"/>
        </w:rPr>
      </w:pPr>
      <w:r w:rsidRPr="001D29FC">
        <w:rPr>
          <w:rFonts w:ascii="Arial Narrow" w:hAnsi="Arial Narrow" w:cs="Arial"/>
          <w:sz w:val="15"/>
          <w:szCs w:val="15"/>
        </w:rPr>
        <w:t xml:space="preserve">Per il calcolo dei tassi di inflazione ereditato e proprio </w:t>
      </w:r>
      <w:r w:rsidRPr="001D29FC">
        <w:rPr>
          <w:rFonts w:ascii="Arial Narrow" w:hAnsi="Arial Narrow" w:cs="Arial"/>
          <w:i/>
          <w:sz w:val="15"/>
          <w:szCs w:val="15"/>
        </w:rPr>
        <w:t>Cfr</w:t>
      </w:r>
      <w:r w:rsidRPr="001D29FC">
        <w:rPr>
          <w:rFonts w:ascii="Arial Narrow" w:hAnsi="Arial Narrow" w:cs="Arial"/>
          <w:sz w:val="15"/>
          <w:szCs w:val="15"/>
        </w:rPr>
        <w:t xml:space="preserve">. il Glossario. </w:t>
      </w:r>
    </w:p>
    <w:p w:rsidR="00857F6C" w:rsidRDefault="00857F6C" w:rsidP="00857F6C">
      <w:pPr>
        <w:tabs>
          <w:tab w:val="left" w:pos="2940"/>
        </w:tabs>
        <w:spacing w:before="0" w:after="120"/>
        <w:jc w:val="both"/>
        <w:rPr>
          <w:rFonts w:ascii="Arial" w:hAnsi="Arial" w:cs="Arial"/>
          <w:bCs/>
        </w:rPr>
      </w:pPr>
    </w:p>
    <w:p w:rsidR="000D0FAD" w:rsidRDefault="000D0FAD" w:rsidP="00857F6C">
      <w:pPr>
        <w:spacing w:before="240" w:after="120"/>
        <w:jc w:val="both"/>
        <w:rPr>
          <w:rFonts w:ascii="Arial" w:hAnsi="Arial" w:cs="Arial"/>
          <w:b/>
        </w:rPr>
      </w:pPr>
    </w:p>
    <w:p w:rsidR="00FF2F4C" w:rsidRPr="001D29FC" w:rsidRDefault="00FF2F4C" w:rsidP="00857F6C">
      <w:pPr>
        <w:spacing w:before="240" w:after="120"/>
        <w:jc w:val="both"/>
        <w:rPr>
          <w:rFonts w:ascii="Arial" w:hAnsi="Arial" w:cs="Arial"/>
        </w:rPr>
      </w:pPr>
      <w:r w:rsidRPr="001D29FC">
        <w:rPr>
          <w:rFonts w:ascii="Arial" w:hAnsi="Arial" w:cs="Arial"/>
          <w:b/>
        </w:rPr>
        <w:t xml:space="preserve">I dati del territorio </w:t>
      </w:r>
    </w:p>
    <w:p w:rsidR="00CB5EB9" w:rsidRPr="00A24229" w:rsidRDefault="00DA73D9" w:rsidP="00CB5EB9">
      <w:pPr>
        <w:tabs>
          <w:tab w:val="left" w:pos="2940"/>
        </w:tabs>
        <w:spacing w:before="0" w:after="120"/>
        <w:jc w:val="both"/>
        <w:rPr>
          <w:rFonts w:ascii="Arial" w:hAnsi="Arial" w:cs="Arial"/>
          <w:iCs/>
          <w:sz w:val="21"/>
          <w:szCs w:val="21"/>
        </w:rPr>
      </w:pPr>
      <w:r>
        <w:rPr>
          <w:rFonts w:ascii="Arial" w:hAnsi="Arial" w:cs="Arial"/>
          <w:iCs/>
          <w:sz w:val="21"/>
          <w:szCs w:val="21"/>
        </w:rPr>
        <w:t>La de</w:t>
      </w:r>
      <w:r w:rsidR="00CB5EB9" w:rsidRPr="00A24229">
        <w:rPr>
          <w:rFonts w:ascii="Arial" w:hAnsi="Arial" w:cs="Arial"/>
          <w:iCs/>
          <w:sz w:val="21"/>
          <w:szCs w:val="21"/>
        </w:rPr>
        <w:t>celerazione dell’inflazione che caratterizza il 202</w:t>
      </w:r>
      <w:r>
        <w:rPr>
          <w:rFonts w:ascii="Arial" w:hAnsi="Arial" w:cs="Arial"/>
          <w:iCs/>
          <w:sz w:val="21"/>
          <w:szCs w:val="21"/>
        </w:rPr>
        <w:t>3</w:t>
      </w:r>
      <w:r w:rsidR="00CB5EB9" w:rsidRPr="00A24229">
        <w:rPr>
          <w:rFonts w:ascii="Arial" w:hAnsi="Arial" w:cs="Arial"/>
          <w:iCs/>
          <w:sz w:val="21"/>
          <w:szCs w:val="21"/>
        </w:rPr>
        <w:t xml:space="preserve"> si riscontra in tutte le ripartizioni geografiche e tutte le regioni (Figura 7). </w:t>
      </w:r>
    </w:p>
    <w:p w:rsidR="00CB5EB9" w:rsidRDefault="00CB5EB9" w:rsidP="00CB5EB9">
      <w:pPr>
        <w:tabs>
          <w:tab w:val="left" w:pos="2940"/>
        </w:tabs>
        <w:spacing w:before="0" w:after="120"/>
        <w:jc w:val="both"/>
        <w:rPr>
          <w:rFonts w:ascii="Arial" w:hAnsi="Arial" w:cs="Arial"/>
          <w:iCs/>
          <w:sz w:val="21"/>
          <w:szCs w:val="21"/>
        </w:rPr>
      </w:pPr>
      <w:r w:rsidRPr="00A24229">
        <w:rPr>
          <w:rFonts w:ascii="Arial" w:hAnsi="Arial" w:cs="Arial"/>
          <w:iCs/>
          <w:sz w:val="21"/>
          <w:szCs w:val="21"/>
        </w:rPr>
        <w:t>Tutte le ripartizioni geografiche registrano un’inflazione</w:t>
      </w:r>
      <w:r w:rsidR="0004400B">
        <w:rPr>
          <w:rFonts w:ascii="Arial" w:hAnsi="Arial" w:cs="Arial"/>
          <w:iCs/>
          <w:sz w:val="21"/>
          <w:szCs w:val="21"/>
        </w:rPr>
        <w:t>,</w:t>
      </w:r>
      <w:r w:rsidRPr="00A24229">
        <w:rPr>
          <w:rFonts w:ascii="Arial" w:hAnsi="Arial" w:cs="Arial"/>
          <w:iCs/>
          <w:sz w:val="21"/>
          <w:szCs w:val="21"/>
        </w:rPr>
        <w:t xml:space="preserve"> </w:t>
      </w:r>
      <w:r w:rsidR="0004400B">
        <w:rPr>
          <w:rFonts w:ascii="Arial" w:hAnsi="Arial" w:cs="Arial"/>
          <w:iCs/>
          <w:sz w:val="21"/>
          <w:szCs w:val="21"/>
        </w:rPr>
        <w:t xml:space="preserve">seppur ancora </w:t>
      </w:r>
      <w:r w:rsidRPr="00A24229">
        <w:rPr>
          <w:rFonts w:ascii="Arial" w:hAnsi="Arial" w:cs="Arial"/>
          <w:iCs/>
          <w:sz w:val="21"/>
          <w:szCs w:val="21"/>
        </w:rPr>
        <w:t>sostenuta</w:t>
      </w:r>
      <w:r w:rsidR="0004400B">
        <w:rPr>
          <w:rFonts w:ascii="Arial" w:hAnsi="Arial" w:cs="Arial"/>
          <w:iCs/>
          <w:sz w:val="21"/>
          <w:szCs w:val="21"/>
        </w:rPr>
        <w:t>,</w:t>
      </w:r>
      <w:r w:rsidR="001405F7" w:rsidRPr="001405F7">
        <w:rPr>
          <w:rFonts w:ascii="Arial" w:hAnsi="Arial" w:cs="Arial"/>
          <w:iCs/>
          <w:sz w:val="21"/>
          <w:szCs w:val="21"/>
        </w:rPr>
        <w:t xml:space="preserve"> </w:t>
      </w:r>
      <w:r w:rsidR="001405F7">
        <w:rPr>
          <w:rFonts w:ascii="Arial" w:hAnsi="Arial" w:cs="Arial"/>
          <w:iCs/>
          <w:sz w:val="21"/>
          <w:szCs w:val="21"/>
        </w:rPr>
        <w:t xml:space="preserve">in </w:t>
      </w:r>
      <w:r w:rsidR="00965D5F">
        <w:rPr>
          <w:rFonts w:ascii="Arial" w:hAnsi="Arial" w:cs="Arial"/>
          <w:iCs/>
          <w:sz w:val="21"/>
          <w:szCs w:val="21"/>
        </w:rPr>
        <w:t xml:space="preserve">netto </w:t>
      </w:r>
      <w:r w:rsidR="0004400B">
        <w:rPr>
          <w:rFonts w:ascii="Arial" w:hAnsi="Arial" w:cs="Arial"/>
          <w:iCs/>
          <w:sz w:val="21"/>
          <w:szCs w:val="21"/>
        </w:rPr>
        <w:t>rallentamento</w:t>
      </w:r>
      <w:r w:rsidR="001405F7">
        <w:rPr>
          <w:rFonts w:ascii="Arial" w:hAnsi="Arial" w:cs="Arial"/>
          <w:iCs/>
          <w:sz w:val="21"/>
          <w:szCs w:val="21"/>
        </w:rPr>
        <w:t xml:space="preserve"> rispetto a quella del 202</w:t>
      </w:r>
      <w:r w:rsidR="0004400B">
        <w:rPr>
          <w:rFonts w:ascii="Arial" w:hAnsi="Arial" w:cs="Arial"/>
          <w:iCs/>
          <w:sz w:val="21"/>
          <w:szCs w:val="21"/>
        </w:rPr>
        <w:t>2</w:t>
      </w:r>
      <w:r w:rsidRPr="00A24229">
        <w:rPr>
          <w:rFonts w:ascii="Arial" w:hAnsi="Arial" w:cs="Arial"/>
          <w:iCs/>
          <w:sz w:val="21"/>
          <w:szCs w:val="21"/>
        </w:rPr>
        <w:t xml:space="preserve">: </w:t>
      </w:r>
      <w:r w:rsidR="004476DA" w:rsidRPr="00A24229">
        <w:rPr>
          <w:rFonts w:ascii="Arial" w:hAnsi="Arial" w:cs="Arial"/>
          <w:iCs/>
          <w:sz w:val="21"/>
          <w:szCs w:val="21"/>
        </w:rPr>
        <w:t xml:space="preserve">il Nord-Ovest </w:t>
      </w:r>
      <w:r w:rsidR="004476DA">
        <w:rPr>
          <w:rFonts w:ascii="Arial" w:hAnsi="Arial" w:cs="Arial"/>
          <w:iCs/>
          <w:sz w:val="21"/>
          <w:szCs w:val="21"/>
        </w:rPr>
        <w:t xml:space="preserve">(da +7,8% a +5,9%), </w:t>
      </w:r>
      <w:r w:rsidRPr="00A24229">
        <w:rPr>
          <w:rFonts w:ascii="Arial" w:hAnsi="Arial" w:cs="Arial"/>
          <w:iCs/>
          <w:sz w:val="21"/>
          <w:szCs w:val="21"/>
        </w:rPr>
        <w:t>le Isole (da</w:t>
      </w:r>
      <w:r w:rsidR="00D951EF">
        <w:rPr>
          <w:rFonts w:ascii="Arial" w:hAnsi="Arial" w:cs="Arial"/>
          <w:iCs/>
          <w:sz w:val="21"/>
          <w:szCs w:val="21"/>
        </w:rPr>
        <w:t xml:space="preserve"> </w:t>
      </w:r>
      <w:r w:rsidR="00D951EF" w:rsidRPr="00A24229">
        <w:rPr>
          <w:rFonts w:ascii="Arial" w:hAnsi="Arial" w:cs="Arial"/>
          <w:iCs/>
          <w:sz w:val="21"/>
          <w:szCs w:val="21"/>
        </w:rPr>
        <w:t>+</w:t>
      </w:r>
      <w:r w:rsidR="004476DA">
        <w:rPr>
          <w:rFonts w:ascii="Arial" w:hAnsi="Arial" w:cs="Arial"/>
          <w:iCs/>
          <w:sz w:val="21"/>
          <w:szCs w:val="21"/>
        </w:rPr>
        <w:t>9,7</w:t>
      </w:r>
      <w:r w:rsidR="00D951EF" w:rsidRPr="00A24229">
        <w:rPr>
          <w:rFonts w:ascii="Arial" w:hAnsi="Arial" w:cs="Arial"/>
          <w:iCs/>
          <w:sz w:val="21"/>
          <w:szCs w:val="21"/>
        </w:rPr>
        <w:t>%</w:t>
      </w:r>
      <w:r w:rsidR="003E1A37" w:rsidRPr="00A24229">
        <w:rPr>
          <w:rFonts w:ascii="Arial" w:hAnsi="Arial" w:cs="Arial"/>
          <w:iCs/>
          <w:sz w:val="21"/>
          <w:szCs w:val="21"/>
        </w:rPr>
        <w:t xml:space="preserve"> a +</w:t>
      </w:r>
      <w:r w:rsidR="004476DA">
        <w:rPr>
          <w:rFonts w:ascii="Arial" w:hAnsi="Arial" w:cs="Arial"/>
          <w:iCs/>
          <w:sz w:val="21"/>
          <w:szCs w:val="21"/>
        </w:rPr>
        <w:t>5,8</w:t>
      </w:r>
      <w:r w:rsidR="003E1A37" w:rsidRPr="00A24229">
        <w:rPr>
          <w:rFonts w:ascii="Arial" w:hAnsi="Arial" w:cs="Arial"/>
          <w:iCs/>
          <w:sz w:val="21"/>
          <w:szCs w:val="21"/>
        </w:rPr>
        <w:t>%</w:t>
      </w:r>
      <w:r w:rsidRPr="00A24229">
        <w:rPr>
          <w:rFonts w:ascii="Arial" w:hAnsi="Arial" w:cs="Arial"/>
          <w:iCs/>
          <w:sz w:val="21"/>
          <w:szCs w:val="21"/>
        </w:rPr>
        <w:t xml:space="preserve">), </w:t>
      </w:r>
      <w:r w:rsidR="00D951EF">
        <w:rPr>
          <w:rFonts w:ascii="Arial" w:hAnsi="Arial" w:cs="Arial"/>
          <w:iCs/>
          <w:sz w:val="21"/>
          <w:szCs w:val="21"/>
        </w:rPr>
        <w:t>i</w:t>
      </w:r>
      <w:r w:rsidR="00D951EF" w:rsidRPr="00A24229">
        <w:rPr>
          <w:rFonts w:ascii="Arial" w:hAnsi="Arial" w:cs="Arial"/>
          <w:iCs/>
          <w:sz w:val="21"/>
          <w:szCs w:val="21"/>
        </w:rPr>
        <w:t xml:space="preserve">l </w:t>
      </w:r>
      <w:r w:rsidR="004476DA" w:rsidRPr="00A24229">
        <w:rPr>
          <w:rFonts w:ascii="Arial" w:hAnsi="Arial" w:cs="Arial"/>
          <w:iCs/>
          <w:sz w:val="21"/>
          <w:szCs w:val="21"/>
        </w:rPr>
        <w:t xml:space="preserve">Centro </w:t>
      </w:r>
      <w:r w:rsidR="004476DA">
        <w:rPr>
          <w:rFonts w:ascii="Arial" w:hAnsi="Arial" w:cs="Arial"/>
          <w:iCs/>
          <w:sz w:val="21"/>
          <w:szCs w:val="21"/>
        </w:rPr>
        <w:t xml:space="preserve">(da +7,9% a +5,7%), il </w:t>
      </w:r>
      <w:r w:rsidR="00D951EF" w:rsidRPr="00A24229">
        <w:rPr>
          <w:rFonts w:ascii="Arial" w:hAnsi="Arial" w:cs="Arial"/>
          <w:iCs/>
          <w:sz w:val="21"/>
          <w:szCs w:val="21"/>
        </w:rPr>
        <w:t xml:space="preserve">Nord-Est </w:t>
      </w:r>
      <w:r w:rsidR="004476DA">
        <w:rPr>
          <w:rFonts w:ascii="Arial" w:hAnsi="Arial" w:cs="Arial"/>
          <w:iCs/>
          <w:sz w:val="21"/>
          <w:szCs w:val="21"/>
        </w:rPr>
        <w:t>e</w:t>
      </w:r>
      <w:r w:rsidR="00D951EF" w:rsidRPr="00A24229">
        <w:rPr>
          <w:rFonts w:ascii="Arial" w:hAnsi="Arial" w:cs="Arial"/>
          <w:iCs/>
          <w:sz w:val="21"/>
          <w:szCs w:val="21"/>
        </w:rPr>
        <w:t xml:space="preserve"> </w:t>
      </w:r>
      <w:r w:rsidRPr="00A24229">
        <w:rPr>
          <w:rFonts w:ascii="Arial" w:hAnsi="Arial" w:cs="Arial"/>
          <w:iCs/>
          <w:sz w:val="21"/>
          <w:szCs w:val="21"/>
        </w:rPr>
        <w:t>il Sud (</w:t>
      </w:r>
      <w:r w:rsidR="004476DA">
        <w:rPr>
          <w:rFonts w:ascii="Arial" w:hAnsi="Arial" w:cs="Arial"/>
          <w:iCs/>
          <w:sz w:val="21"/>
          <w:szCs w:val="21"/>
        </w:rPr>
        <w:t>entrambe a +5,4%, quindi al di sotto del dato nazionale del 2023, rispettivamente da +8,6% e da +8,2% del 2022</w:t>
      </w:r>
      <w:r w:rsidRPr="00A24229">
        <w:rPr>
          <w:rFonts w:ascii="Arial" w:hAnsi="Arial" w:cs="Arial"/>
          <w:iCs/>
          <w:sz w:val="21"/>
          <w:szCs w:val="21"/>
        </w:rPr>
        <w:t>).</w:t>
      </w:r>
    </w:p>
    <w:p w:rsidR="006354C0" w:rsidRPr="00A24229" w:rsidRDefault="006354C0" w:rsidP="006354C0">
      <w:pPr>
        <w:tabs>
          <w:tab w:val="left" w:pos="709"/>
          <w:tab w:val="left" w:pos="2940"/>
          <w:tab w:val="left" w:pos="4111"/>
        </w:tabs>
        <w:spacing w:before="0" w:after="120"/>
        <w:jc w:val="both"/>
        <w:rPr>
          <w:rFonts w:ascii="Arial" w:hAnsi="Arial" w:cs="Arial"/>
          <w:iCs/>
          <w:sz w:val="21"/>
          <w:szCs w:val="21"/>
        </w:rPr>
      </w:pPr>
      <w:r w:rsidRPr="00A24229">
        <w:rPr>
          <w:rFonts w:ascii="Arial" w:hAnsi="Arial" w:cs="Arial"/>
          <w:iCs/>
          <w:sz w:val="21"/>
          <w:szCs w:val="21"/>
        </w:rPr>
        <w:t xml:space="preserve">A livello regionale sono </w:t>
      </w:r>
      <w:r w:rsidR="00CD703D">
        <w:rPr>
          <w:rFonts w:ascii="Arial" w:hAnsi="Arial" w:cs="Arial"/>
          <w:iCs/>
          <w:sz w:val="21"/>
          <w:szCs w:val="21"/>
        </w:rPr>
        <w:t>sette</w:t>
      </w:r>
      <w:r w:rsidRPr="00A24229">
        <w:rPr>
          <w:rFonts w:ascii="Arial" w:hAnsi="Arial" w:cs="Arial"/>
          <w:iCs/>
          <w:sz w:val="21"/>
          <w:szCs w:val="21"/>
        </w:rPr>
        <w:t xml:space="preserve"> le regioni (</w:t>
      </w:r>
      <w:r w:rsidR="00CD703D">
        <w:rPr>
          <w:rFonts w:ascii="Arial" w:hAnsi="Arial" w:cs="Arial"/>
          <w:iCs/>
          <w:sz w:val="21"/>
          <w:szCs w:val="21"/>
        </w:rPr>
        <w:t>Liguria, Umbria, Sardegna, Toscana, Piemonte, Sicilia e Puglia</w:t>
      </w:r>
      <w:r w:rsidRPr="00A24229">
        <w:rPr>
          <w:rFonts w:ascii="Arial" w:hAnsi="Arial" w:cs="Arial"/>
          <w:iCs/>
          <w:sz w:val="21"/>
          <w:szCs w:val="21"/>
        </w:rPr>
        <w:t>) nelle quali l’inflazione del 202</w:t>
      </w:r>
      <w:r w:rsidR="00CD703D">
        <w:rPr>
          <w:rFonts w:ascii="Arial" w:hAnsi="Arial" w:cs="Arial"/>
          <w:iCs/>
          <w:sz w:val="21"/>
          <w:szCs w:val="21"/>
        </w:rPr>
        <w:t>3</w:t>
      </w:r>
      <w:r w:rsidRPr="00A24229">
        <w:rPr>
          <w:rFonts w:ascii="Arial" w:hAnsi="Arial" w:cs="Arial"/>
          <w:iCs/>
          <w:sz w:val="21"/>
          <w:szCs w:val="21"/>
        </w:rPr>
        <w:t xml:space="preserve"> risulta più ampia di quella nazionale; </w:t>
      </w:r>
      <w:r w:rsidR="00CD703D" w:rsidRPr="00A24229">
        <w:rPr>
          <w:rFonts w:ascii="Arial" w:hAnsi="Arial" w:cs="Arial"/>
          <w:iCs/>
          <w:sz w:val="21"/>
          <w:szCs w:val="21"/>
        </w:rPr>
        <w:t xml:space="preserve">nelle restanti regioni la crescita dei prezzi al consumo </w:t>
      </w:r>
      <w:r w:rsidRPr="00A24229">
        <w:rPr>
          <w:rFonts w:ascii="Arial" w:hAnsi="Arial" w:cs="Arial"/>
          <w:iCs/>
          <w:sz w:val="21"/>
          <w:szCs w:val="21"/>
        </w:rPr>
        <w:t>si attesta al di sotto</w:t>
      </w:r>
      <w:r w:rsidR="00CD703D">
        <w:rPr>
          <w:rFonts w:ascii="Arial" w:hAnsi="Arial" w:cs="Arial"/>
          <w:iCs/>
          <w:sz w:val="21"/>
          <w:szCs w:val="21"/>
        </w:rPr>
        <w:t xml:space="preserve"> del dato nazionale</w:t>
      </w:r>
      <w:r w:rsidRPr="00A24229">
        <w:rPr>
          <w:rFonts w:ascii="Arial" w:hAnsi="Arial" w:cs="Arial"/>
          <w:iCs/>
          <w:sz w:val="21"/>
          <w:szCs w:val="21"/>
        </w:rPr>
        <w:t>.</w:t>
      </w:r>
    </w:p>
    <w:p w:rsidR="006354C0" w:rsidRDefault="006354C0" w:rsidP="00CB5EB9">
      <w:pPr>
        <w:tabs>
          <w:tab w:val="left" w:pos="2940"/>
        </w:tabs>
        <w:spacing w:before="0" w:after="120"/>
        <w:jc w:val="both"/>
        <w:rPr>
          <w:rFonts w:ascii="Arial" w:hAnsi="Arial" w:cs="Arial"/>
          <w:iCs/>
          <w:sz w:val="21"/>
          <w:szCs w:val="21"/>
        </w:rPr>
      </w:pPr>
    </w:p>
    <w:p w:rsidR="00857F6C" w:rsidRDefault="00857F6C" w:rsidP="00857F6C">
      <w:pPr>
        <w:pStyle w:val="Titolo1"/>
        <w:rPr>
          <w:rFonts w:ascii="Arial Narrow" w:hAnsi="Arial Narrow" w:cs="Arial"/>
          <w:b w:val="0"/>
          <w:color w:val="5F5F5F"/>
          <w:kern w:val="28"/>
          <w:sz w:val="20"/>
        </w:rPr>
      </w:pPr>
      <w:r w:rsidRPr="006C2185">
        <w:rPr>
          <w:rFonts w:ascii="Arial Narrow" w:hAnsi="Arial Narrow" w:cs="Arial"/>
          <w:color w:val="E42618"/>
          <w:kern w:val="0"/>
          <w:sz w:val="22"/>
          <w:szCs w:val="22"/>
        </w:rPr>
        <w:t>FIGURA 7.</w:t>
      </w:r>
      <w:r w:rsidRPr="006C2185">
        <w:rPr>
          <w:rFonts w:ascii="Arial Narrow" w:hAnsi="Arial Narrow" w:cs="Arial"/>
          <w:color w:val="5F5F5F"/>
          <w:sz w:val="20"/>
        </w:rPr>
        <w:t xml:space="preserve"> </w:t>
      </w:r>
      <w:r w:rsidRPr="006C2185">
        <w:rPr>
          <w:rFonts w:ascii="Arial Narrow" w:hAnsi="Arial Narrow" w:cs="Calibri"/>
          <w:bCs/>
          <w:color w:val="5F5F5F"/>
          <w:kern w:val="0"/>
          <w:sz w:val="22"/>
          <w:szCs w:val="22"/>
        </w:rPr>
        <w:t>INDICI DEI PREZZI AL CONSUMO NIC PER REGIONE E RIPARTIZIONE GEOGRAFICA</w:t>
      </w:r>
      <w:r w:rsidRPr="00C8504B">
        <w:rPr>
          <w:rFonts w:ascii="Arial Narrow" w:hAnsi="Arial Narrow" w:cs="Arial"/>
          <w:color w:val="5F5F5F"/>
          <w:sz w:val="20"/>
        </w:rPr>
        <w:br/>
      </w:r>
      <w:r w:rsidR="00966B49">
        <w:rPr>
          <w:rFonts w:ascii="Arial Narrow" w:hAnsi="Arial Narrow" w:cs="Arial"/>
          <w:b w:val="0"/>
          <w:color w:val="5F5F5F"/>
          <w:kern w:val="28"/>
          <w:sz w:val="20"/>
        </w:rPr>
        <w:t>Anni 202</w:t>
      </w:r>
      <w:r w:rsidR="008B5343">
        <w:rPr>
          <w:rFonts w:ascii="Arial Narrow" w:hAnsi="Arial Narrow" w:cs="Arial"/>
          <w:b w:val="0"/>
          <w:color w:val="5F5F5F"/>
          <w:kern w:val="28"/>
          <w:sz w:val="20"/>
        </w:rPr>
        <w:t>2 e 2023</w:t>
      </w:r>
      <w:r w:rsidR="00FC7F58" w:rsidRPr="005A71FC">
        <w:rPr>
          <w:rFonts w:ascii="Arial Narrow" w:hAnsi="Arial Narrow" w:cs="Arial"/>
          <w:b w:val="0"/>
          <w:color w:val="5F5F5F"/>
          <w:kern w:val="28"/>
          <w:sz w:val="20"/>
        </w:rPr>
        <w:t xml:space="preserve">, variazioni medie annue </w:t>
      </w:r>
      <w:r w:rsidRPr="005A71FC">
        <w:rPr>
          <w:rFonts w:ascii="Arial Narrow" w:hAnsi="Arial Narrow" w:cs="Arial"/>
          <w:b w:val="0"/>
          <w:color w:val="5F5F5F"/>
          <w:kern w:val="28"/>
          <w:sz w:val="20"/>
        </w:rPr>
        <w:t>(base 2015=100)</w:t>
      </w:r>
      <w:r w:rsidRPr="00C8504B">
        <w:rPr>
          <w:rFonts w:ascii="Arial Narrow" w:hAnsi="Arial Narrow" w:cs="Arial"/>
          <w:b w:val="0"/>
          <w:color w:val="5F5F5F"/>
          <w:kern w:val="28"/>
          <w:sz w:val="20"/>
        </w:rPr>
        <w:t xml:space="preserve"> </w:t>
      </w:r>
    </w:p>
    <w:p w:rsidR="007C0F48" w:rsidRPr="007C0F48" w:rsidRDefault="00EC6B6D" w:rsidP="007C0F48">
      <w:r>
        <w:rPr>
          <w:noProof/>
        </w:rPr>
        <w:drawing>
          <wp:inline distT="0" distB="0" distL="0" distR="0" wp14:anchorId="50E2523D">
            <wp:extent cx="6687820" cy="2188845"/>
            <wp:effectExtent l="0" t="0" r="0" b="190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87820" cy="2188845"/>
                    </a:xfrm>
                    <a:prstGeom prst="rect">
                      <a:avLst/>
                    </a:prstGeom>
                    <a:noFill/>
                  </pic:spPr>
                </pic:pic>
              </a:graphicData>
            </a:graphic>
          </wp:inline>
        </w:drawing>
      </w:r>
    </w:p>
    <w:p w:rsidR="00FF2F4C" w:rsidRDefault="00FF2F4C" w:rsidP="004E71C8">
      <w:pPr>
        <w:spacing w:before="0" w:after="0"/>
        <w:jc w:val="both"/>
        <w:rPr>
          <w:rFonts w:ascii="Arial Narrow" w:hAnsi="Arial Narrow"/>
          <w:sz w:val="15"/>
        </w:rPr>
      </w:pPr>
    </w:p>
    <w:p w:rsidR="00A96B46" w:rsidRDefault="00B87271" w:rsidP="00FF2F4C">
      <w:pPr>
        <w:pStyle w:val="00TitoGra1"/>
        <w:spacing w:after="120" w:line="240" w:lineRule="auto"/>
        <w:rPr>
          <w:rFonts w:ascii="Arial" w:hAnsi="Arial"/>
          <w:color w:val="auto"/>
          <w:sz w:val="21"/>
          <w:szCs w:val="21"/>
        </w:rPr>
      </w:pPr>
      <w:r w:rsidRPr="00C8504B">
        <w:rPr>
          <w:rFonts w:ascii="Arial" w:hAnsi="Arial"/>
          <w:color w:val="auto"/>
          <w:sz w:val="21"/>
          <w:szCs w:val="21"/>
        </w:rPr>
        <w:br w:type="page"/>
      </w:r>
    </w:p>
    <w:p w:rsidR="00E0600E" w:rsidRPr="00C9319B" w:rsidRDefault="00E0600E" w:rsidP="00B64288">
      <w:pPr>
        <w:spacing w:before="0" w:after="120"/>
        <w:jc w:val="both"/>
        <w:rPr>
          <w:rFonts w:ascii="Arial" w:hAnsi="Arial" w:cs="Arial"/>
          <w:iCs/>
          <w:sz w:val="12"/>
          <w:szCs w:val="21"/>
        </w:rPr>
      </w:pPr>
    </w:p>
    <w:p w:rsidR="00007E47" w:rsidRPr="00C8504B" w:rsidRDefault="00007E47" w:rsidP="00E95076">
      <w:pPr>
        <w:pStyle w:val="00TitoGra1"/>
        <w:spacing w:after="120" w:line="240" w:lineRule="auto"/>
        <w:rPr>
          <w:color w:val="E42618"/>
          <w:szCs w:val="36"/>
        </w:rPr>
      </w:pPr>
      <w:r w:rsidRPr="00C8504B">
        <w:rPr>
          <w:color w:val="E42618"/>
          <w:szCs w:val="36"/>
        </w:rPr>
        <w:t>Indice armonizzato dei prezzi al consumo (IPCA)</w:t>
      </w:r>
    </w:p>
    <w:p w:rsidR="003346B6" w:rsidRDefault="003346B6" w:rsidP="003346B6">
      <w:pPr>
        <w:spacing w:before="0" w:after="120"/>
        <w:jc w:val="both"/>
        <w:rPr>
          <w:rFonts w:ascii="Arial" w:hAnsi="Arial" w:cs="Arial"/>
          <w:color w:val="000000"/>
          <w:kern w:val="0"/>
          <w:sz w:val="21"/>
          <w:szCs w:val="21"/>
        </w:rPr>
      </w:pPr>
      <w:r w:rsidRPr="00EC3EA2">
        <w:rPr>
          <w:rFonts w:ascii="Arial" w:hAnsi="Arial" w:cs="Arial"/>
          <w:color w:val="000000"/>
          <w:kern w:val="0"/>
          <w:sz w:val="21"/>
          <w:szCs w:val="21"/>
        </w:rPr>
        <w:t>A</w:t>
      </w:r>
      <w:r>
        <w:rPr>
          <w:rFonts w:ascii="Arial" w:hAnsi="Arial" w:cs="Arial"/>
          <w:color w:val="000000"/>
          <w:kern w:val="0"/>
          <w:sz w:val="21"/>
          <w:szCs w:val="21"/>
        </w:rPr>
        <w:t xml:space="preserve"> dicembre</w:t>
      </w:r>
      <w:r w:rsidRPr="00EC3EA2">
        <w:rPr>
          <w:rFonts w:ascii="Arial" w:hAnsi="Arial" w:cs="Arial"/>
          <w:color w:val="000000"/>
          <w:kern w:val="0"/>
          <w:sz w:val="21"/>
          <w:szCs w:val="21"/>
        </w:rPr>
        <w:t xml:space="preserve">, </w:t>
      </w:r>
      <w:r>
        <w:rPr>
          <w:rFonts w:ascii="Arial" w:hAnsi="Arial" w:cs="Arial"/>
          <w:color w:val="000000"/>
          <w:kern w:val="0"/>
          <w:sz w:val="21"/>
          <w:szCs w:val="21"/>
        </w:rPr>
        <w:t>l’</w:t>
      </w:r>
      <w:r w:rsidRPr="00F12D9A">
        <w:rPr>
          <w:rFonts w:ascii="Arial" w:hAnsi="Arial" w:cs="Arial"/>
          <w:color w:val="000000"/>
          <w:kern w:val="0"/>
          <w:sz w:val="21"/>
          <w:szCs w:val="21"/>
        </w:rPr>
        <w:t>indice armonizzato dei prezzi al consumo (IPCA)</w:t>
      </w:r>
      <w:r>
        <w:rPr>
          <w:rFonts w:ascii="Arial" w:hAnsi="Arial" w:cs="Arial"/>
          <w:color w:val="000000"/>
          <w:kern w:val="0"/>
          <w:sz w:val="21"/>
          <w:szCs w:val="21"/>
        </w:rPr>
        <w:t xml:space="preserve"> evidenzia</w:t>
      </w:r>
      <w:r w:rsidRPr="007A6C81">
        <w:rPr>
          <w:rFonts w:ascii="Arial" w:hAnsi="Arial" w:cs="Arial"/>
          <w:sz w:val="21"/>
          <w:szCs w:val="21"/>
        </w:rPr>
        <w:t xml:space="preserve"> </w:t>
      </w:r>
      <w:r>
        <w:rPr>
          <w:rFonts w:ascii="Arial" w:hAnsi="Arial" w:cs="Arial"/>
          <w:sz w:val="21"/>
          <w:szCs w:val="21"/>
        </w:rPr>
        <w:t>un aumento dello 0,2%</w:t>
      </w:r>
      <w:r w:rsidRPr="008B15EE">
        <w:rPr>
          <w:rFonts w:ascii="Arial" w:hAnsi="Arial" w:cs="Arial"/>
          <w:sz w:val="21"/>
          <w:szCs w:val="21"/>
        </w:rPr>
        <w:t xml:space="preserve"> su base mensile e </w:t>
      </w:r>
      <w:r w:rsidR="004078B0">
        <w:rPr>
          <w:rFonts w:ascii="Arial" w:hAnsi="Arial" w:cs="Arial"/>
          <w:sz w:val="21"/>
          <w:szCs w:val="21"/>
        </w:rPr>
        <w:t>dello 0,5</w:t>
      </w:r>
      <w:r>
        <w:rPr>
          <w:rFonts w:ascii="Arial" w:hAnsi="Arial" w:cs="Arial"/>
          <w:sz w:val="21"/>
          <w:szCs w:val="21"/>
        </w:rPr>
        <w:t xml:space="preserve">% </w:t>
      </w:r>
      <w:r w:rsidRPr="008B15EE">
        <w:rPr>
          <w:rFonts w:ascii="Arial" w:hAnsi="Arial" w:cs="Arial"/>
          <w:sz w:val="21"/>
          <w:szCs w:val="21"/>
        </w:rPr>
        <w:t>su bas</w:t>
      </w:r>
      <w:r w:rsidR="004078B0">
        <w:rPr>
          <w:rFonts w:ascii="Arial" w:hAnsi="Arial" w:cs="Arial"/>
          <w:sz w:val="21"/>
          <w:szCs w:val="21"/>
        </w:rPr>
        <w:t>e annua, da +0</w:t>
      </w:r>
      <w:r>
        <w:rPr>
          <w:rFonts w:ascii="Arial" w:hAnsi="Arial" w:cs="Arial"/>
          <w:sz w:val="21"/>
          <w:szCs w:val="21"/>
        </w:rPr>
        <w:t>,6</w:t>
      </w:r>
      <w:r w:rsidRPr="008B15EE">
        <w:rPr>
          <w:rFonts w:ascii="Arial" w:hAnsi="Arial" w:cs="Arial"/>
          <w:sz w:val="21"/>
          <w:szCs w:val="21"/>
        </w:rPr>
        <w:t>% di</w:t>
      </w:r>
      <w:r>
        <w:rPr>
          <w:rFonts w:ascii="Arial" w:hAnsi="Arial" w:cs="Arial"/>
          <w:sz w:val="21"/>
          <w:szCs w:val="21"/>
        </w:rPr>
        <w:t xml:space="preserve"> novembre</w:t>
      </w:r>
      <w:r w:rsidR="00700169">
        <w:rPr>
          <w:rFonts w:ascii="Arial" w:hAnsi="Arial" w:cs="Arial"/>
          <w:color w:val="000000"/>
          <w:kern w:val="0"/>
          <w:sz w:val="21"/>
          <w:szCs w:val="21"/>
        </w:rPr>
        <w:t xml:space="preserve"> (Prospetto 10); </w:t>
      </w:r>
      <w:r>
        <w:rPr>
          <w:rFonts w:ascii="Arial" w:hAnsi="Arial" w:cs="Arial"/>
          <w:color w:val="000000"/>
          <w:kern w:val="0"/>
          <w:sz w:val="21"/>
          <w:szCs w:val="21"/>
        </w:rPr>
        <w:t>l</w:t>
      </w:r>
      <w:r w:rsidRPr="009C2434">
        <w:rPr>
          <w:rFonts w:ascii="Arial" w:hAnsi="Arial" w:cs="Arial"/>
          <w:color w:val="000000"/>
          <w:kern w:val="0"/>
          <w:sz w:val="21"/>
          <w:szCs w:val="21"/>
        </w:rPr>
        <w:t>’indice armonizzato dei prezzi al consumo a tassazione costante</w:t>
      </w:r>
      <w:r w:rsidR="00D458D0">
        <w:rPr>
          <w:rFonts w:ascii="Arial" w:hAnsi="Arial" w:cs="Arial"/>
          <w:color w:val="000000"/>
          <w:kern w:val="0"/>
          <w:sz w:val="21"/>
          <w:szCs w:val="21"/>
        </w:rPr>
        <w:t xml:space="preserve"> (IPCA-TC) cresce del</w:t>
      </w:r>
      <w:r w:rsidR="004078B0">
        <w:rPr>
          <w:rFonts w:ascii="Arial" w:hAnsi="Arial" w:cs="Arial"/>
          <w:color w:val="000000"/>
          <w:kern w:val="0"/>
          <w:sz w:val="21"/>
          <w:szCs w:val="21"/>
        </w:rPr>
        <w:t>lo</w:t>
      </w:r>
      <w:r>
        <w:rPr>
          <w:rFonts w:ascii="Arial" w:hAnsi="Arial" w:cs="Arial"/>
          <w:color w:val="000000"/>
          <w:kern w:val="0"/>
          <w:sz w:val="21"/>
          <w:szCs w:val="21"/>
        </w:rPr>
        <w:t xml:space="preserve"> </w:t>
      </w:r>
      <w:r w:rsidR="004078B0">
        <w:rPr>
          <w:rFonts w:ascii="Arial" w:hAnsi="Arial" w:cs="Arial"/>
          <w:color w:val="000000"/>
          <w:kern w:val="0"/>
          <w:sz w:val="21"/>
          <w:szCs w:val="21"/>
        </w:rPr>
        <w:t>0,2</w:t>
      </w:r>
      <w:r w:rsidR="00F655C6">
        <w:rPr>
          <w:rFonts w:ascii="Arial" w:hAnsi="Arial" w:cs="Arial"/>
          <w:color w:val="000000"/>
          <w:kern w:val="0"/>
          <w:sz w:val="21"/>
          <w:szCs w:val="21"/>
        </w:rPr>
        <w:t>%</w:t>
      </w:r>
      <w:r w:rsidR="004078B0">
        <w:rPr>
          <w:rFonts w:ascii="Arial" w:hAnsi="Arial" w:cs="Arial"/>
          <w:color w:val="000000"/>
          <w:kern w:val="0"/>
          <w:sz w:val="21"/>
          <w:szCs w:val="21"/>
        </w:rPr>
        <w:t xml:space="preserve"> in ragione d’anno</w:t>
      </w:r>
      <w:r>
        <w:rPr>
          <w:rFonts w:ascii="Arial" w:hAnsi="Arial" w:cs="Arial"/>
          <w:color w:val="000000"/>
          <w:kern w:val="0"/>
          <w:sz w:val="21"/>
          <w:szCs w:val="21"/>
        </w:rPr>
        <w:t xml:space="preserve"> (in </w:t>
      </w:r>
      <w:r w:rsidR="004078B0">
        <w:rPr>
          <w:rFonts w:ascii="Arial" w:hAnsi="Arial" w:cs="Arial"/>
          <w:color w:val="000000"/>
          <w:kern w:val="0"/>
          <w:sz w:val="21"/>
          <w:szCs w:val="21"/>
        </w:rPr>
        <w:t xml:space="preserve">ripresa rispetto all’annullamento </w:t>
      </w:r>
      <w:r w:rsidR="006A75E5">
        <w:rPr>
          <w:rFonts w:ascii="Arial" w:hAnsi="Arial" w:cs="Arial"/>
          <w:color w:val="000000"/>
          <w:kern w:val="0"/>
          <w:sz w:val="21"/>
          <w:szCs w:val="21"/>
        </w:rPr>
        <w:t>di</w:t>
      </w:r>
      <w:r w:rsidR="00CA7630">
        <w:rPr>
          <w:rFonts w:ascii="Arial" w:hAnsi="Arial" w:cs="Arial"/>
          <w:color w:val="000000"/>
          <w:kern w:val="0"/>
          <w:sz w:val="21"/>
          <w:szCs w:val="21"/>
        </w:rPr>
        <w:t xml:space="preserve"> novembre</w:t>
      </w:r>
      <w:r>
        <w:rPr>
          <w:rFonts w:ascii="Arial" w:hAnsi="Arial" w:cs="Arial"/>
          <w:color w:val="000000"/>
          <w:kern w:val="0"/>
          <w:sz w:val="21"/>
          <w:szCs w:val="21"/>
        </w:rPr>
        <w:t>)</w:t>
      </w:r>
      <w:r w:rsidR="004B6362">
        <w:rPr>
          <w:rStyle w:val="Rimandonotaapidipagina"/>
          <w:rFonts w:ascii="Arial" w:hAnsi="Arial"/>
          <w:color w:val="000000"/>
          <w:kern w:val="0"/>
          <w:sz w:val="21"/>
          <w:szCs w:val="21"/>
        </w:rPr>
        <w:footnoteReference w:id="2"/>
      </w:r>
      <w:r w:rsidR="0040351E">
        <w:rPr>
          <w:rFonts w:ascii="Arial" w:hAnsi="Arial" w:cs="Arial"/>
          <w:color w:val="000000"/>
          <w:kern w:val="0"/>
          <w:sz w:val="21"/>
          <w:szCs w:val="21"/>
        </w:rPr>
        <w:t>.</w:t>
      </w:r>
    </w:p>
    <w:p w:rsidR="0025700E" w:rsidRDefault="00700169" w:rsidP="003346B6">
      <w:pPr>
        <w:spacing w:before="0" w:after="120"/>
        <w:jc w:val="both"/>
        <w:rPr>
          <w:rFonts w:ascii="Arial" w:hAnsi="Arial" w:cs="Arial"/>
          <w:iCs/>
          <w:sz w:val="21"/>
          <w:szCs w:val="21"/>
        </w:rPr>
      </w:pPr>
      <w:r>
        <w:rPr>
          <w:rFonts w:ascii="Arial" w:hAnsi="Arial" w:cs="Arial"/>
          <w:color w:val="000000"/>
          <w:kern w:val="0"/>
          <w:sz w:val="21"/>
          <w:szCs w:val="21"/>
        </w:rPr>
        <w:t>Come per il NIC, i</w:t>
      </w:r>
      <w:r w:rsidR="0025700E">
        <w:rPr>
          <w:rFonts w:ascii="Arial" w:hAnsi="Arial" w:cs="Arial"/>
          <w:color w:val="000000"/>
          <w:kern w:val="0"/>
          <w:sz w:val="21"/>
          <w:szCs w:val="21"/>
        </w:rPr>
        <w:t>n termini di divisioni di spesa decelerano</w:t>
      </w:r>
      <w:r w:rsidR="003346B6">
        <w:rPr>
          <w:rFonts w:ascii="Arial" w:hAnsi="Arial" w:cs="Arial"/>
          <w:iCs/>
          <w:sz w:val="21"/>
          <w:szCs w:val="21"/>
        </w:rPr>
        <w:t xml:space="preserve"> i prezzi </w:t>
      </w:r>
      <w:r w:rsidR="00BC7504" w:rsidRPr="00740384">
        <w:rPr>
          <w:rFonts w:ascii="Arial" w:hAnsi="Arial" w:cs="Arial"/>
          <w:iCs/>
          <w:sz w:val="21"/>
          <w:szCs w:val="21"/>
        </w:rPr>
        <w:t>d</w:t>
      </w:r>
      <w:r w:rsidR="00BC7504">
        <w:rPr>
          <w:rFonts w:ascii="Arial" w:hAnsi="Arial" w:cs="Arial"/>
          <w:iCs/>
          <w:sz w:val="21"/>
          <w:szCs w:val="21"/>
        </w:rPr>
        <w:t>i</w:t>
      </w:r>
      <w:r w:rsidR="00BC7504" w:rsidRPr="00740384">
        <w:rPr>
          <w:rFonts w:ascii="Arial" w:hAnsi="Arial" w:cs="Arial"/>
          <w:iCs/>
          <w:sz w:val="21"/>
          <w:szCs w:val="21"/>
        </w:rPr>
        <w:t xml:space="preserve"> Ricreazione, spettacoli e cultura (da +3,0% a +</w:t>
      </w:r>
      <w:r w:rsidR="00BC7504">
        <w:rPr>
          <w:rFonts w:ascii="Arial" w:hAnsi="Arial" w:cs="Arial"/>
          <w:iCs/>
          <w:sz w:val="21"/>
          <w:szCs w:val="21"/>
        </w:rPr>
        <w:t>1,6</w:t>
      </w:r>
      <w:r w:rsidR="00BC7504" w:rsidRPr="00740384">
        <w:rPr>
          <w:rFonts w:ascii="Arial" w:hAnsi="Arial" w:cs="Arial"/>
          <w:iCs/>
          <w:sz w:val="21"/>
          <w:szCs w:val="21"/>
        </w:rPr>
        <w:t>%)</w:t>
      </w:r>
      <w:r w:rsidR="00BC7504">
        <w:rPr>
          <w:rFonts w:ascii="Arial" w:hAnsi="Arial" w:cs="Arial"/>
          <w:iCs/>
          <w:sz w:val="21"/>
          <w:szCs w:val="21"/>
        </w:rPr>
        <w:t xml:space="preserve">, </w:t>
      </w:r>
      <w:r w:rsidR="00B35DDD">
        <w:rPr>
          <w:rFonts w:ascii="Arial" w:hAnsi="Arial" w:cs="Arial"/>
          <w:iCs/>
          <w:sz w:val="21"/>
          <w:szCs w:val="21"/>
        </w:rPr>
        <w:t xml:space="preserve">di </w:t>
      </w:r>
      <w:r w:rsidR="00BC7504" w:rsidRPr="00740384">
        <w:rPr>
          <w:rFonts w:ascii="Arial" w:hAnsi="Arial" w:cs="Arial"/>
          <w:iCs/>
          <w:sz w:val="21"/>
          <w:szCs w:val="21"/>
        </w:rPr>
        <w:t>Comunicazioni (</w:t>
      </w:r>
      <w:r w:rsidR="00B35DDD">
        <w:rPr>
          <w:rFonts w:ascii="Arial" w:hAnsi="Arial" w:cs="Arial"/>
          <w:iCs/>
          <w:sz w:val="21"/>
          <w:szCs w:val="21"/>
        </w:rPr>
        <w:t xml:space="preserve">che amplia la flessione </w:t>
      </w:r>
      <w:r w:rsidR="00BC7504" w:rsidRPr="00740384">
        <w:rPr>
          <w:rFonts w:ascii="Arial" w:hAnsi="Arial" w:cs="Arial"/>
          <w:iCs/>
          <w:sz w:val="21"/>
          <w:szCs w:val="21"/>
        </w:rPr>
        <w:t>da -</w:t>
      </w:r>
      <w:r w:rsidR="00BC7504">
        <w:rPr>
          <w:rFonts w:ascii="Arial" w:hAnsi="Arial" w:cs="Arial"/>
          <w:iCs/>
          <w:sz w:val="21"/>
          <w:szCs w:val="21"/>
        </w:rPr>
        <w:t>1</w:t>
      </w:r>
      <w:r w:rsidR="00BC7504" w:rsidRPr="00740384">
        <w:rPr>
          <w:rFonts w:ascii="Arial" w:hAnsi="Arial" w:cs="Arial"/>
          <w:iCs/>
          <w:sz w:val="21"/>
          <w:szCs w:val="21"/>
        </w:rPr>
        <w:t>,3% a -</w:t>
      </w:r>
      <w:r w:rsidR="00BC7504">
        <w:rPr>
          <w:rFonts w:ascii="Arial" w:hAnsi="Arial" w:cs="Arial"/>
          <w:iCs/>
          <w:sz w:val="21"/>
          <w:szCs w:val="21"/>
        </w:rPr>
        <w:t>2,2</w:t>
      </w:r>
      <w:r w:rsidR="00BC7504" w:rsidRPr="00740384">
        <w:rPr>
          <w:rFonts w:ascii="Arial" w:hAnsi="Arial" w:cs="Arial"/>
          <w:iCs/>
          <w:sz w:val="21"/>
          <w:szCs w:val="21"/>
        </w:rPr>
        <w:t>%)</w:t>
      </w:r>
      <w:r w:rsidR="00BC7504">
        <w:rPr>
          <w:rFonts w:ascii="Arial" w:hAnsi="Arial" w:cs="Arial"/>
          <w:iCs/>
          <w:sz w:val="21"/>
          <w:szCs w:val="21"/>
        </w:rPr>
        <w:t xml:space="preserve">, dei </w:t>
      </w:r>
      <w:r w:rsidR="00BC7504" w:rsidRPr="00DF1D2E">
        <w:rPr>
          <w:rFonts w:ascii="Arial" w:hAnsi="Arial" w:cs="Arial"/>
          <w:iCs/>
          <w:sz w:val="21"/>
          <w:szCs w:val="21"/>
        </w:rPr>
        <w:t>Trasporti</w:t>
      </w:r>
      <w:r w:rsidR="00BC7504">
        <w:rPr>
          <w:rFonts w:ascii="Arial" w:hAnsi="Arial" w:cs="Arial"/>
          <w:iCs/>
          <w:sz w:val="21"/>
          <w:szCs w:val="21"/>
        </w:rPr>
        <w:t xml:space="preserve"> (da +3,4% a +2,9</w:t>
      </w:r>
      <w:r w:rsidR="005056A5">
        <w:rPr>
          <w:rFonts w:ascii="Arial" w:hAnsi="Arial" w:cs="Arial"/>
          <w:iCs/>
          <w:sz w:val="21"/>
          <w:szCs w:val="21"/>
        </w:rPr>
        <w:t>%),</w:t>
      </w:r>
      <w:r w:rsidR="00BC7504">
        <w:rPr>
          <w:rFonts w:ascii="Arial" w:hAnsi="Arial" w:cs="Arial"/>
          <w:iCs/>
          <w:sz w:val="21"/>
          <w:szCs w:val="21"/>
        </w:rPr>
        <w:t xml:space="preserve"> </w:t>
      </w:r>
      <w:r w:rsidR="00B35DDD">
        <w:rPr>
          <w:rFonts w:ascii="Arial" w:hAnsi="Arial" w:cs="Arial"/>
          <w:iCs/>
          <w:sz w:val="21"/>
          <w:szCs w:val="21"/>
        </w:rPr>
        <w:t>d</w:t>
      </w:r>
      <w:r w:rsidR="00BC7504">
        <w:rPr>
          <w:rFonts w:ascii="Arial" w:hAnsi="Arial" w:cs="Arial"/>
          <w:iCs/>
          <w:sz w:val="21"/>
          <w:szCs w:val="21"/>
        </w:rPr>
        <w:t xml:space="preserve">i Servizi ricettivi e di ristorazione (da +5,1% a +4,6%) e </w:t>
      </w:r>
      <w:r w:rsidR="00B35DDD">
        <w:rPr>
          <w:rFonts w:ascii="Arial" w:hAnsi="Arial" w:cs="Arial"/>
          <w:iCs/>
          <w:sz w:val="21"/>
          <w:szCs w:val="21"/>
        </w:rPr>
        <w:t xml:space="preserve">di </w:t>
      </w:r>
      <w:r w:rsidR="00BC7504">
        <w:rPr>
          <w:rFonts w:ascii="Arial" w:hAnsi="Arial" w:cs="Arial"/>
          <w:iCs/>
          <w:sz w:val="21"/>
          <w:szCs w:val="21"/>
        </w:rPr>
        <w:t>Mobili, articoli e servizi</w:t>
      </w:r>
      <w:r w:rsidR="00F655C6">
        <w:rPr>
          <w:rFonts w:ascii="Arial" w:hAnsi="Arial" w:cs="Arial"/>
          <w:iCs/>
          <w:sz w:val="21"/>
          <w:szCs w:val="21"/>
        </w:rPr>
        <w:t xml:space="preserve"> per la casa (da +3,3% a +2,8%);</w:t>
      </w:r>
      <w:r w:rsidR="005056A5">
        <w:rPr>
          <w:rFonts w:ascii="Arial" w:hAnsi="Arial" w:cs="Arial"/>
          <w:iCs/>
          <w:sz w:val="21"/>
          <w:szCs w:val="21"/>
        </w:rPr>
        <w:t xml:space="preserve"> mentre i </w:t>
      </w:r>
      <w:r w:rsidR="005056A5" w:rsidRPr="00740384">
        <w:rPr>
          <w:rFonts w:ascii="Arial" w:hAnsi="Arial" w:cs="Arial"/>
          <w:iCs/>
          <w:sz w:val="21"/>
          <w:szCs w:val="21"/>
        </w:rPr>
        <w:t xml:space="preserve">prezzi </w:t>
      </w:r>
      <w:r w:rsidR="005056A5">
        <w:rPr>
          <w:rFonts w:ascii="Arial" w:hAnsi="Arial" w:cs="Arial"/>
          <w:iCs/>
          <w:sz w:val="21"/>
          <w:szCs w:val="21"/>
        </w:rPr>
        <w:t xml:space="preserve">di </w:t>
      </w:r>
      <w:r w:rsidR="005056A5" w:rsidRPr="002F3F09">
        <w:rPr>
          <w:rFonts w:ascii="Arial" w:hAnsi="Arial" w:cs="Arial"/>
          <w:iCs/>
          <w:sz w:val="21"/>
          <w:szCs w:val="21"/>
        </w:rPr>
        <w:t>Abitazione, acqua, elettricità e combustibili</w:t>
      </w:r>
      <w:r w:rsidR="005056A5">
        <w:rPr>
          <w:rFonts w:ascii="Arial" w:hAnsi="Arial" w:cs="Arial"/>
          <w:iCs/>
          <w:sz w:val="21"/>
          <w:szCs w:val="21"/>
        </w:rPr>
        <w:t xml:space="preserve"> riducono la loro flessione</w:t>
      </w:r>
      <w:r w:rsidR="00C9319B">
        <w:rPr>
          <w:rFonts w:ascii="Arial" w:hAnsi="Arial" w:cs="Arial"/>
          <w:iCs/>
          <w:sz w:val="21"/>
          <w:szCs w:val="21"/>
        </w:rPr>
        <w:t xml:space="preserve"> (da -19,9% a -19,4%)</w:t>
      </w:r>
      <w:r w:rsidR="005056A5">
        <w:rPr>
          <w:rFonts w:ascii="Arial" w:hAnsi="Arial" w:cs="Arial"/>
          <w:iCs/>
          <w:sz w:val="21"/>
          <w:szCs w:val="21"/>
        </w:rPr>
        <w:t>.</w:t>
      </w:r>
    </w:p>
    <w:p w:rsidR="009D38E5" w:rsidRPr="00C9319B" w:rsidRDefault="009D38E5" w:rsidP="00B64288">
      <w:pPr>
        <w:spacing w:before="0" w:after="120"/>
        <w:jc w:val="both"/>
        <w:rPr>
          <w:rFonts w:ascii="Arial" w:hAnsi="Arial" w:cs="Arial"/>
          <w:iCs/>
          <w:sz w:val="14"/>
          <w:szCs w:val="21"/>
        </w:rPr>
      </w:pPr>
    </w:p>
    <w:p w:rsidR="00373F6B" w:rsidRPr="00C8504B" w:rsidRDefault="00373F6B" w:rsidP="00AB4D53">
      <w:pPr>
        <w:pStyle w:val="Corpotesto"/>
        <w:spacing w:before="120" w:after="120" w:line="216" w:lineRule="auto"/>
        <w:jc w:val="both"/>
        <w:rPr>
          <w:rFonts w:ascii="Arial Narrow" w:hAnsi="Arial Narrow" w:cs="Arial"/>
          <w:color w:val="5F5F5F"/>
          <w:sz w:val="22"/>
          <w:szCs w:val="22"/>
        </w:rPr>
      </w:pPr>
      <w:r w:rsidRPr="00C8504B">
        <w:rPr>
          <w:rFonts w:ascii="Arial Narrow" w:hAnsi="Arial Narrow" w:cs="Arial"/>
          <w:b/>
          <w:color w:val="E42618"/>
          <w:kern w:val="0"/>
          <w:sz w:val="22"/>
          <w:szCs w:val="22"/>
        </w:rPr>
        <w:t>PROSPETTO</w:t>
      </w:r>
      <w:r w:rsidR="00E74721" w:rsidRPr="00C8504B">
        <w:rPr>
          <w:rFonts w:ascii="Arial Narrow" w:hAnsi="Arial Narrow" w:cs="Arial"/>
          <w:b/>
          <w:color w:val="E42618"/>
          <w:kern w:val="0"/>
          <w:sz w:val="22"/>
          <w:szCs w:val="22"/>
        </w:rPr>
        <w:t xml:space="preserve"> </w:t>
      </w:r>
      <w:r w:rsidR="00FC7F58">
        <w:rPr>
          <w:rFonts w:ascii="Arial Narrow" w:hAnsi="Arial Narrow" w:cs="Arial"/>
          <w:b/>
          <w:color w:val="E42618"/>
          <w:kern w:val="0"/>
          <w:sz w:val="22"/>
          <w:szCs w:val="22"/>
        </w:rPr>
        <w:t>10</w:t>
      </w:r>
      <w:r w:rsidRPr="00C8504B">
        <w:rPr>
          <w:rFonts w:ascii="Arial Narrow" w:hAnsi="Arial Narrow" w:cs="Arial"/>
          <w:b/>
          <w:color w:val="E42618"/>
        </w:rPr>
        <w:t>.</w:t>
      </w:r>
      <w:r w:rsidRPr="00C8504B">
        <w:rPr>
          <w:rFonts w:ascii="Arial Narrow" w:hAnsi="Arial Narrow" w:cs="Arial"/>
          <w:b/>
          <w:color w:val="5F5F5F"/>
        </w:rPr>
        <w:t xml:space="preserve"> </w:t>
      </w:r>
      <w:r w:rsidRPr="00C8504B">
        <w:rPr>
          <w:rFonts w:ascii="Arial Narrow" w:hAnsi="Arial Narrow" w:cs="Calibri"/>
          <w:b/>
          <w:bCs/>
          <w:color w:val="5F5F5F"/>
          <w:kern w:val="0"/>
          <w:sz w:val="22"/>
          <w:szCs w:val="22"/>
        </w:rPr>
        <w:t>INDICI DEI PREZZI AL CONSUMO IPCA PER DIVISIONE DI SPESA</w:t>
      </w:r>
      <w:r w:rsidR="00AB4D53" w:rsidRPr="00C8504B">
        <w:rPr>
          <w:rFonts w:ascii="Arial Narrow" w:hAnsi="Arial Narrow" w:cs="Arial"/>
          <w:b/>
          <w:color w:val="5F5F5F"/>
        </w:rPr>
        <w:t xml:space="preserve"> </w:t>
      </w:r>
      <w:r w:rsidR="00AB4D53" w:rsidRPr="00C8504B">
        <w:rPr>
          <w:rFonts w:ascii="Arial Narrow" w:hAnsi="Arial Narrow" w:cs="Arial"/>
          <w:b/>
          <w:color w:val="5F5F5F"/>
        </w:rPr>
        <w:br/>
      </w:r>
      <w:r w:rsidR="00F5157D" w:rsidRPr="00F5157D">
        <w:rPr>
          <w:rFonts w:ascii="Arial Narrow" w:hAnsi="Arial Narrow" w:cs="Arial"/>
          <w:color w:val="5F5F5F"/>
        </w:rPr>
        <w:t xml:space="preserve">Dicembre </w:t>
      </w:r>
      <w:r w:rsidR="003B3E1E">
        <w:rPr>
          <w:rFonts w:ascii="Arial Narrow" w:hAnsi="Arial Narrow" w:cs="Arial"/>
          <w:color w:val="5F5F5F"/>
        </w:rPr>
        <w:t>202</w:t>
      </w:r>
      <w:r w:rsidR="00FF7652">
        <w:rPr>
          <w:rFonts w:ascii="Arial Narrow" w:hAnsi="Arial Narrow" w:cs="Arial"/>
          <w:color w:val="5F5F5F"/>
        </w:rPr>
        <w:t>3</w:t>
      </w:r>
      <w:r w:rsidRPr="00C8504B">
        <w:rPr>
          <w:rFonts w:ascii="Arial Narrow" w:hAnsi="Arial Narrow" w:cs="Arial"/>
          <w:color w:val="5F5F5F"/>
        </w:rPr>
        <w:t>, pesi e variazioni percentuali</w:t>
      </w:r>
      <w:r w:rsidR="00625F9C" w:rsidRPr="00C8504B">
        <w:rPr>
          <w:rFonts w:ascii="Arial Narrow" w:hAnsi="Arial Narrow" w:cs="Arial"/>
          <w:color w:val="5F5F5F"/>
        </w:rPr>
        <w:t xml:space="preserve"> </w:t>
      </w:r>
      <w:r w:rsidR="00AD29B6" w:rsidRPr="00C8504B">
        <w:rPr>
          <w:rFonts w:ascii="Arial Narrow" w:hAnsi="Arial Narrow" w:cs="Arial"/>
          <w:color w:val="5F5F5F"/>
        </w:rPr>
        <w:t>congiunturali</w:t>
      </w:r>
      <w:r w:rsidR="00625F9C" w:rsidRPr="00C8504B">
        <w:rPr>
          <w:rFonts w:ascii="Arial Narrow" w:hAnsi="Arial Narrow" w:cs="Arial"/>
          <w:color w:val="5F5F5F"/>
        </w:rPr>
        <w:t xml:space="preserve"> e tendenziali</w:t>
      </w:r>
      <w:r w:rsidRPr="00C8504B">
        <w:rPr>
          <w:rFonts w:ascii="Arial Narrow" w:hAnsi="Arial Narrow" w:cs="Arial"/>
          <w:color w:val="5F5F5F"/>
        </w:rPr>
        <w:t xml:space="preserve"> (base 2015=100</w:t>
      </w:r>
      <w:r w:rsidRPr="00C8504B">
        <w:rPr>
          <w:rFonts w:ascii="Arial Narrow" w:hAnsi="Arial Narrow" w:cs="Arial"/>
          <w:color w:val="5F5F5F"/>
          <w:sz w:val="22"/>
          <w:szCs w:val="22"/>
        </w:rPr>
        <w:t xml:space="preserve">) </w:t>
      </w:r>
    </w:p>
    <w:tbl>
      <w:tblPr>
        <w:tblW w:w="10166" w:type="dxa"/>
        <w:jc w:val="center"/>
        <w:tblBorders>
          <w:top w:val="single" w:sz="4" w:space="0" w:color="080808"/>
          <w:bottom w:val="single" w:sz="4" w:space="0" w:color="080808"/>
          <w:insideH w:val="single" w:sz="4" w:space="0" w:color="080808"/>
        </w:tblBorders>
        <w:tblCellMar>
          <w:left w:w="70" w:type="dxa"/>
          <w:right w:w="0" w:type="dxa"/>
        </w:tblCellMar>
        <w:tblLook w:val="0000" w:firstRow="0" w:lastRow="0" w:firstColumn="0" w:lastColumn="0" w:noHBand="0" w:noVBand="0"/>
      </w:tblPr>
      <w:tblGrid>
        <w:gridCol w:w="3219"/>
        <w:gridCol w:w="1221"/>
        <w:gridCol w:w="1066"/>
        <w:gridCol w:w="932"/>
        <w:gridCol w:w="1050"/>
        <w:gridCol w:w="924"/>
        <w:gridCol w:w="877"/>
        <w:gridCol w:w="877"/>
      </w:tblGrid>
      <w:tr w:rsidR="00E622F5" w:rsidRPr="00C8504B" w:rsidTr="00FD599C">
        <w:trPr>
          <w:trHeight w:val="347"/>
          <w:jc w:val="center"/>
        </w:trPr>
        <w:tc>
          <w:tcPr>
            <w:tcW w:w="3219" w:type="dxa"/>
            <w:vMerge w:val="restart"/>
            <w:vAlign w:val="center"/>
          </w:tcPr>
          <w:p w:rsidR="00E622F5" w:rsidRPr="00C8504B" w:rsidRDefault="00E622F5" w:rsidP="003374B9">
            <w:pPr>
              <w:spacing w:before="40" w:after="20"/>
              <w:ind w:left="-57"/>
              <w:rPr>
                <w:rFonts w:ascii="Arial Narrow" w:hAnsi="Arial Narrow" w:cs="Arial"/>
                <w:bCs/>
                <w:sz w:val="18"/>
                <w:szCs w:val="18"/>
              </w:rPr>
            </w:pPr>
            <w:r w:rsidRPr="00C8504B">
              <w:rPr>
                <w:rFonts w:ascii="Arial Narrow" w:hAnsi="Arial Narrow" w:cs="Arial"/>
                <w:b/>
                <w:bCs/>
                <w:sz w:val="18"/>
                <w:szCs w:val="18"/>
              </w:rPr>
              <w:t>DIVISIONI DI SPESA</w:t>
            </w:r>
          </w:p>
        </w:tc>
        <w:tc>
          <w:tcPr>
            <w:tcW w:w="1221" w:type="dxa"/>
            <w:vMerge w:val="restart"/>
            <w:shd w:val="clear" w:color="auto" w:fill="D9D9D9"/>
            <w:vAlign w:val="center"/>
          </w:tcPr>
          <w:p w:rsidR="00E622F5" w:rsidRPr="00C8504B" w:rsidRDefault="00E622F5" w:rsidP="00E31685">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Pesi</w:t>
            </w:r>
          </w:p>
        </w:tc>
        <w:tc>
          <w:tcPr>
            <w:tcW w:w="1998" w:type="dxa"/>
            <w:gridSpan w:val="2"/>
            <w:vAlign w:val="center"/>
          </w:tcPr>
          <w:p w:rsidR="00E622F5" w:rsidRPr="00C8504B" w:rsidRDefault="00E622F5" w:rsidP="007758FD">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congiunturali</w:t>
            </w:r>
          </w:p>
        </w:tc>
        <w:tc>
          <w:tcPr>
            <w:tcW w:w="1974" w:type="dxa"/>
            <w:gridSpan w:val="2"/>
            <w:shd w:val="clear" w:color="auto" w:fill="D9D9D9"/>
            <w:vAlign w:val="center"/>
          </w:tcPr>
          <w:p w:rsidR="00E622F5" w:rsidRPr="00C8504B" w:rsidRDefault="00E622F5" w:rsidP="007758FD">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tendenziali</w:t>
            </w:r>
          </w:p>
        </w:tc>
        <w:tc>
          <w:tcPr>
            <w:tcW w:w="1754" w:type="dxa"/>
            <w:gridSpan w:val="2"/>
            <w:vAlign w:val="center"/>
          </w:tcPr>
          <w:p w:rsidR="00E622F5" w:rsidRPr="00790526" w:rsidRDefault="00E622F5" w:rsidP="00E622F5">
            <w:pPr>
              <w:spacing w:before="40" w:after="20"/>
              <w:ind w:left="-257" w:right="57" w:firstLine="187"/>
              <w:jc w:val="center"/>
              <w:rPr>
                <w:rFonts w:ascii="Arial Narrow" w:hAnsi="Arial Narrow" w:cs="Arial"/>
                <w:b/>
                <w:bCs/>
                <w:kern w:val="0"/>
                <w:sz w:val="18"/>
                <w:szCs w:val="18"/>
              </w:rPr>
            </w:pPr>
            <w:r>
              <w:rPr>
                <w:rFonts w:ascii="Arial Narrow" w:hAnsi="Arial Narrow" w:cs="Arial"/>
                <w:b/>
                <w:bCs/>
                <w:kern w:val="0"/>
                <w:sz w:val="18"/>
                <w:szCs w:val="18"/>
              </w:rPr>
              <w:t>V</w:t>
            </w:r>
            <w:r w:rsidRPr="00E35895">
              <w:rPr>
                <w:rFonts w:ascii="Arial Narrow" w:hAnsi="Arial Narrow" w:cs="Arial"/>
                <w:b/>
                <w:bCs/>
                <w:kern w:val="0"/>
                <w:sz w:val="18"/>
                <w:szCs w:val="18"/>
              </w:rPr>
              <w:t>ariazioni</w:t>
            </w:r>
            <w:r>
              <w:rPr>
                <w:rFonts w:ascii="Arial Narrow" w:hAnsi="Arial Narrow" w:cs="Arial"/>
                <w:b/>
                <w:bCs/>
                <w:kern w:val="0"/>
                <w:sz w:val="18"/>
                <w:szCs w:val="18"/>
              </w:rPr>
              <w:t xml:space="preserve"> </w:t>
            </w:r>
            <w:r w:rsidRPr="00E35895">
              <w:rPr>
                <w:rFonts w:ascii="Arial Narrow" w:hAnsi="Arial Narrow" w:cs="Arial"/>
                <w:b/>
                <w:bCs/>
                <w:kern w:val="0"/>
                <w:sz w:val="18"/>
                <w:szCs w:val="18"/>
              </w:rPr>
              <w:t>medi</w:t>
            </w:r>
            <w:r>
              <w:rPr>
                <w:rFonts w:ascii="Arial Narrow" w:hAnsi="Arial Narrow" w:cs="Arial"/>
                <w:b/>
                <w:bCs/>
                <w:kern w:val="0"/>
                <w:sz w:val="18"/>
                <w:szCs w:val="18"/>
              </w:rPr>
              <w:t>e</w:t>
            </w:r>
          </w:p>
        </w:tc>
      </w:tr>
      <w:tr w:rsidR="00FB4168" w:rsidRPr="00C8504B" w:rsidTr="00FF2F4C">
        <w:trPr>
          <w:trHeight w:val="346"/>
          <w:jc w:val="center"/>
        </w:trPr>
        <w:tc>
          <w:tcPr>
            <w:tcW w:w="3219" w:type="dxa"/>
            <w:vMerge/>
            <w:vAlign w:val="center"/>
          </w:tcPr>
          <w:p w:rsidR="00FB4168" w:rsidRPr="00C8504B" w:rsidRDefault="00FB4168" w:rsidP="00FB4168">
            <w:pPr>
              <w:spacing w:before="40" w:after="20"/>
              <w:ind w:left="-57"/>
              <w:rPr>
                <w:rFonts w:ascii="Arial Narrow" w:hAnsi="Arial Narrow" w:cs="Arial"/>
                <w:b/>
                <w:bCs/>
                <w:sz w:val="18"/>
                <w:szCs w:val="18"/>
              </w:rPr>
            </w:pPr>
          </w:p>
        </w:tc>
        <w:tc>
          <w:tcPr>
            <w:tcW w:w="1221" w:type="dxa"/>
            <w:vMerge/>
            <w:shd w:val="clear" w:color="auto" w:fill="D9D9D9"/>
            <w:vAlign w:val="center"/>
          </w:tcPr>
          <w:p w:rsidR="00FB4168" w:rsidRPr="00C8504B" w:rsidRDefault="00FB4168" w:rsidP="00FB4168">
            <w:pPr>
              <w:spacing w:before="40" w:after="20"/>
              <w:ind w:right="57"/>
              <w:jc w:val="right"/>
              <w:rPr>
                <w:rFonts w:ascii="Arial Narrow" w:hAnsi="Arial Narrow" w:cs="Arial"/>
                <w:b/>
                <w:bCs/>
                <w:sz w:val="18"/>
                <w:szCs w:val="18"/>
              </w:rPr>
            </w:pPr>
          </w:p>
        </w:tc>
        <w:tc>
          <w:tcPr>
            <w:tcW w:w="1066" w:type="dxa"/>
            <w:vAlign w:val="center"/>
          </w:tcPr>
          <w:p w:rsidR="00FB4168" w:rsidRDefault="00FB4168" w:rsidP="00FB416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dic-2</w:t>
            </w:r>
            <w:r w:rsidR="005F5162">
              <w:rPr>
                <w:rFonts w:ascii="Arial Narrow" w:hAnsi="Arial Narrow" w:cs="Arial"/>
                <w:kern w:val="0"/>
                <w:sz w:val="18"/>
                <w:szCs w:val="18"/>
                <w:u w:val="single"/>
              </w:rPr>
              <w:t>3</w:t>
            </w:r>
          </w:p>
          <w:p w:rsidR="00FB4168" w:rsidRPr="00E03E58" w:rsidRDefault="00FB4168" w:rsidP="005F5162">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nov-2</w:t>
            </w:r>
            <w:r w:rsidR="005F5162">
              <w:rPr>
                <w:rFonts w:ascii="Arial Narrow" w:hAnsi="Arial Narrow" w:cs="Arial"/>
                <w:kern w:val="0"/>
                <w:sz w:val="18"/>
                <w:szCs w:val="18"/>
              </w:rPr>
              <w:t>3</w:t>
            </w:r>
          </w:p>
        </w:tc>
        <w:tc>
          <w:tcPr>
            <w:tcW w:w="932" w:type="dxa"/>
            <w:vAlign w:val="center"/>
          </w:tcPr>
          <w:p w:rsidR="00FB4168" w:rsidRDefault="00FB4168" w:rsidP="00922FCE">
            <w:pPr>
              <w:widowControl/>
              <w:overflowPunct/>
              <w:autoSpaceDE/>
              <w:autoSpaceDN/>
              <w:adjustRightInd/>
              <w:spacing w:before="40" w:after="20"/>
              <w:ind w:right="44"/>
              <w:jc w:val="right"/>
              <w:rPr>
                <w:rFonts w:ascii="Arial Narrow" w:hAnsi="Arial Narrow" w:cs="Arial"/>
                <w:kern w:val="0"/>
                <w:sz w:val="18"/>
                <w:szCs w:val="18"/>
                <w:u w:val="single"/>
              </w:rPr>
            </w:pPr>
            <w:r>
              <w:rPr>
                <w:rFonts w:ascii="Arial Narrow" w:hAnsi="Arial Narrow" w:cs="Arial"/>
                <w:kern w:val="0"/>
                <w:sz w:val="18"/>
                <w:szCs w:val="18"/>
                <w:u w:val="single"/>
              </w:rPr>
              <w:t>dic-2</w:t>
            </w:r>
            <w:r w:rsidR="00482448">
              <w:rPr>
                <w:rFonts w:ascii="Arial Narrow" w:hAnsi="Arial Narrow" w:cs="Arial"/>
                <w:kern w:val="0"/>
                <w:sz w:val="18"/>
                <w:szCs w:val="18"/>
                <w:u w:val="single"/>
              </w:rPr>
              <w:t>2</w:t>
            </w:r>
          </w:p>
          <w:p w:rsidR="00FB4168" w:rsidRPr="008814F3" w:rsidRDefault="00FB4168" w:rsidP="00922FCE">
            <w:pPr>
              <w:widowControl/>
              <w:overflowPunct/>
              <w:autoSpaceDE/>
              <w:autoSpaceDN/>
              <w:adjustRightInd/>
              <w:spacing w:before="40" w:after="20"/>
              <w:ind w:right="44"/>
              <w:jc w:val="right"/>
              <w:rPr>
                <w:rFonts w:ascii="Arial Narrow" w:hAnsi="Arial Narrow" w:cs="Arial"/>
                <w:kern w:val="0"/>
                <w:sz w:val="18"/>
                <w:szCs w:val="18"/>
                <w:u w:val="single"/>
              </w:rPr>
            </w:pPr>
            <w:r>
              <w:rPr>
                <w:rFonts w:ascii="Arial Narrow" w:hAnsi="Arial Narrow" w:cs="Arial"/>
                <w:kern w:val="0"/>
                <w:sz w:val="18"/>
                <w:szCs w:val="18"/>
              </w:rPr>
              <w:t>nov-2</w:t>
            </w:r>
            <w:r w:rsidR="00482448">
              <w:rPr>
                <w:rFonts w:ascii="Arial Narrow" w:hAnsi="Arial Narrow" w:cs="Arial"/>
                <w:kern w:val="0"/>
                <w:sz w:val="18"/>
                <w:szCs w:val="18"/>
              </w:rPr>
              <w:t>2</w:t>
            </w:r>
          </w:p>
        </w:tc>
        <w:tc>
          <w:tcPr>
            <w:tcW w:w="1050" w:type="dxa"/>
            <w:vAlign w:val="center"/>
          </w:tcPr>
          <w:p w:rsidR="00FB4168" w:rsidRDefault="00FB4168" w:rsidP="00FB416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dic-2</w:t>
            </w:r>
            <w:r w:rsidR="00482448">
              <w:rPr>
                <w:rFonts w:ascii="Arial Narrow" w:hAnsi="Arial Narrow" w:cs="Arial"/>
                <w:kern w:val="0"/>
                <w:sz w:val="18"/>
                <w:szCs w:val="18"/>
                <w:u w:val="single"/>
              </w:rPr>
              <w:t>3</w:t>
            </w:r>
          </w:p>
          <w:p w:rsidR="00FB4168" w:rsidRPr="008814F3" w:rsidRDefault="00FB4168" w:rsidP="00FB416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dic-2</w:t>
            </w:r>
            <w:r w:rsidR="00482448">
              <w:rPr>
                <w:rFonts w:ascii="Arial Narrow" w:hAnsi="Arial Narrow" w:cs="Arial"/>
                <w:kern w:val="0"/>
                <w:sz w:val="18"/>
                <w:szCs w:val="18"/>
              </w:rPr>
              <w:t>2</w:t>
            </w:r>
          </w:p>
        </w:tc>
        <w:tc>
          <w:tcPr>
            <w:tcW w:w="924" w:type="dxa"/>
            <w:vAlign w:val="center"/>
          </w:tcPr>
          <w:p w:rsidR="00FB4168" w:rsidRDefault="00FB4168" w:rsidP="00FB416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nov-2</w:t>
            </w:r>
            <w:r w:rsidR="00482448">
              <w:rPr>
                <w:rFonts w:ascii="Arial Narrow" w:hAnsi="Arial Narrow" w:cs="Arial"/>
                <w:kern w:val="0"/>
                <w:sz w:val="18"/>
                <w:szCs w:val="18"/>
                <w:u w:val="single"/>
              </w:rPr>
              <w:t>3</w:t>
            </w:r>
          </w:p>
          <w:p w:rsidR="00FB4168" w:rsidRPr="008814F3" w:rsidRDefault="00FB4168" w:rsidP="00FB416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nov-2</w:t>
            </w:r>
            <w:r w:rsidR="00482448">
              <w:rPr>
                <w:rFonts w:ascii="Arial Narrow" w:hAnsi="Arial Narrow" w:cs="Arial"/>
                <w:kern w:val="0"/>
                <w:sz w:val="18"/>
                <w:szCs w:val="18"/>
              </w:rPr>
              <w:t>2</w:t>
            </w:r>
          </w:p>
        </w:tc>
        <w:tc>
          <w:tcPr>
            <w:tcW w:w="877" w:type="dxa"/>
            <w:vAlign w:val="center"/>
          </w:tcPr>
          <w:p w:rsidR="00FB4168" w:rsidRDefault="00FB4168" w:rsidP="00FB416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202</w:t>
            </w:r>
            <w:r w:rsidR="00482448">
              <w:rPr>
                <w:rFonts w:ascii="Arial Narrow" w:hAnsi="Arial Narrow" w:cs="Arial"/>
                <w:kern w:val="0"/>
                <w:sz w:val="18"/>
                <w:szCs w:val="18"/>
                <w:u w:val="single"/>
              </w:rPr>
              <w:t>3</w:t>
            </w:r>
          </w:p>
          <w:p w:rsidR="00FB4168" w:rsidRPr="008814F3" w:rsidRDefault="00FB4168" w:rsidP="00A376E5">
            <w:pPr>
              <w:widowControl/>
              <w:overflowPunct/>
              <w:autoSpaceDE/>
              <w:autoSpaceDN/>
              <w:adjustRightInd/>
              <w:spacing w:before="0" w:after="0"/>
              <w:ind w:right="57"/>
              <w:jc w:val="right"/>
              <w:rPr>
                <w:rFonts w:ascii="Arial Narrow" w:hAnsi="Arial Narrow" w:cs="Arial"/>
                <w:b/>
                <w:bCs/>
                <w:kern w:val="0"/>
                <w:sz w:val="18"/>
                <w:szCs w:val="18"/>
              </w:rPr>
            </w:pPr>
            <w:r>
              <w:rPr>
                <w:rFonts w:ascii="Arial Narrow" w:hAnsi="Arial Narrow" w:cs="Arial"/>
                <w:kern w:val="0"/>
                <w:sz w:val="18"/>
                <w:szCs w:val="18"/>
              </w:rPr>
              <w:t>202</w:t>
            </w:r>
            <w:r w:rsidR="00482448">
              <w:rPr>
                <w:rFonts w:ascii="Arial Narrow" w:hAnsi="Arial Narrow" w:cs="Arial"/>
                <w:kern w:val="0"/>
                <w:sz w:val="18"/>
                <w:szCs w:val="18"/>
              </w:rPr>
              <w:t>2</w:t>
            </w:r>
          </w:p>
        </w:tc>
        <w:tc>
          <w:tcPr>
            <w:tcW w:w="877" w:type="dxa"/>
            <w:vAlign w:val="center"/>
          </w:tcPr>
          <w:p w:rsidR="00FB4168" w:rsidRDefault="00FB4168" w:rsidP="00FB4168">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202</w:t>
            </w:r>
            <w:r w:rsidR="00482448">
              <w:rPr>
                <w:rFonts w:ascii="Arial Narrow" w:hAnsi="Arial Narrow" w:cs="Arial"/>
                <w:kern w:val="0"/>
                <w:sz w:val="18"/>
                <w:szCs w:val="18"/>
                <w:u w:val="single"/>
              </w:rPr>
              <w:t>2</w:t>
            </w:r>
          </w:p>
          <w:p w:rsidR="00FB4168" w:rsidRPr="008814F3" w:rsidRDefault="00FB4168" w:rsidP="00482448">
            <w:pPr>
              <w:widowControl/>
              <w:overflowPunct/>
              <w:autoSpaceDE/>
              <w:autoSpaceDN/>
              <w:adjustRightInd/>
              <w:spacing w:before="0" w:after="0"/>
              <w:ind w:right="57"/>
              <w:jc w:val="right"/>
              <w:rPr>
                <w:rFonts w:ascii="Arial Narrow" w:hAnsi="Arial Narrow" w:cs="Arial"/>
                <w:b/>
                <w:bCs/>
                <w:kern w:val="0"/>
                <w:sz w:val="18"/>
                <w:szCs w:val="18"/>
              </w:rPr>
            </w:pPr>
            <w:r>
              <w:rPr>
                <w:rFonts w:ascii="Arial Narrow" w:hAnsi="Arial Narrow" w:cs="Arial"/>
                <w:kern w:val="0"/>
                <w:sz w:val="18"/>
                <w:szCs w:val="18"/>
              </w:rPr>
              <w:t>20</w:t>
            </w:r>
            <w:r w:rsidR="00A376E5">
              <w:rPr>
                <w:rFonts w:ascii="Arial Narrow" w:hAnsi="Arial Narrow" w:cs="Arial"/>
                <w:kern w:val="0"/>
                <w:sz w:val="18"/>
                <w:szCs w:val="18"/>
              </w:rPr>
              <w:t>2</w:t>
            </w:r>
            <w:r w:rsidR="00482448">
              <w:rPr>
                <w:rFonts w:ascii="Arial Narrow" w:hAnsi="Arial Narrow" w:cs="Arial"/>
                <w:kern w:val="0"/>
                <w:sz w:val="18"/>
                <w:szCs w:val="18"/>
              </w:rPr>
              <w:t>1</w:t>
            </w:r>
          </w:p>
        </w:tc>
      </w:tr>
      <w:tr w:rsidR="00883E32" w:rsidRPr="00C8504B" w:rsidTr="00596941">
        <w:trPr>
          <w:trHeight w:val="255"/>
          <w:jc w:val="center"/>
        </w:trPr>
        <w:tc>
          <w:tcPr>
            <w:tcW w:w="3219" w:type="dxa"/>
            <w:vAlign w:val="center"/>
          </w:tcPr>
          <w:p w:rsidR="00883E32" w:rsidRPr="00C8504B" w:rsidRDefault="00883E32" w:rsidP="00883E32">
            <w:pPr>
              <w:spacing w:before="40" w:after="20"/>
              <w:ind w:left="-57"/>
              <w:rPr>
                <w:rFonts w:ascii="Arial Narrow" w:hAnsi="Arial Narrow" w:cs="Arial"/>
                <w:sz w:val="18"/>
                <w:szCs w:val="18"/>
              </w:rPr>
            </w:pPr>
            <w:r w:rsidRPr="00C8504B">
              <w:rPr>
                <w:rFonts w:ascii="Arial Narrow" w:hAnsi="Arial Narrow" w:cs="Arial"/>
                <w:sz w:val="18"/>
                <w:szCs w:val="18"/>
              </w:rPr>
              <w:t>Prodotti alimentari e bevande analcoliche</w:t>
            </w:r>
          </w:p>
        </w:tc>
        <w:tc>
          <w:tcPr>
            <w:tcW w:w="1221" w:type="dxa"/>
            <w:shd w:val="clear" w:color="auto" w:fill="D9D9D9"/>
            <w:vAlign w:val="bottom"/>
          </w:tcPr>
          <w:p w:rsidR="00883E32" w:rsidRPr="005600D2" w:rsidRDefault="00883E32" w:rsidP="00883E32">
            <w:pPr>
              <w:spacing w:before="40" w:after="20"/>
              <w:ind w:left="-57" w:right="57"/>
              <w:jc w:val="right"/>
              <w:rPr>
                <w:rFonts w:ascii="Arial Narrow" w:hAnsi="Arial Narrow" w:cs="Arial"/>
                <w:sz w:val="18"/>
                <w:szCs w:val="18"/>
              </w:rPr>
            </w:pPr>
            <w:r w:rsidRPr="005600D2">
              <w:rPr>
                <w:rFonts w:ascii="Arial Narrow" w:hAnsi="Arial Narrow" w:cs="Arial"/>
                <w:sz w:val="18"/>
                <w:szCs w:val="18"/>
              </w:rPr>
              <w:t>181.443</w:t>
            </w:r>
          </w:p>
        </w:tc>
        <w:tc>
          <w:tcPr>
            <w:tcW w:w="1066"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+0,2</w:t>
            </w:r>
          </w:p>
        </w:tc>
        <w:tc>
          <w:tcPr>
            <w:tcW w:w="932" w:type="dxa"/>
            <w:shd w:val="clear" w:color="auto" w:fill="D9D9D9"/>
            <w:tcMar>
              <w:left w:w="28" w:type="dxa"/>
              <w:right w:w="85" w:type="dxa"/>
            </w:tcMar>
            <w:vAlign w:val="center"/>
          </w:tcPr>
          <w:p w:rsidR="00883E32" w:rsidRPr="00D85DA9" w:rsidRDefault="00883E32" w:rsidP="00922FCE">
            <w:pPr>
              <w:spacing w:before="40" w:after="20"/>
              <w:ind w:right="-2"/>
              <w:jc w:val="right"/>
              <w:rPr>
                <w:rFonts w:ascii="Arial Narrow" w:hAnsi="Arial Narrow" w:cs="Arial"/>
                <w:sz w:val="18"/>
                <w:szCs w:val="18"/>
              </w:rPr>
            </w:pPr>
            <w:r w:rsidRPr="00D85DA9">
              <w:rPr>
                <w:rFonts w:ascii="Arial Narrow" w:hAnsi="Arial Narrow" w:cs="Arial"/>
                <w:sz w:val="18"/>
                <w:szCs w:val="18"/>
              </w:rPr>
              <w:t>+0,2</w:t>
            </w:r>
          </w:p>
        </w:tc>
        <w:tc>
          <w:tcPr>
            <w:tcW w:w="1050"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+6,0</w:t>
            </w:r>
          </w:p>
        </w:tc>
        <w:tc>
          <w:tcPr>
            <w:tcW w:w="924" w:type="dxa"/>
            <w:shd w:val="clear" w:color="auto" w:fill="D9D9D9"/>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+6,1</w:t>
            </w:r>
          </w:p>
        </w:tc>
        <w:tc>
          <w:tcPr>
            <w:tcW w:w="877" w:type="dxa"/>
            <w:vAlign w:val="center"/>
          </w:tcPr>
          <w:p w:rsidR="00883E32" w:rsidRPr="00883E32" w:rsidRDefault="00883E32" w:rsidP="00883E32">
            <w:pPr>
              <w:spacing w:before="40" w:after="20"/>
              <w:ind w:right="57"/>
              <w:jc w:val="right"/>
              <w:rPr>
                <w:rFonts w:ascii="Arial Narrow" w:hAnsi="Arial Narrow" w:cs="Arial"/>
                <w:sz w:val="18"/>
                <w:szCs w:val="18"/>
              </w:rPr>
            </w:pPr>
            <w:r w:rsidRPr="00883E32">
              <w:rPr>
                <w:rFonts w:ascii="Arial Narrow" w:hAnsi="Arial Narrow" w:cs="Arial"/>
                <w:sz w:val="18"/>
                <w:szCs w:val="18"/>
              </w:rPr>
              <w:t>+10,2</w:t>
            </w:r>
          </w:p>
        </w:tc>
        <w:tc>
          <w:tcPr>
            <w:tcW w:w="877" w:type="dxa"/>
            <w:shd w:val="clear" w:color="auto" w:fill="D9D9D9" w:themeFill="background1" w:themeFillShade="D9"/>
            <w:vAlign w:val="center"/>
          </w:tcPr>
          <w:p w:rsidR="00883E32" w:rsidRPr="00A376E5" w:rsidRDefault="00883E32" w:rsidP="00883E32">
            <w:pPr>
              <w:spacing w:before="40" w:after="20"/>
              <w:ind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9,3</w:t>
            </w:r>
          </w:p>
        </w:tc>
      </w:tr>
      <w:tr w:rsidR="00883E32" w:rsidRPr="00C8504B" w:rsidTr="00596941">
        <w:trPr>
          <w:trHeight w:val="255"/>
          <w:jc w:val="center"/>
        </w:trPr>
        <w:tc>
          <w:tcPr>
            <w:tcW w:w="3219" w:type="dxa"/>
            <w:vAlign w:val="center"/>
          </w:tcPr>
          <w:p w:rsidR="00883E32" w:rsidRPr="00C8504B" w:rsidRDefault="00883E32" w:rsidP="00883E32">
            <w:pPr>
              <w:spacing w:before="40" w:after="20"/>
              <w:ind w:left="-57"/>
              <w:rPr>
                <w:rFonts w:ascii="Arial Narrow" w:hAnsi="Arial Narrow" w:cs="Arial"/>
                <w:sz w:val="18"/>
                <w:szCs w:val="18"/>
              </w:rPr>
            </w:pPr>
            <w:r w:rsidRPr="00C8504B">
              <w:rPr>
                <w:rFonts w:ascii="Arial Narrow" w:hAnsi="Arial Narrow" w:cs="Arial"/>
                <w:sz w:val="18"/>
                <w:szCs w:val="18"/>
              </w:rPr>
              <w:t>Bevande alcoliche e tabacchi</w:t>
            </w:r>
          </w:p>
        </w:tc>
        <w:tc>
          <w:tcPr>
            <w:tcW w:w="1221" w:type="dxa"/>
            <w:shd w:val="clear" w:color="auto" w:fill="D9D9D9"/>
            <w:vAlign w:val="bottom"/>
          </w:tcPr>
          <w:p w:rsidR="00883E32" w:rsidRPr="005600D2" w:rsidRDefault="00883E32" w:rsidP="00883E32">
            <w:pPr>
              <w:spacing w:before="40" w:after="20"/>
              <w:ind w:left="-57" w:right="57"/>
              <w:jc w:val="right"/>
              <w:rPr>
                <w:rFonts w:ascii="Arial Narrow" w:hAnsi="Arial Narrow" w:cs="Arial"/>
                <w:sz w:val="18"/>
                <w:szCs w:val="18"/>
              </w:rPr>
            </w:pPr>
            <w:r w:rsidRPr="005600D2">
              <w:rPr>
                <w:rFonts w:ascii="Arial Narrow" w:hAnsi="Arial Narrow" w:cs="Arial"/>
                <w:sz w:val="18"/>
                <w:szCs w:val="18"/>
              </w:rPr>
              <w:t>31.698</w:t>
            </w:r>
          </w:p>
        </w:tc>
        <w:tc>
          <w:tcPr>
            <w:tcW w:w="1066"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-0,6</w:t>
            </w:r>
          </w:p>
        </w:tc>
        <w:tc>
          <w:tcPr>
            <w:tcW w:w="932" w:type="dxa"/>
            <w:shd w:val="clear" w:color="auto" w:fill="D9D9D9"/>
            <w:tcMar>
              <w:left w:w="28" w:type="dxa"/>
              <w:right w:w="85" w:type="dxa"/>
            </w:tcMar>
            <w:vAlign w:val="center"/>
          </w:tcPr>
          <w:p w:rsidR="00883E32" w:rsidRPr="00D85DA9" w:rsidRDefault="00883E32" w:rsidP="00922FCE">
            <w:pPr>
              <w:spacing w:before="40" w:after="20"/>
              <w:ind w:left="-57" w:right="-2"/>
              <w:jc w:val="right"/>
              <w:rPr>
                <w:rFonts w:ascii="Arial Narrow" w:hAnsi="Arial Narrow" w:cs="Arial"/>
                <w:sz w:val="18"/>
                <w:szCs w:val="18"/>
              </w:rPr>
            </w:pPr>
            <w:r w:rsidRPr="00D85DA9">
              <w:rPr>
                <w:rFonts w:ascii="Arial Narrow" w:hAnsi="Arial Narrow" w:cs="Arial"/>
                <w:sz w:val="18"/>
                <w:szCs w:val="18"/>
              </w:rPr>
              <w:t>-0,4</w:t>
            </w:r>
          </w:p>
        </w:tc>
        <w:tc>
          <w:tcPr>
            <w:tcW w:w="1050"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+2,7</w:t>
            </w:r>
          </w:p>
        </w:tc>
        <w:tc>
          <w:tcPr>
            <w:tcW w:w="924" w:type="dxa"/>
            <w:shd w:val="clear" w:color="auto" w:fill="D9D9D9"/>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+2,9</w:t>
            </w:r>
          </w:p>
        </w:tc>
        <w:tc>
          <w:tcPr>
            <w:tcW w:w="877" w:type="dxa"/>
            <w:vAlign w:val="center"/>
          </w:tcPr>
          <w:p w:rsidR="00883E32" w:rsidRPr="00883E32" w:rsidRDefault="00883E32" w:rsidP="00883E32">
            <w:pPr>
              <w:spacing w:before="40" w:after="20"/>
              <w:ind w:right="57"/>
              <w:jc w:val="right"/>
              <w:rPr>
                <w:rFonts w:ascii="Arial Narrow" w:hAnsi="Arial Narrow" w:cs="Arial"/>
                <w:sz w:val="18"/>
                <w:szCs w:val="18"/>
              </w:rPr>
            </w:pPr>
            <w:r w:rsidRPr="00883E32">
              <w:rPr>
                <w:rFonts w:ascii="Arial Narrow" w:hAnsi="Arial Narrow" w:cs="Arial"/>
                <w:sz w:val="18"/>
                <w:szCs w:val="18"/>
              </w:rPr>
              <w:t>+3,5</w:t>
            </w:r>
          </w:p>
        </w:tc>
        <w:tc>
          <w:tcPr>
            <w:tcW w:w="877" w:type="dxa"/>
            <w:shd w:val="clear" w:color="auto" w:fill="D9D9D9" w:themeFill="background1" w:themeFillShade="D9"/>
            <w:vAlign w:val="center"/>
          </w:tcPr>
          <w:p w:rsidR="00883E32" w:rsidRPr="00A376E5" w:rsidRDefault="00883E32" w:rsidP="00883E32">
            <w:pPr>
              <w:spacing w:before="40" w:after="20"/>
              <w:ind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1,3</w:t>
            </w:r>
          </w:p>
        </w:tc>
      </w:tr>
      <w:tr w:rsidR="00883E32" w:rsidRPr="00C8504B" w:rsidTr="00596941">
        <w:trPr>
          <w:trHeight w:val="255"/>
          <w:jc w:val="center"/>
        </w:trPr>
        <w:tc>
          <w:tcPr>
            <w:tcW w:w="3219" w:type="dxa"/>
            <w:vAlign w:val="center"/>
          </w:tcPr>
          <w:p w:rsidR="00883E32" w:rsidRPr="00C8504B" w:rsidRDefault="00883E32" w:rsidP="00883E32">
            <w:pPr>
              <w:spacing w:before="40" w:after="20"/>
              <w:ind w:left="-57"/>
              <w:rPr>
                <w:rFonts w:ascii="Arial Narrow" w:hAnsi="Arial Narrow" w:cs="Arial"/>
                <w:sz w:val="18"/>
                <w:szCs w:val="18"/>
              </w:rPr>
            </w:pPr>
            <w:r w:rsidRPr="00C8504B">
              <w:rPr>
                <w:rFonts w:ascii="Arial Narrow" w:hAnsi="Arial Narrow" w:cs="Arial"/>
                <w:sz w:val="18"/>
                <w:szCs w:val="18"/>
              </w:rPr>
              <w:t>Abbigliamento e calzature</w:t>
            </w:r>
          </w:p>
        </w:tc>
        <w:tc>
          <w:tcPr>
            <w:tcW w:w="1221" w:type="dxa"/>
            <w:shd w:val="clear" w:color="auto" w:fill="D9D9D9"/>
            <w:vAlign w:val="bottom"/>
          </w:tcPr>
          <w:p w:rsidR="00883E32" w:rsidRPr="005600D2" w:rsidRDefault="00883E32" w:rsidP="00883E32">
            <w:pPr>
              <w:spacing w:before="40" w:after="20"/>
              <w:ind w:left="-57" w:right="57"/>
              <w:jc w:val="right"/>
              <w:rPr>
                <w:rFonts w:ascii="Arial Narrow" w:hAnsi="Arial Narrow" w:cs="Arial"/>
                <w:sz w:val="18"/>
                <w:szCs w:val="18"/>
              </w:rPr>
            </w:pPr>
            <w:r w:rsidRPr="005600D2">
              <w:rPr>
                <w:rFonts w:ascii="Arial Narrow" w:hAnsi="Arial Narrow" w:cs="Arial"/>
                <w:sz w:val="18"/>
                <w:szCs w:val="18"/>
              </w:rPr>
              <w:t>74.403</w:t>
            </w:r>
          </w:p>
        </w:tc>
        <w:tc>
          <w:tcPr>
            <w:tcW w:w="1066"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+0,3</w:t>
            </w:r>
          </w:p>
        </w:tc>
        <w:tc>
          <w:tcPr>
            <w:tcW w:w="932" w:type="dxa"/>
            <w:shd w:val="clear" w:color="auto" w:fill="D9D9D9"/>
            <w:tcMar>
              <w:left w:w="28" w:type="dxa"/>
              <w:right w:w="85" w:type="dxa"/>
            </w:tcMar>
            <w:vAlign w:val="center"/>
          </w:tcPr>
          <w:p w:rsidR="00883E32" w:rsidRPr="00D85DA9" w:rsidRDefault="00883E32" w:rsidP="00922FCE">
            <w:pPr>
              <w:spacing w:before="40" w:after="20"/>
              <w:ind w:left="-57" w:right="-2"/>
              <w:jc w:val="right"/>
              <w:rPr>
                <w:rFonts w:ascii="Arial Narrow" w:hAnsi="Arial Narrow" w:cs="Arial"/>
                <w:sz w:val="18"/>
                <w:szCs w:val="18"/>
              </w:rPr>
            </w:pPr>
            <w:r w:rsidRPr="00D85DA9">
              <w:rPr>
                <w:rFonts w:ascii="Arial Narrow" w:hAnsi="Arial Narrow" w:cs="Arial"/>
                <w:sz w:val="18"/>
                <w:szCs w:val="18"/>
              </w:rPr>
              <w:t>+0,3</w:t>
            </w:r>
          </w:p>
        </w:tc>
        <w:tc>
          <w:tcPr>
            <w:tcW w:w="1050"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+2,1</w:t>
            </w:r>
          </w:p>
        </w:tc>
        <w:tc>
          <w:tcPr>
            <w:tcW w:w="924" w:type="dxa"/>
            <w:shd w:val="clear" w:color="auto" w:fill="D9D9D9"/>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+2,0</w:t>
            </w:r>
          </w:p>
        </w:tc>
        <w:tc>
          <w:tcPr>
            <w:tcW w:w="877" w:type="dxa"/>
            <w:vAlign w:val="center"/>
          </w:tcPr>
          <w:p w:rsidR="00883E32" w:rsidRPr="00883E32" w:rsidRDefault="00883E32" w:rsidP="00883E32">
            <w:pPr>
              <w:spacing w:before="40" w:after="20"/>
              <w:ind w:right="57"/>
              <w:jc w:val="right"/>
              <w:rPr>
                <w:rFonts w:ascii="Arial Narrow" w:hAnsi="Arial Narrow" w:cs="Arial"/>
                <w:sz w:val="18"/>
                <w:szCs w:val="18"/>
              </w:rPr>
            </w:pPr>
            <w:r w:rsidRPr="00883E32">
              <w:rPr>
                <w:rFonts w:ascii="Arial Narrow" w:hAnsi="Arial Narrow" w:cs="Arial"/>
                <w:sz w:val="18"/>
                <w:szCs w:val="18"/>
              </w:rPr>
              <w:t>+3,5</w:t>
            </w:r>
          </w:p>
        </w:tc>
        <w:tc>
          <w:tcPr>
            <w:tcW w:w="877" w:type="dxa"/>
            <w:shd w:val="clear" w:color="auto" w:fill="D9D9D9" w:themeFill="background1" w:themeFillShade="D9"/>
            <w:vAlign w:val="center"/>
          </w:tcPr>
          <w:p w:rsidR="00883E32" w:rsidRPr="00A376E5" w:rsidRDefault="00883E32" w:rsidP="00883E32">
            <w:pPr>
              <w:spacing w:before="40" w:after="20"/>
              <w:ind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1,5</w:t>
            </w:r>
          </w:p>
        </w:tc>
      </w:tr>
      <w:tr w:rsidR="00883E32" w:rsidRPr="00C8504B" w:rsidTr="00596941">
        <w:trPr>
          <w:trHeight w:val="255"/>
          <w:jc w:val="center"/>
        </w:trPr>
        <w:tc>
          <w:tcPr>
            <w:tcW w:w="3219" w:type="dxa"/>
            <w:vAlign w:val="center"/>
          </w:tcPr>
          <w:p w:rsidR="00883E32" w:rsidRPr="00C8504B" w:rsidRDefault="00883E32" w:rsidP="00883E32">
            <w:pPr>
              <w:spacing w:before="40" w:after="20"/>
              <w:ind w:left="-57"/>
              <w:rPr>
                <w:rFonts w:ascii="Arial Narrow" w:hAnsi="Arial Narrow" w:cs="Arial"/>
                <w:sz w:val="18"/>
                <w:szCs w:val="18"/>
              </w:rPr>
            </w:pPr>
            <w:r w:rsidRPr="00C8504B">
              <w:rPr>
                <w:rFonts w:ascii="Arial Narrow" w:hAnsi="Arial Narrow" w:cs="Arial"/>
                <w:sz w:val="18"/>
                <w:szCs w:val="18"/>
              </w:rPr>
              <w:t>Abitazione, acqua, elettricità e combustibili</w:t>
            </w:r>
          </w:p>
        </w:tc>
        <w:tc>
          <w:tcPr>
            <w:tcW w:w="1221" w:type="dxa"/>
            <w:shd w:val="clear" w:color="auto" w:fill="D9D9D9"/>
            <w:vAlign w:val="bottom"/>
          </w:tcPr>
          <w:p w:rsidR="00883E32" w:rsidRPr="005600D2" w:rsidRDefault="00883E32" w:rsidP="00883E32">
            <w:pPr>
              <w:spacing w:before="40" w:after="20"/>
              <w:ind w:left="-57" w:right="57"/>
              <w:jc w:val="right"/>
              <w:rPr>
                <w:rFonts w:ascii="Arial Narrow" w:hAnsi="Arial Narrow" w:cs="Arial"/>
                <w:sz w:val="18"/>
                <w:szCs w:val="18"/>
              </w:rPr>
            </w:pPr>
            <w:r w:rsidRPr="005600D2">
              <w:rPr>
                <w:rFonts w:ascii="Arial Narrow" w:hAnsi="Arial Narrow" w:cs="Arial"/>
                <w:sz w:val="18"/>
                <w:szCs w:val="18"/>
              </w:rPr>
              <w:t>128.704</w:t>
            </w:r>
          </w:p>
        </w:tc>
        <w:tc>
          <w:tcPr>
            <w:tcW w:w="1066"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-0,3</w:t>
            </w:r>
          </w:p>
        </w:tc>
        <w:tc>
          <w:tcPr>
            <w:tcW w:w="932" w:type="dxa"/>
            <w:shd w:val="clear" w:color="auto" w:fill="D9D9D9"/>
            <w:tcMar>
              <w:left w:w="28" w:type="dxa"/>
              <w:right w:w="85" w:type="dxa"/>
            </w:tcMar>
            <w:vAlign w:val="center"/>
          </w:tcPr>
          <w:p w:rsidR="00883E32" w:rsidRPr="00D85DA9" w:rsidRDefault="00883E32" w:rsidP="00922FCE">
            <w:pPr>
              <w:spacing w:before="40" w:after="20"/>
              <w:ind w:left="-57" w:right="-2"/>
              <w:jc w:val="right"/>
              <w:rPr>
                <w:rFonts w:ascii="Arial Narrow" w:hAnsi="Arial Narrow" w:cs="Arial"/>
                <w:sz w:val="18"/>
                <w:szCs w:val="18"/>
              </w:rPr>
            </w:pPr>
            <w:r w:rsidRPr="00D85DA9">
              <w:rPr>
                <w:rFonts w:ascii="Arial Narrow" w:hAnsi="Arial Narrow" w:cs="Arial"/>
                <w:sz w:val="18"/>
                <w:szCs w:val="18"/>
              </w:rPr>
              <w:t>-1,0</w:t>
            </w:r>
          </w:p>
        </w:tc>
        <w:tc>
          <w:tcPr>
            <w:tcW w:w="1050"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-19,4</w:t>
            </w:r>
          </w:p>
        </w:tc>
        <w:tc>
          <w:tcPr>
            <w:tcW w:w="924" w:type="dxa"/>
            <w:shd w:val="clear" w:color="auto" w:fill="D9D9D9"/>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-19,9</w:t>
            </w:r>
          </w:p>
        </w:tc>
        <w:tc>
          <w:tcPr>
            <w:tcW w:w="877" w:type="dxa"/>
            <w:vAlign w:val="center"/>
          </w:tcPr>
          <w:p w:rsidR="00883E32" w:rsidRPr="00883E32" w:rsidRDefault="00883E32" w:rsidP="00883E32">
            <w:pPr>
              <w:spacing w:before="40" w:after="20"/>
              <w:ind w:right="57"/>
              <w:jc w:val="right"/>
              <w:rPr>
                <w:rFonts w:ascii="Arial Narrow" w:hAnsi="Arial Narrow" w:cs="Arial"/>
                <w:sz w:val="18"/>
                <w:szCs w:val="18"/>
              </w:rPr>
            </w:pPr>
            <w:r w:rsidRPr="00883E32">
              <w:rPr>
                <w:rFonts w:ascii="Arial Narrow" w:hAnsi="Arial Narrow" w:cs="Arial"/>
                <w:sz w:val="18"/>
                <w:szCs w:val="18"/>
              </w:rPr>
              <w:t>+3,9</w:t>
            </w:r>
          </w:p>
        </w:tc>
        <w:tc>
          <w:tcPr>
            <w:tcW w:w="877" w:type="dxa"/>
            <w:shd w:val="clear" w:color="auto" w:fill="D9D9D9" w:themeFill="background1" w:themeFillShade="D9"/>
            <w:vAlign w:val="center"/>
          </w:tcPr>
          <w:p w:rsidR="00883E32" w:rsidRPr="00A376E5" w:rsidRDefault="00883E32" w:rsidP="00883E32">
            <w:pPr>
              <w:spacing w:before="40" w:after="20"/>
              <w:ind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35</w:t>
            </w:r>
            <w:r>
              <w:rPr>
                <w:rFonts w:ascii="Arial Narrow" w:hAnsi="Arial Narrow" w:cs="Arial"/>
                <w:sz w:val="18"/>
                <w:szCs w:val="18"/>
              </w:rPr>
              <w:t>,0</w:t>
            </w:r>
          </w:p>
        </w:tc>
      </w:tr>
      <w:tr w:rsidR="00883E32" w:rsidRPr="00C8504B" w:rsidTr="00596941">
        <w:trPr>
          <w:trHeight w:val="255"/>
          <w:jc w:val="center"/>
        </w:trPr>
        <w:tc>
          <w:tcPr>
            <w:tcW w:w="3219" w:type="dxa"/>
            <w:vAlign w:val="center"/>
          </w:tcPr>
          <w:p w:rsidR="00883E32" w:rsidRPr="00C8504B" w:rsidRDefault="00883E32" w:rsidP="00883E32">
            <w:pPr>
              <w:spacing w:before="40" w:after="20"/>
              <w:ind w:left="-57"/>
              <w:rPr>
                <w:rFonts w:ascii="Arial Narrow" w:hAnsi="Arial Narrow" w:cs="Arial"/>
                <w:sz w:val="18"/>
                <w:szCs w:val="18"/>
              </w:rPr>
            </w:pPr>
            <w:r w:rsidRPr="00C8504B">
              <w:rPr>
                <w:rFonts w:ascii="Arial Narrow" w:hAnsi="Arial Narrow" w:cs="Arial"/>
                <w:sz w:val="18"/>
                <w:szCs w:val="18"/>
              </w:rPr>
              <w:t>Mobili, articoli e servizi per la casa</w:t>
            </w:r>
          </w:p>
        </w:tc>
        <w:tc>
          <w:tcPr>
            <w:tcW w:w="1221" w:type="dxa"/>
            <w:shd w:val="clear" w:color="auto" w:fill="D9D9D9"/>
            <w:vAlign w:val="bottom"/>
          </w:tcPr>
          <w:p w:rsidR="00883E32" w:rsidRPr="005600D2" w:rsidRDefault="00883E32" w:rsidP="00883E32">
            <w:pPr>
              <w:spacing w:before="40" w:after="20"/>
              <w:ind w:left="-57" w:right="57"/>
              <w:jc w:val="right"/>
              <w:rPr>
                <w:rFonts w:ascii="Arial Narrow" w:hAnsi="Arial Narrow" w:cs="Arial"/>
                <w:sz w:val="18"/>
                <w:szCs w:val="18"/>
              </w:rPr>
            </w:pPr>
            <w:r w:rsidRPr="005600D2">
              <w:rPr>
                <w:rFonts w:ascii="Arial Narrow" w:hAnsi="Arial Narrow" w:cs="Arial"/>
                <w:sz w:val="18"/>
                <w:szCs w:val="18"/>
              </w:rPr>
              <w:t>81.963</w:t>
            </w:r>
          </w:p>
        </w:tc>
        <w:tc>
          <w:tcPr>
            <w:tcW w:w="1066"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+0,4</w:t>
            </w:r>
          </w:p>
        </w:tc>
        <w:tc>
          <w:tcPr>
            <w:tcW w:w="932" w:type="dxa"/>
            <w:shd w:val="clear" w:color="auto" w:fill="D9D9D9"/>
            <w:tcMar>
              <w:left w:w="28" w:type="dxa"/>
              <w:right w:w="85" w:type="dxa"/>
            </w:tcMar>
            <w:vAlign w:val="center"/>
          </w:tcPr>
          <w:p w:rsidR="00883E32" w:rsidRPr="00D85DA9" w:rsidRDefault="00883E32" w:rsidP="00922FCE">
            <w:pPr>
              <w:spacing w:before="40" w:after="20"/>
              <w:ind w:left="-57" w:right="-2"/>
              <w:jc w:val="right"/>
              <w:rPr>
                <w:rFonts w:ascii="Arial Narrow" w:hAnsi="Arial Narrow" w:cs="Arial"/>
                <w:sz w:val="18"/>
                <w:szCs w:val="18"/>
              </w:rPr>
            </w:pPr>
            <w:r w:rsidRPr="00D85DA9">
              <w:rPr>
                <w:rFonts w:ascii="Arial Narrow" w:hAnsi="Arial Narrow" w:cs="Arial"/>
                <w:sz w:val="18"/>
                <w:szCs w:val="18"/>
              </w:rPr>
              <w:t>+0,8</w:t>
            </w:r>
          </w:p>
        </w:tc>
        <w:tc>
          <w:tcPr>
            <w:tcW w:w="1050"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+2,8</w:t>
            </w:r>
          </w:p>
        </w:tc>
        <w:tc>
          <w:tcPr>
            <w:tcW w:w="924" w:type="dxa"/>
            <w:shd w:val="clear" w:color="auto" w:fill="D9D9D9"/>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+3,3</w:t>
            </w:r>
          </w:p>
        </w:tc>
        <w:tc>
          <w:tcPr>
            <w:tcW w:w="877" w:type="dxa"/>
            <w:vAlign w:val="center"/>
          </w:tcPr>
          <w:p w:rsidR="00883E32" w:rsidRPr="00883E32" w:rsidRDefault="00883E32" w:rsidP="00883E32">
            <w:pPr>
              <w:spacing w:before="40" w:after="20"/>
              <w:ind w:right="57"/>
              <w:jc w:val="right"/>
              <w:rPr>
                <w:rFonts w:ascii="Arial Narrow" w:hAnsi="Arial Narrow" w:cs="Arial"/>
                <w:sz w:val="18"/>
                <w:szCs w:val="18"/>
              </w:rPr>
            </w:pPr>
            <w:r w:rsidRPr="00883E32">
              <w:rPr>
                <w:rFonts w:ascii="Arial Narrow" w:hAnsi="Arial Narrow" w:cs="Arial"/>
                <w:sz w:val="18"/>
                <w:szCs w:val="18"/>
              </w:rPr>
              <w:t>+5,7</w:t>
            </w:r>
          </w:p>
        </w:tc>
        <w:tc>
          <w:tcPr>
            <w:tcW w:w="877" w:type="dxa"/>
            <w:shd w:val="clear" w:color="auto" w:fill="D9D9D9" w:themeFill="background1" w:themeFillShade="D9"/>
            <w:vAlign w:val="center"/>
          </w:tcPr>
          <w:p w:rsidR="00883E32" w:rsidRPr="00A376E5" w:rsidRDefault="00883E32" w:rsidP="00883E32">
            <w:pPr>
              <w:spacing w:before="40" w:after="20"/>
              <w:ind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5,2</w:t>
            </w:r>
          </w:p>
        </w:tc>
      </w:tr>
      <w:tr w:rsidR="00883E32" w:rsidRPr="00C8504B" w:rsidTr="00596941">
        <w:trPr>
          <w:trHeight w:val="255"/>
          <w:jc w:val="center"/>
        </w:trPr>
        <w:tc>
          <w:tcPr>
            <w:tcW w:w="3219" w:type="dxa"/>
            <w:vAlign w:val="center"/>
          </w:tcPr>
          <w:p w:rsidR="00883E32" w:rsidRPr="00C8504B" w:rsidRDefault="00883E32" w:rsidP="00883E32">
            <w:pPr>
              <w:spacing w:before="40" w:after="20"/>
              <w:ind w:left="-57"/>
              <w:rPr>
                <w:rFonts w:ascii="Arial Narrow" w:hAnsi="Arial Narrow" w:cs="Arial"/>
                <w:sz w:val="18"/>
                <w:szCs w:val="18"/>
              </w:rPr>
            </w:pPr>
            <w:r w:rsidRPr="00C8504B">
              <w:rPr>
                <w:rFonts w:ascii="Arial Narrow" w:hAnsi="Arial Narrow" w:cs="Arial"/>
                <w:sz w:val="18"/>
                <w:szCs w:val="18"/>
              </w:rPr>
              <w:t>Servizi sanitari e spese per la salute</w:t>
            </w:r>
          </w:p>
        </w:tc>
        <w:tc>
          <w:tcPr>
            <w:tcW w:w="1221" w:type="dxa"/>
            <w:shd w:val="clear" w:color="auto" w:fill="D9D9D9"/>
            <w:vAlign w:val="bottom"/>
          </w:tcPr>
          <w:p w:rsidR="00883E32" w:rsidRPr="005600D2" w:rsidRDefault="00883E32" w:rsidP="00883E32">
            <w:pPr>
              <w:spacing w:before="40" w:after="20"/>
              <w:ind w:left="-57" w:right="57"/>
              <w:jc w:val="right"/>
              <w:rPr>
                <w:rFonts w:ascii="Arial Narrow" w:hAnsi="Arial Narrow" w:cs="Arial"/>
                <w:sz w:val="18"/>
                <w:szCs w:val="18"/>
              </w:rPr>
            </w:pPr>
            <w:r w:rsidRPr="005600D2">
              <w:rPr>
                <w:rFonts w:ascii="Arial Narrow" w:hAnsi="Arial Narrow" w:cs="Arial"/>
                <w:sz w:val="18"/>
                <w:szCs w:val="18"/>
              </w:rPr>
              <w:t>40.100</w:t>
            </w:r>
          </w:p>
        </w:tc>
        <w:tc>
          <w:tcPr>
            <w:tcW w:w="1066"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0,0</w:t>
            </w:r>
          </w:p>
        </w:tc>
        <w:tc>
          <w:tcPr>
            <w:tcW w:w="932" w:type="dxa"/>
            <w:shd w:val="clear" w:color="auto" w:fill="D9D9D9"/>
            <w:tcMar>
              <w:left w:w="28" w:type="dxa"/>
              <w:right w:w="85" w:type="dxa"/>
            </w:tcMar>
            <w:vAlign w:val="center"/>
          </w:tcPr>
          <w:p w:rsidR="00883E32" w:rsidRPr="00D85DA9" w:rsidRDefault="00883E32" w:rsidP="00922FCE">
            <w:pPr>
              <w:spacing w:before="40" w:after="20"/>
              <w:ind w:left="-57" w:right="-2"/>
              <w:jc w:val="right"/>
              <w:rPr>
                <w:rFonts w:ascii="Arial Narrow" w:hAnsi="Arial Narrow" w:cs="Arial"/>
                <w:sz w:val="18"/>
                <w:szCs w:val="18"/>
              </w:rPr>
            </w:pPr>
            <w:r w:rsidRPr="00D85DA9">
              <w:rPr>
                <w:rFonts w:ascii="Arial Narrow" w:hAnsi="Arial Narrow" w:cs="Arial"/>
                <w:sz w:val="18"/>
                <w:szCs w:val="18"/>
              </w:rPr>
              <w:t>+0,1</w:t>
            </w:r>
          </w:p>
        </w:tc>
        <w:tc>
          <w:tcPr>
            <w:tcW w:w="1050"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+2,6</w:t>
            </w:r>
          </w:p>
        </w:tc>
        <w:tc>
          <w:tcPr>
            <w:tcW w:w="924" w:type="dxa"/>
            <w:shd w:val="clear" w:color="auto" w:fill="D9D9D9"/>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+2,7</w:t>
            </w:r>
          </w:p>
        </w:tc>
        <w:tc>
          <w:tcPr>
            <w:tcW w:w="877" w:type="dxa"/>
            <w:vAlign w:val="center"/>
          </w:tcPr>
          <w:p w:rsidR="00883E32" w:rsidRPr="00883E32" w:rsidRDefault="00883E32" w:rsidP="00883E32">
            <w:pPr>
              <w:spacing w:before="40" w:after="20"/>
              <w:ind w:right="57"/>
              <w:jc w:val="right"/>
              <w:rPr>
                <w:rFonts w:ascii="Arial Narrow" w:hAnsi="Arial Narrow" w:cs="Arial"/>
                <w:sz w:val="18"/>
                <w:szCs w:val="18"/>
              </w:rPr>
            </w:pPr>
            <w:r w:rsidRPr="00883E32">
              <w:rPr>
                <w:rFonts w:ascii="Arial Narrow" w:hAnsi="Arial Narrow" w:cs="Arial"/>
                <w:sz w:val="18"/>
                <w:szCs w:val="18"/>
              </w:rPr>
              <w:t>+2,5</w:t>
            </w:r>
          </w:p>
        </w:tc>
        <w:tc>
          <w:tcPr>
            <w:tcW w:w="877" w:type="dxa"/>
            <w:shd w:val="clear" w:color="auto" w:fill="D9D9D9" w:themeFill="background1" w:themeFillShade="D9"/>
            <w:vAlign w:val="center"/>
          </w:tcPr>
          <w:p w:rsidR="00883E32" w:rsidRPr="00A376E5" w:rsidRDefault="00883E32" w:rsidP="00883E32">
            <w:pPr>
              <w:spacing w:before="40" w:after="20"/>
              <w:ind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0,9</w:t>
            </w:r>
          </w:p>
        </w:tc>
      </w:tr>
      <w:tr w:rsidR="00883E32" w:rsidRPr="00C8504B" w:rsidTr="00596941">
        <w:trPr>
          <w:trHeight w:val="255"/>
          <w:jc w:val="center"/>
        </w:trPr>
        <w:tc>
          <w:tcPr>
            <w:tcW w:w="3219" w:type="dxa"/>
            <w:vAlign w:val="center"/>
          </w:tcPr>
          <w:p w:rsidR="00883E32" w:rsidRPr="00C8504B" w:rsidRDefault="00883E32" w:rsidP="00883E32">
            <w:pPr>
              <w:spacing w:before="40" w:after="20"/>
              <w:ind w:left="-57"/>
              <w:rPr>
                <w:rFonts w:ascii="Arial Narrow" w:hAnsi="Arial Narrow" w:cs="Arial"/>
                <w:sz w:val="18"/>
                <w:szCs w:val="18"/>
              </w:rPr>
            </w:pPr>
            <w:r w:rsidRPr="00C8504B">
              <w:rPr>
                <w:rFonts w:ascii="Arial Narrow" w:hAnsi="Arial Narrow" w:cs="Arial"/>
                <w:sz w:val="18"/>
                <w:szCs w:val="18"/>
              </w:rPr>
              <w:t>Trasporti</w:t>
            </w:r>
          </w:p>
        </w:tc>
        <w:tc>
          <w:tcPr>
            <w:tcW w:w="1221" w:type="dxa"/>
            <w:shd w:val="clear" w:color="auto" w:fill="D9D9D9"/>
            <w:vAlign w:val="bottom"/>
          </w:tcPr>
          <w:p w:rsidR="00883E32" w:rsidRPr="005600D2" w:rsidRDefault="00883E32" w:rsidP="00883E32">
            <w:pPr>
              <w:spacing w:before="40" w:after="20"/>
              <w:ind w:left="-57" w:right="57"/>
              <w:jc w:val="right"/>
              <w:rPr>
                <w:rFonts w:ascii="Arial Narrow" w:hAnsi="Arial Narrow" w:cs="Arial"/>
                <w:sz w:val="18"/>
                <w:szCs w:val="18"/>
              </w:rPr>
            </w:pPr>
            <w:r w:rsidRPr="005600D2">
              <w:rPr>
                <w:rFonts w:ascii="Arial Narrow" w:hAnsi="Arial Narrow" w:cs="Arial"/>
                <w:sz w:val="18"/>
                <w:szCs w:val="18"/>
              </w:rPr>
              <w:t>148.974</w:t>
            </w:r>
          </w:p>
        </w:tc>
        <w:tc>
          <w:tcPr>
            <w:tcW w:w="1066"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-0,3</w:t>
            </w:r>
          </w:p>
        </w:tc>
        <w:tc>
          <w:tcPr>
            <w:tcW w:w="932" w:type="dxa"/>
            <w:shd w:val="clear" w:color="auto" w:fill="D9D9D9"/>
            <w:tcMar>
              <w:left w:w="28" w:type="dxa"/>
              <w:right w:w="85" w:type="dxa"/>
            </w:tcMar>
            <w:vAlign w:val="center"/>
          </w:tcPr>
          <w:p w:rsidR="00883E32" w:rsidRPr="00D85DA9" w:rsidRDefault="00883E32" w:rsidP="00922FCE">
            <w:pPr>
              <w:spacing w:before="40" w:after="20"/>
              <w:ind w:left="-57" w:right="-2"/>
              <w:jc w:val="right"/>
              <w:rPr>
                <w:rFonts w:ascii="Arial Narrow" w:hAnsi="Arial Narrow" w:cs="Arial"/>
                <w:sz w:val="18"/>
                <w:szCs w:val="18"/>
              </w:rPr>
            </w:pPr>
            <w:r w:rsidRPr="00D85DA9">
              <w:rPr>
                <w:rFonts w:ascii="Arial Narrow" w:hAnsi="Arial Narrow" w:cs="Arial"/>
                <w:sz w:val="18"/>
                <w:szCs w:val="18"/>
              </w:rPr>
              <w:t>+0,1</w:t>
            </w:r>
          </w:p>
        </w:tc>
        <w:tc>
          <w:tcPr>
            <w:tcW w:w="1050"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+2,9</w:t>
            </w:r>
          </w:p>
        </w:tc>
        <w:tc>
          <w:tcPr>
            <w:tcW w:w="924" w:type="dxa"/>
            <w:shd w:val="clear" w:color="auto" w:fill="D9D9D9"/>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+3,4</w:t>
            </w:r>
          </w:p>
        </w:tc>
        <w:tc>
          <w:tcPr>
            <w:tcW w:w="877" w:type="dxa"/>
            <w:vAlign w:val="center"/>
          </w:tcPr>
          <w:p w:rsidR="00883E32" w:rsidRPr="00883E32" w:rsidRDefault="00883E32" w:rsidP="00883E32">
            <w:pPr>
              <w:spacing w:before="40" w:after="20"/>
              <w:ind w:right="57"/>
              <w:jc w:val="right"/>
              <w:rPr>
                <w:rFonts w:ascii="Arial Narrow" w:hAnsi="Arial Narrow" w:cs="Arial"/>
                <w:sz w:val="18"/>
                <w:szCs w:val="18"/>
              </w:rPr>
            </w:pPr>
            <w:r w:rsidRPr="00883E32">
              <w:rPr>
                <w:rFonts w:ascii="Arial Narrow" w:hAnsi="Arial Narrow" w:cs="Arial"/>
                <w:sz w:val="18"/>
                <w:szCs w:val="18"/>
              </w:rPr>
              <w:t>+3,6</w:t>
            </w:r>
          </w:p>
        </w:tc>
        <w:tc>
          <w:tcPr>
            <w:tcW w:w="877" w:type="dxa"/>
            <w:shd w:val="clear" w:color="auto" w:fill="D9D9D9" w:themeFill="background1" w:themeFillShade="D9"/>
            <w:vAlign w:val="center"/>
          </w:tcPr>
          <w:p w:rsidR="00883E32" w:rsidRPr="00A376E5" w:rsidRDefault="00883E32" w:rsidP="00883E32">
            <w:pPr>
              <w:spacing w:before="40" w:after="20"/>
              <w:ind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9,7</w:t>
            </w:r>
          </w:p>
        </w:tc>
      </w:tr>
      <w:tr w:rsidR="00883E32" w:rsidRPr="00C8504B" w:rsidTr="00596941">
        <w:trPr>
          <w:trHeight w:val="255"/>
          <w:jc w:val="center"/>
        </w:trPr>
        <w:tc>
          <w:tcPr>
            <w:tcW w:w="3219" w:type="dxa"/>
            <w:vAlign w:val="center"/>
          </w:tcPr>
          <w:p w:rsidR="00883E32" w:rsidRPr="00C8504B" w:rsidRDefault="00883E32" w:rsidP="00883E32">
            <w:pPr>
              <w:spacing w:before="40" w:after="20"/>
              <w:ind w:left="-57"/>
              <w:rPr>
                <w:rFonts w:ascii="Arial Narrow" w:hAnsi="Arial Narrow" w:cs="Arial"/>
                <w:sz w:val="18"/>
                <w:szCs w:val="18"/>
              </w:rPr>
            </w:pPr>
            <w:r w:rsidRPr="00C8504B">
              <w:rPr>
                <w:rFonts w:ascii="Arial Narrow" w:hAnsi="Arial Narrow" w:cs="Arial"/>
                <w:sz w:val="18"/>
                <w:szCs w:val="18"/>
              </w:rPr>
              <w:t>Comunicazioni</w:t>
            </w:r>
          </w:p>
        </w:tc>
        <w:tc>
          <w:tcPr>
            <w:tcW w:w="1221" w:type="dxa"/>
            <w:shd w:val="clear" w:color="auto" w:fill="D9D9D9"/>
            <w:vAlign w:val="bottom"/>
          </w:tcPr>
          <w:p w:rsidR="00883E32" w:rsidRPr="005600D2" w:rsidRDefault="00883E32" w:rsidP="00883E32">
            <w:pPr>
              <w:spacing w:before="40" w:after="20"/>
              <w:ind w:left="-57" w:right="57"/>
              <w:jc w:val="right"/>
              <w:rPr>
                <w:rFonts w:ascii="Arial Narrow" w:hAnsi="Arial Narrow" w:cs="Arial"/>
                <w:sz w:val="18"/>
                <w:szCs w:val="18"/>
              </w:rPr>
            </w:pPr>
            <w:r w:rsidRPr="005600D2">
              <w:rPr>
                <w:rFonts w:ascii="Arial Narrow" w:hAnsi="Arial Narrow" w:cs="Arial"/>
                <w:sz w:val="18"/>
                <w:szCs w:val="18"/>
              </w:rPr>
              <w:t>24.851</w:t>
            </w:r>
          </w:p>
        </w:tc>
        <w:tc>
          <w:tcPr>
            <w:tcW w:w="1066"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0,0</w:t>
            </w:r>
          </w:p>
        </w:tc>
        <w:tc>
          <w:tcPr>
            <w:tcW w:w="932" w:type="dxa"/>
            <w:shd w:val="clear" w:color="auto" w:fill="D9D9D9"/>
            <w:tcMar>
              <w:left w:w="28" w:type="dxa"/>
              <w:right w:w="85" w:type="dxa"/>
            </w:tcMar>
            <w:vAlign w:val="center"/>
          </w:tcPr>
          <w:p w:rsidR="00883E32" w:rsidRPr="00D85DA9" w:rsidRDefault="00883E32" w:rsidP="00922FCE">
            <w:pPr>
              <w:spacing w:before="40" w:after="20"/>
              <w:ind w:left="-57" w:right="-2"/>
              <w:jc w:val="right"/>
              <w:rPr>
                <w:rFonts w:ascii="Arial Narrow" w:hAnsi="Arial Narrow" w:cs="Arial"/>
                <w:sz w:val="18"/>
                <w:szCs w:val="18"/>
              </w:rPr>
            </w:pPr>
            <w:r w:rsidRPr="00D85DA9">
              <w:rPr>
                <w:rFonts w:ascii="Arial Narrow" w:hAnsi="Arial Narrow" w:cs="Arial"/>
                <w:sz w:val="18"/>
                <w:szCs w:val="18"/>
              </w:rPr>
              <w:t>+0,9</w:t>
            </w:r>
          </w:p>
        </w:tc>
        <w:tc>
          <w:tcPr>
            <w:tcW w:w="1050"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-2,2</w:t>
            </w:r>
          </w:p>
        </w:tc>
        <w:tc>
          <w:tcPr>
            <w:tcW w:w="924" w:type="dxa"/>
            <w:shd w:val="clear" w:color="auto" w:fill="D9D9D9"/>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-1,3</w:t>
            </w:r>
          </w:p>
        </w:tc>
        <w:tc>
          <w:tcPr>
            <w:tcW w:w="877" w:type="dxa"/>
            <w:vAlign w:val="center"/>
          </w:tcPr>
          <w:p w:rsidR="00883E32" w:rsidRPr="00883E32" w:rsidRDefault="00883E32" w:rsidP="00883E32">
            <w:pPr>
              <w:spacing w:before="40" w:after="20"/>
              <w:ind w:right="57"/>
              <w:jc w:val="right"/>
              <w:rPr>
                <w:rFonts w:ascii="Arial Narrow" w:hAnsi="Arial Narrow" w:cs="Arial"/>
                <w:sz w:val="18"/>
                <w:szCs w:val="18"/>
              </w:rPr>
            </w:pPr>
            <w:r w:rsidRPr="00883E32">
              <w:rPr>
                <w:rFonts w:ascii="Arial Narrow" w:hAnsi="Arial Narrow" w:cs="Arial"/>
                <w:sz w:val="18"/>
                <w:szCs w:val="18"/>
              </w:rPr>
              <w:t>0,0</w:t>
            </w:r>
          </w:p>
        </w:tc>
        <w:tc>
          <w:tcPr>
            <w:tcW w:w="877" w:type="dxa"/>
            <w:shd w:val="clear" w:color="auto" w:fill="D9D9D9" w:themeFill="background1" w:themeFillShade="D9"/>
            <w:vAlign w:val="center"/>
          </w:tcPr>
          <w:p w:rsidR="00883E32" w:rsidRPr="00A376E5" w:rsidRDefault="00883E32" w:rsidP="00883E32">
            <w:pPr>
              <w:spacing w:before="40" w:after="20"/>
              <w:ind w:right="57"/>
              <w:jc w:val="right"/>
              <w:rPr>
                <w:rFonts w:ascii="Arial Narrow" w:hAnsi="Arial Narrow" w:cs="Arial"/>
                <w:sz w:val="18"/>
                <w:szCs w:val="18"/>
              </w:rPr>
            </w:pPr>
            <w:r w:rsidRPr="00A376E5">
              <w:rPr>
                <w:rFonts w:ascii="Arial Narrow" w:hAnsi="Arial Narrow" w:cs="Arial"/>
                <w:sz w:val="18"/>
                <w:szCs w:val="18"/>
              </w:rPr>
              <w:t>-3,1</w:t>
            </w:r>
          </w:p>
        </w:tc>
      </w:tr>
      <w:tr w:rsidR="00883E32" w:rsidRPr="00C8504B" w:rsidTr="00596941">
        <w:trPr>
          <w:trHeight w:val="255"/>
          <w:jc w:val="center"/>
        </w:trPr>
        <w:tc>
          <w:tcPr>
            <w:tcW w:w="3219" w:type="dxa"/>
            <w:vAlign w:val="center"/>
          </w:tcPr>
          <w:p w:rsidR="00883E32" w:rsidRPr="00C8504B" w:rsidRDefault="00883E32" w:rsidP="00883E32">
            <w:pPr>
              <w:spacing w:before="40" w:after="20"/>
              <w:ind w:left="-57"/>
              <w:rPr>
                <w:rFonts w:ascii="Arial Narrow" w:hAnsi="Arial Narrow" w:cs="Arial"/>
                <w:sz w:val="18"/>
                <w:szCs w:val="18"/>
              </w:rPr>
            </w:pPr>
            <w:r w:rsidRPr="00C8504B">
              <w:rPr>
                <w:rFonts w:ascii="Arial Narrow" w:hAnsi="Arial Narrow" w:cs="Arial"/>
                <w:sz w:val="18"/>
                <w:szCs w:val="18"/>
              </w:rPr>
              <w:t>Ricreazione, spettacoli e cultura</w:t>
            </w:r>
          </w:p>
        </w:tc>
        <w:tc>
          <w:tcPr>
            <w:tcW w:w="1221" w:type="dxa"/>
            <w:shd w:val="clear" w:color="auto" w:fill="D9D9D9"/>
            <w:vAlign w:val="bottom"/>
          </w:tcPr>
          <w:p w:rsidR="00883E32" w:rsidRPr="005600D2" w:rsidRDefault="00883E32" w:rsidP="00883E32">
            <w:pPr>
              <w:spacing w:before="40" w:after="20"/>
              <w:ind w:left="-57" w:right="57"/>
              <w:jc w:val="right"/>
              <w:rPr>
                <w:rFonts w:ascii="Arial Narrow" w:hAnsi="Arial Narrow" w:cs="Arial"/>
                <w:sz w:val="18"/>
                <w:szCs w:val="18"/>
              </w:rPr>
            </w:pPr>
            <w:r w:rsidRPr="005600D2">
              <w:rPr>
                <w:rFonts w:ascii="Arial Narrow" w:hAnsi="Arial Narrow" w:cs="Arial"/>
                <w:sz w:val="18"/>
                <w:szCs w:val="18"/>
              </w:rPr>
              <w:t>64.516</w:t>
            </w:r>
          </w:p>
        </w:tc>
        <w:tc>
          <w:tcPr>
            <w:tcW w:w="1066"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+2,2</w:t>
            </w:r>
          </w:p>
        </w:tc>
        <w:tc>
          <w:tcPr>
            <w:tcW w:w="932" w:type="dxa"/>
            <w:shd w:val="clear" w:color="auto" w:fill="D9D9D9"/>
            <w:tcMar>
              <w:left w:w="28" w:type="dxa"/>
              <w:right w:w="85" w:type="dxa"/>
            </w:tcMar>
            <w:vAlign w:val="center"/>
          </w:tcPr>
          <w:p w:rsidR="00883E32" w:rsidRPr="00D85DA9" w:rsidRDefault="00883E32" w:rsidP="00922FCE">
            <w:pPr>
              <w:spacing w:before="40" w:after="20"/>
              <w:ind w:left="-57" w:right="-2"/>
              <w:jc w:val="right"/>
              <w:rPr>
                <w:rFonts w:ascii="Arial Narrow" w:hAnsi="Arial Narrow" w:cs="Arial"/>
                <w:sz w:val="18"/>
                <w:szCs w:val="18"/>
              </w:rPr>
            </w:pPr>
            <w:r w:rsidRPr="00D85DA9">
              <w:rPr>
                <w:rFonts w:ascii="Arial Narrow" w:hAnsi="Arial Narrow" w:cs="Arial"/>
                <w:sz w:val="18"/>
                <w:szCs w:val="18"/>
              </w:rPr>
              <w:t>+3,7</w:t>
            </w:r>
          </w:p>
        </w:tc>
        <w:tc>
          <w:tcPr>
            <w:tcW w:w="1050"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+1,6</w:t>
            </w:r>
          </w:p>
        </w:tc>
        <w:tc>
          <w:tcPr>
            <w:tcW w:w="924" w:type="dxa"/>
            <w:shd w:val="clear" w:color="auto" w:fill="D9D9D9"/>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+3,0</w:t>
            </w:r>
          </w:p>
        </w:tc>
        <w:tc>
          <w:tcPr>
            <w:tcW w:w="877" w:type="dxa"/>
            <w:vAlign w:val="center"/>
          </w:tcPr>
          <w:p w:rsidR="00883E32" w:rsidRPr="00883E32" w:rsidRDefault="00883E32" w:rsidP="00883E32">
            <w:pPr>
              <w:spacing w:before="40" w:after="20"/>
              <w:ind w:right="57"/>
              <w:jc w:val="right"/>
              <w:rPr>
                <w:rFonts w:ascii="Arial Narrow" w:hAnsi="Arial Narrow" w:cs="Arial"/>
                <w:sz w:val="18"/>
                <w:szCs w:val="18"/>
              </w:rPr>
            </w:pPr>
            <w:r w:rsidRPr="00883E32">
              <w:rPr>
                <w:rFonts w:ascii="Arial Narrow" w:hAnsi="Arial Narrow" w:cs="Arial"/>
                <w:sz w:val="18"/>
                <w:szCs w:val="18"/>
              </w:rPr>
              <w:t>+4,7</w:t>
            </w:r>
          </w:p>
        </w:tc>
        <w:tc>
          <w:tcPr>
            <w:tcW w:w="877" w:type="dxa"/>
            <w:shd w:val="clear" w:color="auto" w:fill="D9D9D9" w:themeFill="background1" w:themeFillShade="D9"/>
            <w:vAlign w:val="center"/>
          </w:tcPr>
          <w:p w:rsidR="00883E32" w:rsidRPr="00A376E5" w:rsidRDefault="00883E32" w:rsidP="00883E32">
            <w:pPr>
              <w:spacing w:before="40" w:after="20"/>
              <w:ind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1,8</w:t>
            </w:r>
          </w:p>
        </w:tc>
      </w:tr>
      <w:tr w:rsidR="00883E32" w:rsidRPr="00C8504B" w:rsidTr="00596941">
        <w:trPr>
          <w:trHeight w:val="255"/>
          <w:jc w:val="center"/>
        </w:trPr>
        <w:tc>
          <w:tcPr>
            <w:tcW w:w="3219" w:type="dxa"/>
            <w:vAlign w:val="center"/>
          </w:tcPr>
          <w:p w:rsidR="00883E32" w:rsidRPr="00C8504B" w:rsidRDefault="00883E32" w:rsidP="00883E32">
            <w:pPr>
              <w:spacing w:before="40" w:after="20"/>
              <w:ind w:left="-57"/>
              <w:rPr>
                <w:rFonts w:ascii="Arial Narrow" w:hAnsi="Arial Narrow" w:cs="Arial"/>
                <w:sz w:val="18"/>
                <w:szCs w:val="18"/>
              </w:rPr>
            </w:pPr>
            <w:r w:rsidRPr="00C8504B">
              <w:rPr>
                <w:rFonts w:ascii="Arial Narrow" w:hAnsi="Arial Narrow" w:cs="Arial"/>
                <w:sz w:val="18"/>
                <w:szCs w:val="18"/>
              </w:rPr>
              <w:t>Istruzione</w:t>
            </w:r>
          </w:p>
        </w:tc>
        <w:tc>
          <w:tcPr>
            <w:tcW w:w="1221" w:type="dxa"/>
            <w:shd w:val="clear" w:color="auto" w:fill="D9D9D9"/>
            <w:vAlign w:val="bottom"/>
          </w:tcPr>
          <w:p w:rsidR="00883E32" w:rsidRPr="005600D2" w:rsidRDefault="00883E32" w:rsidP="00883E32">
            <w:pPr>
              <w:spacing w:before="40" w:after="20"/>
              <w:ind w:left="-57" w:right="57"/>
              <w:jc w:val="right"/>
              <w:rPr>
                <w:rFonts w:ascii="Arial Narrow" w:hAnsi="Arial Narrow" w:cs="Arial"/>
                <w:sz w:val="18"/>
                <w:szCs w:val="18"/>
              </w:rPr>
            </w:pPr>
            <w:r w:rsidRPr="005600D2">
              <w:rPr>
                <w:rFonts w:ascii="Arial Narrow" w:hAnsi="Arial Narrow" w:cs="Arial"/>
                <w:sz w:val="18"/>
                <w:szCs w:val="18"/>
              </w:rPr>
              <w:t>9.691</w:t>
            </w:r>
          </w:p>
        </w:tc>
        <w:tc>
          <w:tcPr>
            <w:tcW w:w="1066"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0,0</w:t>
            </w:r>
          </w:p>
        </w:tc>
        <w:tc>
          <w:tcPr>
            <w:tcW w:w="932" w:type="dxa"/>
            <w:shd w:val="clear" w:color="auto" w:fill="D9D9D9"/>
            <w:tcMar>
              <w:left w:w="28" w:type="dxa"/>
              <w:right w:w="85" w:type="dxa"/>
            </w:tcMar>
            <w:vAlign w:val="center"/>
          </w:tcPr>
          <w:p w:rsidR="00883E32" w:rsidRPr="00D85DA9" w:rsidRDefault="00883E32" w:rsidP="00922FCE">
            <w:pPr>
              <w:spacing w:before="40" w:after="20"/>
              <w:ind w:left="-57" w:right="-2"/>
              <w:jc w:val="right"/>
              <w:rPr>
                <w:rFonts w:ascii="Arial Narrow" w:hAnsi="Arial Narrow" w:cs="Arial"/>
                <w:sz w:val="18"/>
                <w:szCs w:val="18"/>
              </w:rPr>
            </w:pPr>
            <w:r w:rsidRPr="00D85DA9">
              <w:rPr>
                <w:rFonts w:ascii="Arial Narrow" w:hAnsi="Arial Narrow" w:cs="Arial"/>
                <w:sz w:val="18"/>
                <w:szCs w:val="18"/>
              </w:rPr>
              <w:t>0,0</w:t>
            </w:r>
          </w:p>
        </w:tc>
        <w:tc>
          <w:tcPr>
            <w:tcW w:w="1050"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+2,0</w:t>
            </w:r>
          </w:p>
        </w:tc>
        <w:tc>
          <w:tcPr>
            <w:tcW w:w="924" w:type="dxa"/>
            <w:shd w:val="clear" w:color="auto" w:fill="D9D9D9"/>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+2,0</w:t>
            </w:r>
          </w:p>
        </w:tc>
        <w:tc>
          <w:tcPr>
            <w:tcW w:w="877" w:type="dxa"/>
            <w:vAlign w:val="center"/>
          </w:tcPr>
          <w:p w:rsidR="00883E32" w:rsidRPr="00883E32" w:rsidRDefault="00883E32" w:rsidP="00883E32">
            <w:pPr>
              <w:spacing w:before="40" w:after="20"/>
              <w:ind w:right="57"/>
              <w:jc w:val="right"/>
              <w:rPr>
                <w:rFonts w:ascii="Arial Narrow" w:hAnsi="Arial Narrow" w:cs="Arial"/>
                <w:sz w:val="18"/>
                <w:szCs w:val="18"/>
              </w:rPr>
            </w:pPr>
            <w:r w:rsidRPr="00883E32">
              <w:rPr>
                <w:rFonts w:ascii="Arial Narrow" w:hAnsi="Arial Narrow" w:cs="Arial"/>
                <w:sz w:val="18"/>
                <w:szCs w:val="18"/>
              </w:rPr>
              <w:t>+1,1</w:t>
            </w:r>
          </w:p>
        </w:tc>
        <w:tc>
          <w:tcPr>
            <w:tcW w:w="877" w:type="dxa"/>
            <w:shd w:val="clear" w:color="auto" w:fill="D9D9D9" w:themeFill="background1" w:themeFillShade="D9"/>
            <w:vAlign w:val="center"/>
          </w:tcPr>
          <w:p w:rsidR="00883E32" w:rsidRPr="00A376E5" w:rsidRDefault="00883E32" w:rsidP="00883E32">
            <w:pPr>
              <w:spacing w:before="40" w:after="20"/>
              <w:ind w:right="57"/>
              <w:jc w:val="right"/>
              <w:rPr>
                <w:rFonts w:ascii="Arial Narrow" w:hAnsi="Arial Narrow" w:cs="Arial"/>
                <w:sz w:val="18"/>
                <w:szCs w:val="18"/>
              </w:rPr>
            </w:pPr>
            <w:r w:rsidRPr="00A376E5">
              <w:rPr>
                <w:rFonts w:ascii="Arial Narrow" w:hAnsi="Arial Narrow" w:cs="Arial"/>
                <w:sz w:val="18"/>
                <w:szCs w:val="18"/>
              </w:rPr>
              <w:t>-0,1</w:t>
            </w:r>
          </w:p>
        </w:tc>
      </w:tr>
      <w:tr w:rsidR="00883E32" w:rsidRPr="00C8504B" w:rsidTr="00596941">
        <w:trPr>
          <w:trHeight w:val="255"/>
          <w:jc w:val="center"/>
        </w:trPr>
        <w:tc>
          <w:tcPr>
            <w:tcW w:w="3219" w:type="dxa"/>
            <w:vAlign w:val="center"/>
          </w:tcPr>
          <w:p w:rsidR="00883E32" w:rsidRPr="00C8504B" w:rsidRDefault="00883E32" w:rsidP="00883E32">
            <w:pPr>
              <w:spacing w:before="40" w:after="20"/>
              <w:ind w:left="-57"/>
              <w:rPr>
                <w:rFonts w:ascii="Arial Narrow" w:hAnsi="Arial Narrow" w:cs="Arial"/>
                <w:sz w:val="18"/>
                <w:szCs w:val="18"/>
              </w:rPr>
            </w:pPr>
            <w:r w:rsidRPr="00C8504B">
              <w:rPr>
                <w:rFonts w:ascii="Arial Narrow" w:hAnsi="Arial Narrow" w:cs="Arial"/>
                <w:sz w:val="18"/>
                <w:szCs w:val="18"/>
              </w:rPr>
              <w:t>Servizi ricettivi e di ristorazione</w:t>
            </w:r>
          </w:p>
        </w:tc>
        <w:tc>
          <w:tcPr>
            <w:tcW w:w="1221" w:type="dxa"/>
            <w:shd w:val="clear" w:color="auto" w:fill="D9D9D9"/>
            <w:vAlign w:val="bottom"/>
          </w:tcPr>
          <w:p w:rsidR="00883E32" w:rsidRPr="005600D2" w:rsidRDefault="00883E32" w:rsidP="00883E32">
            <w:pPr>
              <w:spacing w:before="40" w:after="20"/>
              <w:ind w:left="-57" w:right="57"/>
              <w:jc w:val="right"/>
              <w:rPr>
                <w:rFonts w:ascii="Arial Narrow" w:hAnsi="Arial Narrow" w:cs="Arial"/>
                <w:sz w:val="18"/>
                <w:szCs w:val="18"/>
              </w:rPr>
            </w:pPr>
            <w:r w:rsidRPr="005600D2">
              <w:rPr>
                <w:rFonts w:ascii="Arial Narrow" w:hAnsi="Arial Narrow" w:cs="Arial"/>
                <w:sz w:val="18"/>
                <w:szCs w:val="18"/>
              </w:rPr>
              <w:t>115.117</w:t>
            </w:r>
          </w:p>
        </w:tc>
        <w:tc>
          <w:tcPr>
            <w:tcW w:w="1066"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0,0</w:t>
            </w:r>
          </w:p>
        </w:tc>
        <w:tc>
          <w:tcPr>
            <w:tcW w:w="932" w:type="dxa"/>
            <w:shd w:val="clear" w:color="auto" w:fill="D9D9D9"/>
            <w:tcMar>
              <w:left w:w="28" w:type="dxa"/>
              <w:right w:w="85" w:type="dxa"/>
            </w:tcMar>
            <w:vAlign w:val="center"/>
          </w:tcPr>
          <w:p w:rsidR="00883E32" w:rsidRPr="00D85DA9" w:rsidRDefault="00883E32" w:rsidP="00922FCE">
            <w:pPr>
              <w:spacing w:before="40" w:after="20"/>
              <w:ind w:left="-57" w:right="-2"/>
              <w:jc w:val="right"/>
              <w:rPr>
                <w:rFonts w:ascii="Arial Narrow" w:hAnsi="Arial Narrow" w:cs="Arial"/>
                <w:sz w:val="18"/>
                <w:szCs w:val="18"/>
              </w:rPr>
            </w:pPr>
            <w:r w:rsidRPr="00D85DA9">
              <w:rPr>
                <w:rFonts w:ascii="Arial Narrow" w:hAnsi="Arial Narrow" w:cs="Arial"/>
                <w:sz w:val="18"/>
                <w:szCs w:val="18"/>
              </w:rPr>
              <w:t>+0,4</w:t>
            </w:r>
          </w:p>
        </w:tc>
        <w:tc>
          <w:tcPr>
            <w:tcW w:w="1050"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+4,6</w:t>
            </w:r>
          </w:p>
        </w:tc>
        <w:tc>
          <w:tcPr>
            <w:tcW w:w="924" w:type="dxa"/>
            <w:shd w:val="clear" w:color="auto" w:fill="D9D9D9"/>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+5,1</w:t>
            </w:r>
          </w:p>
        </w:tc>
        <w:tc>
          <w:tcPr>
            <w:tcW w:w="877" w:type="dxa"/>
            <w:vAlign w:val="center"/>
          </w:tcPr>
          <w:p w:rsidR="00883E32" w:rsidRPr="00883E32" w:rsidRDefault="00883E32" w:rsidP="00883E32">
            <w:pPr>
              <w:spacing w:before="40" w:after="20"/>
              <w:ind w:right="57"/>
              <w:jc w:val="right"/>
              <w:rPr>
                <w:rFonts w:ascii="Arial Narrow" w:hAnsi="Arial Narrow" w:cs="Arial"/>
                <w:sz w:val="18"/>
                <w:szCs w:val="18"/>
              </w:rPr>
            </w:pPr>
            <w:r w:rsidRPr="00883E32">
              <w:rPr>
                <w:rFonts w:ascii="Arial Narrow" w:hAnsi="Arial Narrow" w:cs="Arial"/>
                <w:sz w:val="18"/>
                <w:szCs w:val="18"/>
              </w:rPr>
              <w:t>+7,0</w:t>
            </w:r>
          </w:p>
        </w:tc>
        <w:tc>
          <w:tcPr>
            <w:tcW w:w="877" w:type="dxa"/>
            <w:shd w:val="clear" w:color="auto" w:fill="D9D9D9" w:themeFill="background1" w:themeFillShade="D9"/>
            <w:vAlign w:val="center"/>
          </w:tcPr>
          <w:p w:rsidR="00883E32" w:rsidRPr="00A376E5" w:rsidRDefault="00883E32" w:rsidP="00883E32">
            <w:pPr>
              <w:spacing w:before="40" w:after="20"/>
              <w:ind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6,2</w:t>
            </w:r>
          </w:p>
        </w:tc>
      </w:tr>
      <w:tr w:rsidR="00883E32" w:rsidRPr="00C8504B" w:rsidTr="00596941">
        <w:trPr>
          <w:trHeight w:val="255"/>
          <w:jc w:val="center"/>
        </w:trPr>
        <w:tc>
          <w:tcPr>
            <w:tcW w:w="3219" w:type="dxa"/>
            <w:vAlign w:val="center"/>
          </w:tcPr>
          <w:p w:rsidR="00883E32" w:rsidRPr="00C8504B" w:rsidRDefault="00883E32" w:rsidP="00883E32">
            <w:pPr>
              <w:spacing w:before="40" w:after="20"/>
              <w:ind w:left="-57"/>
              <w:rPr>
                <w:rFonts w:ascii="Arial Narrow" w:hAnsi="Arial Narrow" w:cs="Arial"/>
                <w:sz w:val="18"/>
                <w:szCs w:val="18"/>
              </w:rPr>
            </w:pPr>
            <w:r w:rsidRPr="00C8504B">
              <w:rPr>
                <w:rFonts w:ascii="Arial Narrow" w:hAnsi="Arial Narrow" w:cs="Arial"/>
                <w:sz w:val="18"/>
                <w:szCs w:val="18"/>
              </w:rPr>
              <w:t>Altri beni e servizi</w:t>
            </w:r>
          </w:p>
        </w:tc>
        <w:tc>
          <w:tcPr>
            <w:tcW w:w="1221" w:type="dxa"/>
            <w:shd w:val="clear" w:color="auto" w:fill="D9D9D9"/>
            <w:vAlign w:val="bottom"/>
          </w:tcPr>
          <w:p w:rsidR="00883E32" w:rsidRPr="005600D2" w:rsidRDefault="00883E32" w:rsidP="00883E32">
            <w:pPr>
              <w:spacing w:before="40" w:after="20"/>
              <w:ind w:left="-57" w:right="57"/>
              <w:jc w:val="right"/>
              <w:rPr>
                <w:rFonts w:ascii="Arial Narrow" w:hAnsi="Arial Narrow" w:cs="Arial"/>
                <w:sz w:val="18"/>
                <w:szCs w:val="18"/>
              </w:rPr>
            </w:pPr>
            <w:r w:rsidRPr="005600D2">
              <w:rPr>
                <w:rFonts w:ascii="Arial Narrow" w:hAnsi="Arial Narrow" w:cs="Arial"/>
                <w:sz w:val="18"/>
                <w:szCs w:val="18"/>
              </w:rPr>
              <w:t>98.540</w:t>
            </w:r>
          </w:p>
        </w:tc>
        <w:tc>
          <w:tcPr>
            <w:tcW w:w="1066"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+0,2</w:t>
            </w:r>
          </w:p>
        </w:tc>
        <w:tc>
          <w:tcPr>
            <w:tcW w:w="932" w:type="dxa"/>
            <w:shd w:val="clear" w:color="auto" w:fill="D9D9D9"/>
            <w:tcMar>
              <w:left w:w="28" w:type="dxa"/>
              <w:right w:w="85" w:type="dxa"/>
            </w:tcMar>
            <w:vAlign w:val="center"/>
          </w:tcPr>
          <w:p w:rsidR="00883E32" w:rsidRPr="00D85DA9" w:rsidRDefault="00883E32" w:rsidP="004141CF">
            <w:pPr>
              <w:spacing w:before="40" w:after="20"/>
              <w:ind w:left="-57" w:right="-2"/>
              <w:jc w:val="right"/>
              <w:rPr>
                <w:rFonts w:ascii="Arial Narrow" w:hAnsi="Arial Narrow" w:cs="Arial"/>
                <w:sz w:val="18"/>
                <w:szCs w:val="18"/>
              </w:rPr>
            </w:pPr>
            <w:r w:rsidRPr="00D85DA9">
              <w:rPr>
                <w:rFonts w:ascii="Arial Narrow" w:hAnsi="Arial Narrow" w:cs="Arial"/>
                <w:sz w:val="18"/>
                <w:szCs w:val="18"/>
              </w:rPr>
              <w:t>+0,3</w:t>
            </w:r>
          </w:p>
        </w:tc>
        <w:tc>
          <w:tcPr>
            <w:tcW w:w="1050"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+3,5</w:t>
            </w:r>
          </w:p>
        </w:tc>
        <w:tc>
          <w:tcPr>
            <w:tcW w:w="924" w:type="dxa"/>
            <w:shd w:val="clear" w:color="auto" w:fill="D9D9D9"/>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+3,6</w:t>
            </w:r>
          </w:p>
        </w:tc>
        <w:tc>
          <w:tcPr>
            <w:tcW w:w="877" w:type="dxa"/>
            <w:vAlign w:val="center"/>
          </w:tcPr>
          <w:p w:rsidR="00883E32" w:rsidRPr="00883E32" w:rsidRDefault="00883E32" w:rsidP="00883E32">
            <w:pPr>
              <w:spacing w:before="40" w:after="20"/>
              <w:ind w:right="57"/>
              <w:jc w:val="right"/>
              <w:rPr>
                <w:rFonts w:ascii="Arial Narrow" w:hAnsi="Arial Narrow" w:cs="Arial"/>
                <w:sz w:val="18"/>
                <w:szCs w:val="18"/>
              </w:rPr>
            </w:pPr>
            <w:r w:rsidRPr="00883E32">
              <w:rPr>
                <w:rFonts w:ascii="Arial Narrow" w:hAnsi="Arial Narrow" w:cs="Arial"/>
                <w:sz w:val="18"/>
                <w:szCs w:val="18"/>
              </w:rPr>
              <w:t>+4,1</w:t>
            </w:r>
          </w:p>
        </w:tc>
        <w:tc>
          <w:tcPr>
            <w:tcW w:w="877" w:type="dxa"/>
            <w:shd w:val="clear" w:color="auto" w:fill="D9D9D9" w:themeFill="background1" w:themeFillShade="D9"/>
            <w:vAlign w:val="center"/>
          </w:tcPr>
          <w:p w:rsidR="00883E32" w:rsidRPr="00A376E5" w:rsidRDefault="00883E32" w:rsidP="00883E32">
            <w:pPr>
              <w:spacing w:before="40" w:after="20"/>
              <w:ind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2,1</w:t>
            </w:r>
          </w:p>
        </w:tc>
      </w:tr>
      <w:tr w:rsidR="00883E32" w:rsidRPr="00E622F5" w:rsidTr="00596941">
        <w:trPr>
          <w:trHeight w:val="255"/>
          <w:jc w:val="center"/>
        </w:trPr>
        <w:tc>
          <w:tcPr>
            <w:tcW w:w="3219" w:type="dxa"/>
            <w:shd w:val="clear" w:color="auto" w:fill="E42618"/>
            <w:vAlign w:val="center"/>
          </w:tcPr>
          <w:p w:rsidR="00883E32" w:rsidRPr="00C8504B" w:rsidRDefault="00883E32" w:rsidP="00883E32">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1221" w:type="dxa"/>
            <w:shd w:val="clear" w:color="auto" w:fill="E42618"/>
            <w:vAlign w:val="bottom"/>
          </w:tcPr>
          <w:p w:rsidR="00883E32" w:rsidRPr="005600D2" w:rsidRDefault="00883E32" w:rsidP="00883E32">
            <w:pPr>
              <w:spacing w:before="40" w:after="20"/>
              <w:ind w:left="-57" w:right="57"/>
              <w:jc w:val="right"/>
              <w:rPr>
                <w:rFonts w:ascii="Arial Narrow" w:hAnsi="Arial Narrow" w:cs="Arial"/>
                <w:b/>
                <w:sz w:val="18"/>
                <w:szCs w:val="18"/>
              </w:rPr>
            </w:pPr>
            <w:r w:rsidRPr="005600D2">
              <w:rPr>
                <w:rFonts w:ascii="Arial Narrow" w:hAnsi="Arial Narrow" w:cs="Arial"/>
                <w:b/>
                <w:color w:val="FFFFFF" w:themeColor="background1"/>
                <w:sz w:val="18"/>
                <w:szCs w:val="18"/>
              </w:rPr>
              <w:t>1.000.000</w:t>
            </w:r>
          </w:p>
        </w:tc>
        <w:tc>
          <w:tcPr>
            <w:tcW w:w="1066" w:type="dxa"/>
            <w:shd w:val="clear" w:color="auto" w:fill="E42618"/>
            <w:vAlign w:val="center"/>
          </w:tcPr>
          <w:p w:rsidR="00883E32" w:rsidRPr="00D85DA9" w:rsidRDefault="00883E32" w:rsidP="00883E32">
            <w:pPr>
              <w:spacing w:before="40" w:after="20"/>
              <w:ind w:left="-57" w:right="57"/>
              <w:jc w:val="right"/>
              <w:rPr>
                <w:rFonts w:ascii="Arial Narrow" w:hAnsi="Arial Narrow" w:cs="Arial"/>
                <w:b/>
                <w:color w:val="FFFFFF" w:themeColor="background1"/>
                <w:sz w:val="18"/>
                <w:szCs w:val="18"/>
              </w:rPr>
            </w:pPr>
            <w:r w:rsidRPr="00D85DA9">
              <w:rPr>
                <w:rFonts w:ascii="Arial Narrow" w:hAnsi="Arial Narrow" w:cs="Arial"/>
                <w:b/>
                <w:color w:val="FFFFFF" w:themeColor="background1"/>
                <w:sz w:val="18"/>
                <w:szCs w:val="18"/>
              </w:rPr>
              <w:t>+0,2</w:t>
            </w:r>
          </w:p>
        </w:tc>
        <w:tc>
          <w:tcPr>
            <w:tcW w:w="932" w:type="dxa"/>
            <w:shd w:val="clear" w:color="auto" w:fill="E42618"/>
            <w:tcMar>
              <w:left w:w="57" w:type="dxa"/>
              <w:right w:w="113" w:type="dxa"/>
            </w:tcMar>
            <w:vAlign w:val="center"/>
          </w:tcPr>
          <w:p w:rsidR="00883E32" w:rsidRPr="00D85DA9" w:rsidRDefault="00883E32" w:rsidP="004141CF">
            <w:pPr>
              <w:spacing w:before="40" w:after="20"/>
              <w:ind w:left="-57" w:right="-2"/>
              <w:jc w:val="right"/>
              <w:rPr>
                <w:rFonts w:ascii="Arial Narrow" w:hAnsi="Arial Narrow" w:cs="Arial"/>
                <w:b/>
                <w:color w:val="FFFFFF" w:themeColor="background1"/>
                <w:sz w:val="18"/>
                <w:szCs w:val="18"/>
              </w:rPr>
            </w:pPr>
            <w:r w:rsidRPr="00D85DA9">
              <w:rPr>
                <w:rFonts w:ascii="Arial Narrow" w:hAnsi="Arial Narrow" w:cs="Arial"/>
                <w:b/>
                <w:color w:val="FFFFFF" w:themeColor="background1"/>
                <w:sz w:val="18"/>
                <w:szCs w:val="18"/>
              </w:rPr>
              <w:t>+0,2</w:t>
            </w:r>
          </w:p>
        </w:tc>
        <w:tc>
          <w:tcPr>
            <w:tcW w:w="1050" w:type="dxa"/>
            <w:shd w:val="clear" w:color="auto" w:fill="E42618"/>
            <w:vAlign w:val="center"/>
          </w:tcPr>
          <w:p w:rsidR="00883E32" w:rsidRPr="00D85DA9" w:rsidRDefault="00883E32" w:rsidP="00883E32">
            <w:pPr>
              <w:spacing w:before="40" w:after="20"/>
              <w:ind w:left="-57" w:right="57"/>
              <w:jc w:val="right"/>
              <w:rPr>
                <w:rFonts w:ascii="Arial Narrow" w:hAnsi="Arial Narrow" w:cs="Arial"/>
                <w:b/>
                <w:color w:val="FFFFFF" w:themeColor="background1"/>
                <w:sz w:val="18"/>
                <w:szCs w:val="18"/>
              </w:rPr>
            </w:pPr>
            <w:r w:rsidRPr="00D85DA9">
              <w:rPr>
                <w:rFonts w:ascii="Arial Narrow" w:hAnsi="Arial Narrow" w:cs="Arial"/>
                <w:b/>
                <w:color w:val="FFFFFF" w:themeColor="background1"/>
                <w:sz w:val="18"/>
                <w:szCs w:val="18"/>
              </w:rPr>
              <w:t>+0,5</w:t>
            </w:r>
          </w:p>
        </w:tc>
        <w:tc>
          <w:tcPr>
            <w:tcW w:w="924" w:type="dxa"/>
            <w:shd w:val="clear" w:color="auto" w:fill="E42618"/>
            <w:vAlign w:val="center"/>
          </w:tcPr>
          <w:p w:rsidR="00883E32" w:rsidRPr="00D85DA9" w:rsidRDefault="00883E32" w:rsidP="00883E32">
            <w:pPr>
              <w:spacing w:before="40" w:after="20"/>
              <w:ind w:left="-57" w:right="57"/>
              <w:jc w:val="right"/>
              <w:rPr>
                <w:rFonts w:ascii="Arial Narrow" w:hAnsi="Arial Narrow" w:cs="Arial"/>
                <w:b/>
                <w:color w:val="FFFFFF" w:themeColor="background1"/>
                <w:sz w:val="18"/>
                <w:szCs w:val="18"/>
              </w:rPr>
            </w:pPr>
            <w:r w:rsidRPr="00D85DA9">
              <w:rPr>
                <w:rFonts w:ascii="Arial Narrow" w:hAnsi="Arial Narrow" w:cs="Arial"/>
                <w:b/>
                <w:color w:val="FFFFFF" w:themeColor="background1"/>
                <w:sz w:val="18"/>
                <w:szCs w:val="18"/>
              </w:rPr>
              <w:t>+0,6</w:t>
            </w:r>
          </w:p>
        </w:tc>
        <w:tc>
          <w:tcPr>
            <w:tcW w:w="877" w:type="dxa"/>
            <w:shd w:val="clear" w:color="auto" w:fill="E42618"/>
            <w:vAlign w:val="center"/>
          </w:tcPr>
          <w:p w:rsidR="00883E32" w:rsidRPr="00883E32" w:rsidRDefault="00883E32" w:rsidP="00883E32">
            <w:pPr>
              <w:spacing w:before="40" w:after="20"/>
              <w:ind w:right="57"/>
              <w:jc w:val="right"/>
              <w:rPr>
                <w:rFonts w:ascii="Arial Narrow" w:hAnsi="Arial Narrow" w:cs="Arial"/>
                <w:b/>
                <w:color w:val="FFFFFF" w:themeColor="background1"/>
                <w:sz w:val="18"/>
                <w:szCs w:val="18"/>
              </w:rPr>
            </w:pPr>
            <w:r w:rsidRPr="00883E32">
              <w:rPr>
                <w:rFonts w:ascii="Arial Narrow" w:hAnsi="Arial Narrow" w:cs="Arial"/>
                <w:b/>
                <w:color w:val="FFFFFF" w:themeColor="background1"/>
                <w:sz w:val="18"/>
                <w:szCs w:val="18"/>
              </w:rPr>
              <w:t>+5,9</w:t>
            </w:r>
          </w:p>
        </w:tc>
        <w:tc>
          <w:tcPr>
            <w:tcW w:w="877" w:type="dxa"/>
            <w:shd w:val="clear" w:color="auto" w:fill="E42618"/>
            <w:vAlign w:val="center"/>
          </w:tcPr>
          <w:p w:rsidR="00883E32" w:rsidRPr="00880F63" w:rsidRDefault="00883E32" w:rsidP="00883E32">
            <w:pPr>
              <w:spacing w:before="40" w:after="20"/>
              <w:ind w:right="57"/>
              <w:jc w:val="right"/>
              <w:rPr>
                <w:rFonts w:ascii="Arial Narrow" w:hAnsi="Arial Narrow" w:cs="Arial"/>
                <w:b/>
                <w:color w:val="FFFFFF" w:themeColor="background1"/>
                <w:sz w:val="18"/>
                <w:szCs w:val="18"/>
              </w:rPr>
            </w:pPr>
            <w:r>
              <w:rPr>
                <w:rFonts w:ascii="Arial Narrow" w:hAnsi="Arial Narrow" w:cs="Arial"/>
                <w:b/>
                <w:color w:val="FFFFFF" w:themeColor="background1"/>
                <w:sz w:val="18"/>
                <w:szCs w:val="18"/>
              </w:rPr>
              <w:t>+</w:t>
            </w:r>
            <w:r w:rsidRPr="00A376E5">
              <w:rPr>
                <w:rFonts w:ascii="Arial Narrow" w:hAnsi="Arial Narrow" w:cs="Arial"/>
                <w:b/>
                <w:color w:val="FFFFFF" w:themeColor="background1"/>
                <w:sz w:val="18"/>
                <w:szCs w:val="18"/>
              </w:rPr>
              <w:t>8,7</w:t>
            </w:r>
          </w:p>
        </w:tc>
      </w:tr>
      <w:tr w:rsidR="00883E32" w:rsidRPr="00C8504B" w:rsidTr="00596941">
        <w:trPr>
          <w:trHeight w:val="255"/>
          <w:jc w:val="center"/>
        </w:trPr>
        <w:tc>
          <w:tcPr>
            <w:tcW w:w="3219" w:type="dxa"/>
            <w:vAlign w:val="center"/>
          </w:tcPr>
          <w:p w:rsidR="00883E32" w:rsidRPr="00C8504B" w:rsidRDefault="00883E32" w:rsidP="00883E32">
            <w:pPr>
              <w:spacing w:before="40" w:after="20"/>
              <w:ind w:left="-57"/>
              <w:rPr>
                <w:rFonts w:ascii="Arial Narrow" w:hAnsi="Arial Narrow" w:cs="Arial"/>
                <w:sz w:val="18"/>
                <w:szCs w:val="18"/>
              </w:rPr>
            </w:pPr>
            <w:r w:rsidRPr="00C8504B">
              <w:rPr>
                <w:rFonts w:ascii="Arial Narrow" w:hAnsi="Arial Narrow" w:cs="Arial"/>
                <w:sz w:val="18"/>
                <w:szCs w:val="18"/>
              </w:rPr>
              <w:t>Indice generale a tassazione costante</w:t>
            </w:r>
          </w:p>
        </w:tc>
        <w:tc>
          <w:tcPr>
            <w:tcW w:w="1221" w:type="dxa"/>
            <w:shd w:val="clear" w:color="auto" w:fill="E6E6E6"/>
            <w:vAlign w:val="bottom"/>
          </w:tcPr>
          <w:p w:rsidR="00883E32" w:rsidRPr="005600D2" w:rsidRDefault="00883E32" w:rsidP="00883E32">
            <w:pPr>
              <w:spacing w:before="40" w:after="20"/>
              <w:ind w:left="-57" w:right="57"/>
              <w:jc w:val="right"/>
              <w:rPr>
                <w:rFonts w:ascii="Arial Narrow" w:hAnsi="Arial Narrow" w:cs="Arial"/>
                <w:sz w:val="18"/>
                <w:szCs w:val="18"/>
              </w:rPr>
            </w:pPr>
            <w:r w:rsidRPr="005600D2">
              <w:rPr>
                <w:rFonts w:ascii="Arial Narrow" w:hAnsi="Arial Narrow" w:cs="Arial"/>
                <w:sz w:val="18"/>
                <w:szCs w:val="18"/>
              </w:rPr>
              <w:t>1.000.000</w:t>
            </w:r>
          </w:p>
        </w:tc>
        <w:tc>
          <w:tcPr>
            <w:tcW w:w="1066" w:type="dxa"/>
            <w:shd w:val="clear" w:color="auto" w:fill="auto"/>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+0,2</w:t>
            </w:r>
          </w:p>
        </w:tc>
        <w:tc>
          <w:tcPr>
            <w:tcW w:w="932" w:type="dxa"/>
            <w:shd w:val="clear" w:color="auto" w:fill="D9D9D9"/>
            <w:tcMar>
              <w:left w:w="28" w:type="dxa"/>
              <w:right w:w="85" w:type="dxa"/>
            </w:tcMar>
            <w:vAlign w:val="center"/>
          </w:tcPr>
          <w:p w:rsidR="00883E32" w:rsidRPr="00D85DA9" w:rsidRDefault="00883E32" w:rsidP="004141CF">
            <w:pPr>
              <w:spacing w:before="40" w:after="20"/>
              <w:ind w:left="-57" w:right="-2"/>
              <w:jc w:val="right"/>
              <w:rPr>
                <w:rFonts w:ascii="Arial Narrow" w:hAnsi="Arial Narrow" w:cs="Arial"/>
                <w:sz w:val="18"/>
                <w:szCs w:val="18"/>
              </w:rPr>
            </w:pPr>
            <w:r w:rsidRPr="00D85DA9">
              <w:rPr>
                <w:rFonts w:ascii="Arial Narrow" w:hAnsi="Arial Narrow" w:cs="Arial"/>
                <w:sz w:val="18"/>
                <w:szCs w:val="18"/>
              </w:rPr>
              <w:t>0,0</w:t>
            </w:r>
          </w:p>
        </w:tc>
        <w:tc>
          <w:tcPr>
            <w:tcW w:w="1050" w:type="dxa"/>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+0,2</w:t>
            </w:r>
          </w:p>
        </w:tc>
        <w:tc>
          <w:tcPr>
            <w:tcW w:w="924" w:type="dxa"/>
            <w:shd w:val="clear" w:color="auto" w:fill="D9D9D9"/>
            <w:vAlign w:val="center"/>
          </w:tcPr>
          <w:p w:rsidR="00883E32" w:rsidRPr="00D85DA9" w:rsidRDefault="00883E32" w:rsidP="00883E32">
            <w:pPr>
              <w:spacing w:before="40" w:after="20"/>
              <w:ind w:left="-57" w:right="57"/>
              <w:jc w:val="right"/>
              <w:rPr>
                <w:rFonts w:ascii="Arial Narrow" w:hAnsi="Arial Narrow" w:cs="Arial"/>
                <w:sz w:val="18"/>
                <w:szCs w:val="18"/>
              </w:rPr>
            </w:pPr>
            <w:r w:rsidRPr="00D85DA9">
              <w:rPr>
                <w:rFonts w:ascii="Arial Narrow" w:hAnsi="Arial Narrow" w:cs="Arial"/>
                <w:sz w:val="18"/>
                <w:szCs w:val="18"/>
              </w:rPr>
              <w:t>0,0</w:t>
            </w:r>
          </w:p>
        </w:tc>
        <w:tc>
          <w:tcPr>
            <w:tcW w:w="877" w:type="dxa"/>
            <w:vAlign w:val="center"/>
          </w:tcPr>
          <w:p w:rsidR="00883E32" w:rsidRPr="00883E32" w:rsidRDefault="00883E32" w:rsidP="00883E32">
            <w:pPr>
              <w:spacing w:before="40" w:after="20"/>
              <w:ind w:right="57"/>
              <w:jc w:val="right"/>
              <w:rPr>
                <w:rFonts w:ascii="Arial Narrow" w:hAnsi="Arial Narrow" w:cs="Arial"/>
                <w:sz w:val="18"/>
                <w:szCs w:val="18"/>
              </w:rPr>
            </w:pPr>
            <w:r w:rsidRPr="00883E32">
              <w:rPr>
                <w:rFonts w:ascii="Arial Narrow" w:hAnsi="Arial Narrow" w:cs="Arial"/>
                <w:sz w:val="18"/>
                <w:szCs w:val="18"/>
              </w:rPr>
              <w:t>+5,3</w:t>
            </w:r>
          </w:p>
        </w:tc>
        <w:tc>
          <w:tcPr>
            <w:tcW w:w="877" w:type="dxa"/>
            <w:shd w:val="clear" w:color="auto" w:fill="D9D9D9" w:themeFill="background1" w:themeFillShade="D9"/>
            <w:vAlign w:val="center"/>
          </w:tcPr>
          <w:p w:rsidR="00883E32" w:rsidRPr="00880F63" w:rsidRDefault="00883E32" w:rsidP="00883E32">
            <w:pPr>
              <w:spacing w:before="40" w:after="20"/>
              <w:ind w:left="-57"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9,6</w:t>
            </w:r>
          </w:p>
        </w:tc>
      </w:tr>
    </w:tbl>
    <w:p w:rsidR="002F0731" w:rsidRPr="00697864" w:rsidRDefault="002F0731" w:rsidP="002F0731">
      <w:pPr>
        <w:spacing w:before="0" w:after="120"/>
        <w:jc w:val="both"/>
        <w:rPr>
          <w:rFonts w:ascii="Arial" w:hAnsi="Arial" w:cs="Arial"/>
          <w:color w:val="000000"/>
          <w:kern w:val="0"/>
          <w:sz w:val="16"/>
          <w:szCs w:val="16"/>
        </w:rPr>
      </w:pPr>
    </w:p>
    <w:p w:rsidR="00676743" w:rsidRPr="00E25060" w:rsidRDefault="00676743" w:rsidP="00BD0487">
      <w:pPr>
        <w:pStyle w:val="001TitoloBolocco"/>
        <w:spacing w:after="120" w:line="240" w:lineRule="auto"/>
        <w:rPr>
          <w:szCs w:val="26"/>
        </w:rPr>
      </w:pPr>
      <w:r w:rsidRPr="00E25060">
        <w:rPr>
          <w:szCs w:val="26"/>
        </w:rPr>
        <w:t>gli aggregati speciali</w:t>
      </w:r>
    </w:p>
    <w:p w:rsidR="006C68CA" w:rsidRDefault="003346B6" w:rsidP="003346B6">
      <w:pPr>
        <w:spacing w:before="0" w:after="120"/>
        <w:jc w:val="both"/>
        <w:rPr>
          <w:rFonts w:ascii="Arial" w:hAnsi="Arial" w:cs="Arial"/>
          <w:sz w:val="21"/>
          <w:szCs w:val="21"/>
        </w:rPr>
      </w:pPr>
      <w:r w:rsidRPr="00E33F44">
        <w:rPr>
          <w:rFonts w:ascii="Arial" w:hAnsi="Arial" w:cs="Arial"/>
          <w:sz w:val="21"/>
          <w:szCs w:val="21"/>
        </w:rPr>
        <w:t xml:space="preserve">Con riferimento agli aggregati speciali dell’IPCA, </w:t>
      </w:r>
      <w:r>
        <w:rPr>
          <w:rFonts w:ascii="Arial" w:hAnsi="Arial" w:cs="Arial"/>
          <w:sz w:val="21"/>
          <w:szCs w:val="21"/>
        </w:rPr>
        <w:t>a dicembre i prezzi</w:t>
      </w:r>
      <w:r w:rsidRPr="00E33F44">
        <w:rPr>
          <w:rFonts w:ascii="Arial" w:hAnsi="Arial" w:cs="Arial"/>
          <w:sz w:val="21"/>
          <w:szCs w:val="21"/>
        </w:rPr>
        <w:t xml:space="preserve"> </w:t>
      </w:r>
      <w:r>
        <w:rPr>
          <w:rFonts w:ascii="Arial" w:hAnsi="Arial" w:cs="Arial"/>
          <w:sz w:val="21"/>
          <w:szCs w:val="21"/>
        </w:rPr>
        <w:t xml:space="preserve">dei beni </w:t>
      </w:r>
      <w:r w:rsidR="00B02B53">
        <w:rPr>
          <w:rFonts w:ascii="Arial" w:hAnsi="Arial" w:cs="Arial"/>
          <w:sz w:val="21"/>
          <w:szCs w:val="21"/>
        </w:rPr>
        <w:t>registrano una minore</w:t>
      </w:r>
      <w:r w:rsidR="00BF791B">
        <w:rPr>
          <w:rFonts w:ascii="Arial" w:hAnsi="Arial" w:cs="Arial"/>
          <w:sz w:val="21"/>
          <w:szCs w:val="21"/>
        </w:rPr>
        <w:t xml:space="preserve"> flessione </w:t>
      </w:r>
      <w:r w:rsidRPr="00E33F44">
        <w:rPr>
          <w:rFonts w:ascii="Arial" w:hAnsi="Arial" w:cs="Arial"/>
          <w:sz w:val="21"/>
          <w:szCs w:val="21"/>
        </w:rPr>
        <w:t xml:space="preserve">(da </w:t>
      </w:r>
      <w:r w:rsidR="00BF791B">
        <w:rPr>
          <w:rFonts w:ascii="Arial" w:hAnsi="Arial" w:cs="Arial"/>
          <w:sz w:val="21"/>
          <w:szCs w:val="21"/>
        </w:rPr>
        <w:t>-1,4</w:t>
      </w:r>
      <w:r w:rsidRPr="00E33F44">
        <w:rPr>
          <w:rFonts w:ascii="Arial" w:hAnsi="Arial" w:cs="Arial"/>
          <w:sz w:val="21"/>
          <w:szCs w:val="21"/>
        </w:rPr>
        <w:t>%</w:t>
      </w:r>
      <w:r>
        <w:rPr>
          <w:rFonts w:ascii="Arial" w:hAnsi="Arial" w:cs="Arial"/>
          <w:sz w:val="21"/>
          <w:szCs w:val="21"/>
        </w:rPr>
        <w:t xml:space="preserve"> </w:t>
      </w:r>
      <w:r w:rsidRPr="00E33F44">
        <w:rPr>
          <w:rFonts w:ascii="Arial" w:hAnsi="Arial" w:cs="Arial"/>
          <w:sz w:val="21"/>
          <w:szCs w:val="21"/>
        </w:rPr>
        <w:t xml:space="preserve">a </w:t>
      </w:r>
      <w:r w:rsidR="00BF791B">
        <w:rPr>
          <w:rFonts w:ascii="Arial" w:hAnsi="Arial" w:cs="Arial"/>
          <w:sz w:val="21"/>
          <w:szCs w:val="21"/>
        </w:rPr>
        <w:t>-1,3</w:t>
      </w:r>
      <w:r w:rsidRPr="00E33F44">
        <w:rPr>
          <w:rFonts w:ascii="Arial" w:hAnsi="Arial" w:cs="Arial"/>
          <w:sz w:val="21"/>
          <w:szCs w:val="21"/>
        </w:rPr>
        <w:t>%</w:t>
      </w:r>
      <w:r>
        <w:rPr>
          <w:rFonts w:ascii="Arial" w:hAnsi="Arial" w:cs="Arial"/>
          <w:sz w:val="21"/>
          <w:szCs w:val="21"/>
        </w:rPr>
        <w:t xml:space="preserve">; </w:t>
      </w:r>
      <w:r w:rsidR="00BF791B">
        <w:rPr>
          <w:rFonts w:ascii="Arial" w:hAnsi="Arial" w:cs="Arial"/>
          <w:sz w:val="21"/>
          <w:szCs w:val="21"/>
        </w:rPr>
        <w:t>nullo il congiunturale</w:t>
      </w:r>
      <w:r w:rsidRPr="00E33F44">
        <w:rPr>
          <w:rFonts w:ascii="Arial" w:hAnsi="Arial" w:cs="Arial"/>
          <w:sz w:val="21"/>
          <w:szCs w:val="21"/>
        </w:rPr>
        <w:t>)</w:t>
      </w:r>
      <w:r>
        <w:rPr>
          <w:rFonts w:ascii="Arial" w:hAnsi="Arial" w:cs="Arial"/>
          <w:sz w:val="21"/>
          <w:szCs w:val="21"/>
        </w:rPr>
        <w:t xml:space="preserve">, a causa </w:t>
      </w:r>
      <w:r w:rsidR="00B02B53">
        <w:rPr>
          <w:rFonts w:ascii="Arial" w:hAnsi="Arial" w:cs="Arial"/>
          <w:sz w:val="21"/>
          <w:szCs w:val="21"/>
        </w:rPr>
        <w:t xml:space="preserve">principalmente dell’accelerazione dei </w:t>
      </w:r>
      <w:r w:rsidR="00C9319B" w:rsidRPr="00C9319B">
        <w:rPr>
          <w:rFonts w:ascii="Arial" w:hAnsi="Arial" w:cs="Arial"/>
          <w:sz w:val="21"/>
          <w:szCs w:val="21"/>
        </w:rPr>
        <w:t>Alimentari non lavorati</w:t>
      </w:r>
      <w:r w:rsidR="004141CF">
        <w:rPr>
          <w:rFonts w:ascii="Arial" w:hAnsi="Arial" w:cs="Arial"/>
          <w:sz w:val="21"/>
          <w:szCs w:val="21"/>
        </w:rPr>
        <w:t xml:space="preserve"> (da +6,3% a +7,9%; +0,7</w:t>
      </w:r>
      <w:r w:rsidR="00B02B53">
        <w:rPr>
          <w:rFonts w:ascii="Arial" w:hAnsi="Arial" w:cs="Arial"/>
          <w:sz w:val="21"/>
          <w:szCs w:val="21"/>
        </w:rPr>
        <w:t>% su</w:t>
      </w:r>
      <w:r w:rsidR="00061607">
        <w:rPr>
          <w:rFonts w:ascii="Arial" w:hAnsi="Arial" w:cs="Arial"/>
          <w:sz w:val="21"/>
          <w:szCs w:val="21"/>
        </w:rPr>
        <w:t>l</w:t>
      </w:r>
      <w:r w:rsidR="00B02B53">
        <w:rPr>
          <w:rFonts w:ascii="Arial" w:hAnsi="Arial" w:cs="Arial"/>
          <w:sz w:val="21"/>
          <w:szCs w:val="21"/>
        </w:rPr>
        <w:t xml:space="preserve"> mese) e della flessione meno ampia di </w:t>
      </w:r>
      <w:r w:rsidR="00C9319B" w:rsidRPr="00C9319B">
        <w:rPr>
          <w:rFonts w:ascii="Arial" w:hAnsi="Arial" w:cs="Arial"/>
          <w:sz w:val="21"/>
          <w:szCs w:val="21"/>
        </w:rPr>
        <w:t>Elettricità, gas e combustibili solidi</w:t>
      </w:r>
      <w:r w:rsidR="006C68CA">
        <w:rPr>
          <w:rFonts w:ascii="Arial" w:hAnsi="Arial" w:cs="Arial"/>
          <w:sz w:val="21"/>
          <w:szCs w:val="21"/>
        </w:rPr>
        <w:t xml:space="preserve"> (da </w:t>
      </w:r>
      <w:r w:rsidR="00C9319B">
        <w:rPr>
          <w:rFonts w:ascii="Arial" w:hAnsi="Arial" w:cs="Arial"/>
          <w:sz w:val="21"/>
          <w:szCs w:val="21"/>
        </w:rPr>
        <w:t xml:space="preserve">              </w:t>
      </w:r>
      <w:r w:rsidR="006C68CA">
        <w:rPr>
          <w:rFonts w:ascii="Arial" w:hAnsi="Arial" w:cs="Arial"/>
          <w:sz w:val="21"/>
          <w:szCs w:val="21"/>
        </w:rPr>
        <w:t xml:space="preserve">-42,6% a -42,4%; -1,2% </w:t>
      </w:r>
      <w:r w:rsidR="004141CF">
        <w:rPr>
          <w:rFonts w:ascii="Arial" w:hAnsi="Arial" w:cs="Arial"/>
          <w:sz w:val="21"/>
          <w:szCs w:val="21"/>
        </w:rPr>
        <w:t>il congiunturale</w:t>
      </w:r>
      <w:r w:rsidR="006C68CA">
        <w:rPr>
          <w:rFonts w:ascii="Arial" w:hAnsi="Arial" w:cs="Arial"/>
          <w:sz w:val="21"/>
          <w:szCs w:val="21"/>
        </w:rPr>
        <w:t xml:space="preserve">). Tali effetti sono stati solo in parte compensati dalla decelerazione su base annua dei prezzi di </w:t>
      </w:r>
      <w:r w:rsidR="00C9319B" w:rsidRPr="00C9319B">
        <w:rPr>
          <w:rFonts w:ascii="Arial" w:hAnsi="Arial" w:cs="Arial"/>
          <w:sz w:val="21"/>
          <w:szCs w:val="21"/>
        </w:rPr>
        <w:t xml:space="preserve">Combustibili liquidi, carburanti e lubrificanti </w:t>
      </w:r>
      <w:r w:rsidR="00A760E5">
        <w:rPr>
          <w:rFonts w:ascii="Arial" w:hAnsi="Arial" w:cs="Arial"/>
          <w:sz w:val="21"/>
          <w:szCs w:val="21"/>
        </w:rPr>
        <w:t>(da +2,2% a +1,3%; -3,2% su novembre)</w:t>
      </w:r>
      <w:r w:rsidR="006C68CA">
        <w:rPr>
          <w:rFonts w:ascii="Arial" w:hAnsi="Arial" w:cs="Arial"/>
          <w:sz w:val="21"/>
          <w:szCs w:val="21"/>
        </w:rPr>
        <w:t xml:space="preserve"> e di quelli degli </w:t>
      </w:r>
      <w:r w:rsidR="00247522">
        <w:rPr>
          <w:rFonts w:ascii="Arial" w:hAnsi="Arial" w:cs="Arial"/>
          <w:sz w:val="21"/>
          <w:szCs w:val="21"/>
        </w:rPr>
        <w:t xml:space="preserve">Alimentari lavorati (incluse bevande alcoliche) e tabacchi </w:t>
      </w:r>
      <w:r w:rsidR="006C68CA">
        <w:rPr>
          <w:rFonts w:ascii="Arial" w:hAnsi="Arial" w:cs="Arial"/>
          <w:sz w:val="21"/>
          <w:szCs w:val="21"/>
        </w:rPr>
        <w:t xml:space="preserve">(da +5,3% a +4,5%; -0,2% </w:t>
      </w:r>
      <w:r w:rsidR="00C9319B">
        <w:rPr>
          <w:rFonts w:ascii="Arial" w:hAnsi="Arial" w:cs="Arial"/>
          <w:sz w:val="21"/>
          <w:szCs w:val="21"/>
        </w:rPr>
        <w:t>sul mese</w:t>
      </w:r>
      <w:r w:rsidR="006C68CA">
        <w:rPr>
          <w:rFonts w:ascii="Arial" w:hAnsi="Arial" w:cs="Arial"/>
          <w:sz w:val="21"/>
          <w:szCs w:val="21"/>
        </w:rPr>
        <w:t>)</w:t>
      </w:r>
      <w:r>
        <w:rPr>
          <w:rFonts w:ascii="Arial" w:hAnsi="Arial" w:cs="Arial"/>
          <w:sz w:val="21"/>
          <w:szCs w:val="21"/>
        </w:rPr>
        <w:t>.</w:t>
      </w:r>
    </w:p>
    <w:p w:rsidR="003346B6" w:rsidRDefault="00697864" w:rsidP="003346B6">
      <w:pPr>
        <w:spacing w:before="0" w:after="120"/>
        <w:jc w:val="both"/>
        <w:rPr>
          <w:rFonts w:ascii="Arial" w:hAnsi="Arial" w:cs="Arial"/>
          <w:sz w:val="21"/>
          <w:szCs w:val="21"/>
        </w:rPr>
      </w:pPr>
      <w:r>
        <w:rPr>
          <w:rFonts w:ascii="Arial" w:hAnsi="Arial" w:cs="Arial"/>
          <w:sz w:val="21"/>
          <w:szCs w:val="21"/>
        </w:rPr>
        <w:t>L</w:t>
      </w:r>
      <w:r w:rsidR="00C625FD">
        <w:rPr>
          <w:rFonts w:ascii="Arial" w:hAnsi="Arial" w:cs="Arial"/>
          <w:sz w:val="21"/>
          <w:szCs w:val="21"/>
        </w:rPr>
        <w:t xml:space="preserve">a </w:t>
      </w:r>
      <w:r w:rsidR="006723E2">
        <w:rPr>
          <w:rFonts w:ascii="Arial" w:hAnsi="Arial" w:cs="Arial"/>
          <w:sz w:val="21"/>
          <w:szCs w:val="21"/>
        </w:rPr>
        <w:t>decelerazione</w:t>
      </w:r>
      <w:r w:rsidR="003346B6">
        <w:rPr>
          <w:rFonts w:ascii="Arial" w:hAnsi="Arial" w:cs="Arial"/>
          <w:sz w:val="21"/>
          <w:szCs w:val="21"/>
        </w:rPr>
        <w:t xml:space="preserve"> dei prezzi</w:t>
      </w:r>
      <w:r w:rsidR="003346B6" w:rsidRPr="00E33F44">
        <w:rPr>
          <w:rFonts w:ascii="Arial" w:hAnsi="Arial" w:cs="Arial"/>
          <w:sz w:val="21"/>
          <w:szCs w:val="21"/>
        </w:rPr>
        <w:t xml:space="preserve"> </w:t>
      </w:r>
      <w:r>
        <w:rPr>
          <w:rFonts w:ascii="Arial" w:hAnsi="Arial" w:cs="Arial"/>
          <w:sz w:val="21"/>
          <w:szCs w:val="21"/>
        </w:rPr>
        <w:t xml:space="preserve">dei servizi </w:t>
      </w:r>
      <w:r w:rsidR="003346B6" w:rsidRPr="00E33F44">
        <w:rPr>
          <w:rFonts w:ascii="Arial" w:hAnsi="Arial" w:cs="Arial"/>
          <w:sz w:val="21"/>
          <w:szCs w:val="21"/>
        </w:rPr>
        <w:t>(</w:t>
      </w:r>
      <w:r w:rsidR="003346B6">
        <w:rPr>
          <w:rFonts w:ascii="Arial" w:hAnsi="Arial" w:cs="Arial"/>
          <w:sz w:val="21"/>
          <w:szCs w:val="21"/>
        </w:rPr>
        <w:t xml:space="preserve">da </w:t>
      </w:r>
      <w:r w:rsidR="003346B6" w:rsidRPr="00E33F44">
        <w:rPr>
          <w:rFonts w:ascii="Arial" w:hAnsi="Arial" w:cs="Arial"/>
          <w:sz w:val="21"/>
          <w:szCs w:val="21"/>
        </w:rPr>
        <w:t>+</w:t>
      </w:r>
      <w:r w:rsidR="00C625FD">
        <w:rPr>
          <w:rFonts w:ascii="Arial" w:hAnsi="Arial" w:cs="Arial"/>
          <w:sz w:val="21"/>
          <w:szCs w:val="21"/>
        </w:rPr>
        <w:t>3,8</w:t>
      </w:r>
      <w:r w:rsidR="003346B6" w:rsidRPr="00E33F44">
        <w:rPr>
          <w:rFonts w:ascii="Arial" w:hAnsi="Arial" w:cs="Arial"/>
          <w:sz w:val="21"/>
          <w:szCs w:val="21"/>
        </w:rPr>
        <w:t>%</w:t>
      </w:r>
      <w:r w:rsidR="00C625FD">
        <w:rPr>
          <w:rFonts w:ascii="Arial" w:hAnsi="Arial" w:cs="Arial"/>
          <w:sz w:val="21"/>
          <w:szCs w:val="21"/>
        </w:rPr>
        <w:t xml:space="preserve"> a +3</w:t>
      </w:r>
      <w:r w:rsidR="003346B6">
        <w:rPr>
          <w:rFonts w:ascii="Arial" w:hAnsi="Arial" w:cs="Arial"/>
          <w:sz w:val="21"/>
          <w:szCs w:val="21"/>
        </w:rPr>
        <w:t>,5%</w:t>
      </w:r>
      <w:r w:rsidR="00C625FD">
        <w:rPr>
          <w:rFonts w:ascii="Arial" w:hAnsi="Arial" w:cs="Arial"/>
          <w:sz w:val="21"/>
          <w:szCs w:val="21"/>
        </w:rPr>
        <w:t>; +0,5</w:t>
      </w:r>
      <w:r w:rsidR="00105434">
        <w:rPr>
          <w:rFonts w:ascii="Arial" w:hAnsi="Arial" w:cs="Arial"/>
          <w:sz w:val="21"/>
          <w:szCs w:val="21"/>
        </w:rPr>
        <w:t xml:space="preserve">% </w:t>
      </w:r>
      <w:r w:rsidR="00C9319B">
        <w:rPr>
          <w:rFonts w:ascii="Arial" w:hAnsi="Arial" w:cs="Arial"/>
          <w:sz w:val="21"/>
          <w:szCs w:val="21"/>
        </w:rPr>
        <w:t>il congiunturale</w:t>
      </w:r>
      <w:r w:rsidR="003346B6" w:rsidRPr="00E33F44">
        <w:rPr>
          <w:rFonts w:ascii="Arial" w:hAnsi="Arial" w:cs="Arial"/>
          <w:sz w:val="21"/>
          <w:szCs w:val="21"/>
        </w:rPr>
        <w:t>)</w:t>
      </w:r>
      <w:r w:rsidR="008A1654">
        <w:rPr>
          <w:rFonts w:ascii="Arial" w:hAnsi="Arial" w:cs="Arial"/>
          <w:sz w:val="21"/>
          <w:szCs w:val="21"/>
        </w:rPr>
        <w:t xml:space="preserve"> è dovuta</w:t>
      </w:r>
      <w:r w:rsidR="003346B6">
        <w:rPr>
          <w:rFonts w:ascii="Arial" w:hAnsi="Arial" w:cs="Arial"/>
          <w:sz w:val="21"/>
          <w:szCs w:val="21"/>
        </w:rPr>
        <w:t xml:space="preserve"> </w:t>
      </w:r>
      <w:r w:rsidR="006723E2">
        <w:rPr>
          <w:rFonts w:ascii="Arial" w:hAnsi="Arial" w:cs="Arial"/>
          <w:sz w:val="21"/>
          <w:szCs w:val="21"/>
        </w:rPr>
        <w:t>per</w:t>
      </w:r>
      <w:r w:rsidR="00182EA7">
        <w:rPr>
          <w:rFonts w:ascii="Arial" w:hAnsi="Arial" w:cs="Arial"/>
          <w:sz w:val="21"/>
          <w:szCs w:val="21"/>
        </w:rPr>
        <w:t xml:space="preserve"> </w:t>
      </w:r>
      <w:r w:rsidR="006723E2">
        <w:rPr>
          <w:rFonts w:ascii="Arial" w:hAnsi="Arial" w:cs="Arial"/>
          <w:sz w:val="21"/>
          <w:szCs w:val="21"/>
        </w:rPr>
        <w:t>lo</w:t>
      </w:r>
      <w:r w:rsidR="00182EA7">
        <w:rPr>
          <w:rFonts w:ascii="Arial" w:hAnsi="Arial" w:cs="Arial"/>
          <w:sz w:val="21"/>
          <w:szCs w:val="21"/>
        </w:rPr>
        <w:t xml:space="preserve"> </w:t>
      </w:r>
      <w:r w:rsidR="006723E2">
        <w:rPr>
          <w:rFonts w:ascii="Arial" w:hAnsi="Arial" w:cs="Arial"/>
          <w:sz w:val="21"/>
          <w:szCs w:val="21"/>
        </w:rPr>
        <w:t>più</w:t>
      </w:r>
      <w:r w:rsidR="003346B6">
        <w:rPr>
          <w:rFonts w:ascii="Arial" w:hAnsi="Arial" w:cs="Arial"/>
          <w:sz w:val="21"/>
          <w:szCs w:val="21"/>
        </w:rPr>
        <w:t xml:space="preserve"> </w:t>
      </w:r>
      <w:r w:rsidR="006723E2">
        <w:rPr>
          <w:rFonts w:ascii="Arial" w:hAnsi="Arial" w:cs="Arial"/>
          <w:sz w:val="21"/>
          <w:szCs w:val="21"/>
        </w:rPr>
        <w:t>a quelli</w:t>
      </w:r>
      <w:r w:rsidR="003346B6" w:rsidRPr="004B427C">
        <w:rPr>
          <w:rFonts w:ascii="Arial" w:hAnsi="Arial" w:cs="Arial"/>
          <w:color w:val="000000"/>
          <w:kern w:val="0"/>
          <w:sz w:val="21"/>
          <w:szCs w:val="21"/>
        </w:rPr>
        <w:t xml:space="preserve"> dei </w:t>
      </w:r>
      <w:r w:rsidR="003346B6" w:rsidRPr="006B1526">
        <w:rPr>
          <w:rFonts w:ascii="Arial" w:hAnsi="Arial" w:cs="Arial"/>
          <w:color w:val="000000"/>
          <w:kern w:val="0"/>
          <w:sz w:val="21"/>
          <w:szCs w:val="21"/>
        </w:rPr>
        <w:t xml:space="preserve">Servizi ricreativi, culturali e per la cura della persona </w:t>
      </w:r>
      <w:r w:rsidR="0053011F">
        <w:rPr>
          <w:rFonts w:ascii="Arial" w:hAnsi="Arial" w:cs="Arial"/>
          <w:color w:val="000000"/>
          <w:kern w:val="0"/>
          <w:sz w:val="21"/>
          <w:szCs w:val="21"/>
        </w:rPr>
        <w:t>(da +5,2% a +4,1%; +0,5</w:t>
      </w:r>
      <w:r w:rsidR="003346B6">
        <w:rPr>
          <w:rFonts w:ascii="Arial" w:hAnsi="Arial" w:cs="Arial"/>
          <w:color w:val="000000"/>
          <w:kern w:val="0"/>
          <w:sz w:val="21"/>
          <w:szCs w:val="21"/>
        </w:rPr>
        <w:t xml:space="preserve">% </w:t>
      </w:r>
      <w:r w:rsidR="00E0600E">
        <w:rPr>
          <w:rFonts w:ascii="Arial" w:hAnsi="Arial" w:cs="Arial"/>
          <w:color w:val="000000"/>
          <w:kern w:val="0"/>
          <w:sz w:val="21"/>
          <w:szCs w:val="21"/>
        </w:rPr>
        <w:t>sul mese</w:t>
      </w:r>
      <w:r w:rsidR="0053011F">
        <w:rPr>
          <w:rFonts w:ascii="Arial" w:hAnsi="Arial" w:cs="Arial"/>
          <w:color w:val="000000"/>
          <w:kern w:val="0"/>
          <w:sz w:val="21"/>
          <w:szCs w:val="21"/>
        </w:rPr>
        <w:t>)</w:t>
      </w:r>
      <w:r w:rsidR="003346B6" w:rsidRPr="007F2F3D">
        <w:rPr>
          <w:rFonts w:ascii="Arial" w:hAnsi="Arial" w:cs="Arial"/>
          <w:color w:val="000000"/>
          <w:kern w:val="0"/>
          <w:sz w:val="21"/>
          <w:szCs w:val="21"/>
        </w:rPr>
        <w:t>.</w:t>
      </w:r>
    </w:p>
    <w:p w:rsidR="003346B6" w:rsidRDefault="003346B6" w:rsidP="003346B6">
      <w:pPr>
        <w:spacing w:before="0" w:after="120"/>
        <w:jc w:val="both"/>
        <w:rPr>
          <w:rFonts w:ascii="Arial" w:hAnsi="Arial" w:cs="Arial"/>
          <w:sz w:val="21"/>
          <w:szCs w:val="21"/>
        </w:rPr>
      </w:pPr>
      <w:r w:rsidRPr="00CB5EB9">
        <w:rPr>
          <w:rFonts w:ascii="Arial" w:hAnsi="Arial" w:cs="Arial"/>
          <w:sz w:val="21"/>
          <w:szCs w:val="21"/>
        </w:rPr>
        <w:t>Accelerano l’inflazione della componente di fondo</w:t>
      </w:r>
      <w:r>
        <w:rPr>
          <w:rFonts w:ascii="Arial" w:hAnsi="Arial" w:cs="Arial"/>
          <w:sz w:val="21"/>
          <w:szCs w:val="21"/>
        </w:rPr>
        <w:t>,</w:t>
      </w:r>
      <w:r w:rsidRPr="00CB5EB9">
        <w:rPr>
          <w:rFonts w:ascii="Arial" w:hAnsi="Arial" w:cs="Arial"/>
          <w:sz w:val="21"/>
          <w:szCs w:val="21"/>
        </w:rPr>
        <w:t xml:space="preserve"> calcolata </w:t>
      </w:r>
      <w:r>
        <w:rPr>
          <w:rFonts w:ascii="Arial" w:hAnsi="Arial" w:cs="Arial"/>
          <w:sz w:val="21"/>
          <w:szCs w:val="21"/>
        </w:rPr>
        <w:t xml:space="preserve">escludendo dal calcolo dell’indice i beni </w:t>
      </w:r>
      <w:r w:rsidRPr="00CB5EB9">
        <w:rPr>
          <w:rFonts w:ascii="Arial" w:hAnsi="Arial" w:cs="Arial"/>
          <w:sz w:val="21"/>
          <w:szCs w:val="21"/>
        </w:rPr>
        <w:t>energ</w:t>
      </w:r>
      <w:r>
        <w:rPr>
          <w:rFonts w:ascii="Arial" w:hAnsi="Arial" w:cs="Arial"/>
          <w:sz w:val="21"/>
          <w:szCs w:val="21"/>
        </w:rPr>
        <w:t>etici</w:t>
      </w:r>
      <w:r w:rsidRPr="00CB5EB9">
        <w:rPr>
          <w:rFonts w:ascii="Arial" w:hAnsi="Arial" w:cs="Arial"/>
          <w:sz w:val="21"/>
          <w:szCs w:val="21"/>
        </w:rPr>
        <w:t xml:space="preserve"> e </w:t>
      </w:r>
      <w:r>
        <w:rPr>
          <w:rFonts w:ascii="Arial" w:hAnsi="Arial" w:cs="Arial"/>
          <w:sz w:val="21"/>
          <w:szCs w:val="21"/>
        </w:rPr>
        <w:t xml:space="preserve">gli </w:t>
      </w:r>
      <w:r w:rsidRPr="00CB5EB9">
        <w:rPr>
          <w:rFonts w:ascii="Arial" w:hAnsi="Arial" w:cs="Arial"/>
          <w:sz w:val="21"/>
          <w:szCs w:val="21"/>
        </w:rPr>
        <w:t>alimentari freschi</w:t>
      </w:r>
      <w:r w:rsidR="004141CF">
        <w:rPr>
          <w:rFonts w:ascii="Arial" w:hAnsi="Arial" w:cs="Arial"/>
          <w:sz w:val="21"/>
          <w:szCs w:val="21"/>
        </w:rPr>
        <w:t xml:space="preserve"> (da +3,7% a +3,2%;</w:t>
      </w:r>
      <w:r w:rsidR="00EA2337">
        <w:rPr>
          <w:rFonts w:ascii="Arial" w:hAnsi="Arial" w:cs="Arial"/>
          <w:sz w:val="21"/>
          <w:szCs w:val="21"/>
        </w:rPr>
        <w:t xml:space="preserve"> +0,3</w:t>
      </w:r>
      <w:r>
        <w:rPr>
          <w:rFonts w:ascii="Arial" w:hAnsi="Arial" w:cs="Arial"/>
          <w:sz w:val="21"/>
          <w:szCs w:val="21"/>
        </w:rPr>
        <w:t xml:space="preserve">% </w:t>
      </w:r>
      <w:r w:rsidR="00C9319B">
        <w:rPr>
          <w:rFonts w:ascii="Arial" w:hAnsi="Arial" w:cs="Arial"/>
          <w:sz w:val="21"/>
          <w:szCs w:val="21"/>
        </w:rPr>
        <w:t>da novembre</w:t>
      </w:r>
      <w:r>
        <w:rPr>
          <w:rFonts w:ascii="Arial" w:hAnsi="Arial" w:cs="Arial"/>
          <w:sz w:val="21"/>
          <w:szCs w:val="21"/>
        </w:rPr>
        <w:t>)</w:t>
      </w:r>
      <w:r w:rsidRPr="00CB5EB9">
        <w:rPr>
          <w:rFonts w:ascii="Arial" w:hAnsi="Arial" w:cs="Arial"/>
          <w:sz w:val="21"/>
          <w:szCs w:val="21"/>
        </w:rPr>
        <w:t xml:space="preserve">, </w:t>
      </w:r>
      <w:r w:rsidR="00EA2337">
        <w:rPr>
          <w:rFonts w:ascii="Arial" w:hAnsi="Arial" w:cs="Arial"/>
          <w:sz w:val="21"/>
          <w:szCs w:val="21"/>
        </w:rPr>
        <w:t xml:space="preserve">come anche </w:t>
      </w:r>
      <w:r w:rsidRPr="00CB5EB9">
        <w:rPr>
          <w:rFonts w:ascii="Arial" w:hAnsi="Arial" w:cs="Arial"/>
          <w:sz w:val="21"/>
          <w:szCs w:val="21"/>
        </w:rPr>
        <w:t xml:space="preserve">quella al netto dell’energia, degli alimentari (incluse bevande alcoliche) e tabacchi </w:t>
      </w:r>
      <w:r w:rsidR="00EA2337">
        <w:rPr>
          <w:rFonts w:ascii="Arial" w:hAnsi="Arial" w:cs="Arial"/>
          <w:sz w:val="21"/>
          <w:szCs w:val="21"/>
        </w:rPr>
        <w:t>(da +3,3</w:t>
      </w:r>
      <w:r>
        <w:rPr>
          <w:rFonts w:ascii="Arial" w:hAnsi="Arial" w:cs="Arial"/>
          <w:sz w:val="21"/>
          <w:szCs w:val="21"/>
        </w:rPr>
        <w:t>% a +</w:t>
      </w:r>
      <w:r w:rsidR="00EA2337">
        <w:rPr>
          <w:rFonts w:ascii="Arial" w:hAnsi="Arial" w:cs="Arial"/>
          <w:sz w:val="21"/>
          <w:szCs w:val="21"/>
        </w:rPr>
        <w:t>3,0%, +0,4</w:t>
      </w:r>
      <w:r>
        <w:rPr>
          <w:rFonts w:ascii="Arial" w:hAnsi="Arial" w:cs="Arial"/>
          <w:sz w:val="21"/>
          <w:szCs w:val="21"/>
        </w:rPr>
        <w:t xml:space="preserve">% rispetto </w:t>
      </w:r>
      <w:r w:rsidR="00C9319B">
        <w:rPr>
          <w:rFonts w:ascii="Arial" w:hAnsi="Arial" w:cs="Arial"/>
          <w:sz w:val="21"/>
          <w:szCs w:val="21"/>
        </w:rPr>
        <w:t>il mese precedente</w:t>
      </w:r>
      <w:r>
        <w:rPr>
          <w:rFonts w:ascii="Arial" w:hAnsi="Arial" w:cs="Arial"/>
          <w:sz w:val="21"/>
          <w:szCs w:val="21"/>
        </w:rPr>
        <w:t>)</w:t>
      </w:r>
      <w:r w:rsidR="00EA2337">
        <w:rPr>
          <w:rFonts w:ascii="Arial" w:hAnsi="Arial" w:cs="Arial"/>
          <w:sz w:val="21"/>
          <w:szCs w:val="21"/>
        </w:rPr>
        <w:t xml:space="preserve"> e </w:t>
      </w:r>
      <w:r w:rsidRPr="00CB5EB9">
        <w:rPr>
          <w:rFonts w:ascii="Arial" w:hAnsi="Arial" w:cs="Arial"/>
          <w:sz w:val="21"/>
          <w:szCs w:val="21"/>
        </w:rPr>
        <w:t xml:space="preserve">quella al netto dei soli beni energetici </w:t>
      </w:r>
      <w:r w:rsidR="00EA2337">
        <w:rPr>
          <w:rFonts w:ascii="Arial" w:hAnsi="Arial" w:cs="Arial"/>
          <w:sz w:val="21"/>
          <w:szCs w:val="21"/>
        </w:rPr>
        <w:t>(da +3,8 % a +3,5</w:t>
      </w:r>
      <w:r>
        <w:rPr>
          <w:rFonts w:ascii="Arial" w:hAnsi="Arial" w:cs="Arial"/>
          <w:sz w:val="21"/>
          <w:szCs w:val="21"/>
        </w:rPr>
        <w:t>%; +0,</w:t>
      </w:r>
      <w:r w:rsidR="00EA2337">
        <w:rPr>
          <w:rFonts w:ascii="Arial" w:hAnsi="Arial" w:cs="Arial"/>
          <w:sz w:val="21"/>
          <w:szCs w:val="21"/>
        </w:rPr>
        <w:t>3</w:t>
      </w:r>
      <w:r>
        <w:rPr>
          <w:rFonts w:ascii="Arial" w:hAnsi="Arial" w:cs="Arial"/>
          <w:sz w:val="21"/>
          <w:szCs w:val="21"/>
        </w:rPr>
        <w:t>% il congiunturale).</w:t>
      </w:r>
    </w:p>
    <w:p w:rsidR="00C9319B" w:rsidRPr="00CB5EB9" w:rsidRDefault="00C9319B" w:rsidP="003346B6">
      <w:pPr>
        <w:spacing w:before="0" w:after="120"/>
        <w:jc w:val="both"/>
        <w:rPr>
          <w:rFonts w:ascii="Arial" w:hAnsi="Arial" w:cs="Arial"/>
          <w:sz w:val="21"/>
          <w:szCs w:val="21"/>
        </w:rPr>
      </w:pPr>
    </w:p>
    <w:p w:rsidR="00C24A59" w:rsidRPr="00C8504B" w:rsidRDefault="00C24A59" w:rsidP="00C24A59">
      <w:pPr>
        <w:spacing w:before="0" w:after="120"/>
        <w:rPr>
          <w:rFonts w:ascii="Arial Narrow" w:hAnsi="Arial Narrow" w:cs="Arial"/>
          <w:color w:val="5F5F5F"/>
        </w:rPr>
      </w:pPr>
      <w:r w:rsidRPr="00C8504B">
        <w:rPr>
          <w:rFonts w:ascii="Arial Narrow" w:hAnsi="Arial Narrow" w:cs="Arial"/>
          <w:b/>
          <w:color w:val="E42618"/>
          <w:kern w:val="0"/>
          <w:sz w:val="22"/>
          <w:szCs w:val="22"/>
        </w:rPr>
        <w:t xml:space="preserve">PROSPETTO </w:t>
      </w:r>
      <w:r w:rsidR="00FC7F58">
        <w:rPr>
          <w:rFonts w:ascii="Arial Narrow" w:hAnsi="Arial Narrow" w:cs="Arial"/>
          <w:b/>
          <w:color w:val="E42618"/>
          <w:kern w:val="0"/>
          <w:sz w:val="22"/>
          <w:szCs w:val="22"/>
        </w:rPr>
        <w:t>11</w:t>
      </w:r>
      <w:r w:rsidRPr="00C8504B">
        <w:rPr>
          <w:rFonts w:ascii="Arial Narrow" w:hAnsi="Arial Narrow" w:cs="Arial"/>
          <w:b/>
          <w:color w:val="E42618"/>
        </w:rPr>
        <w:t>.</w:t>
      </w:r>
      <w:r w:rsidRPr="00C8504B">
        <w:rPr>
          <w:rFonts w:ascii="Arial Narrow" w:hAnsi="Arial Narrow" w:cs="Arial"/>
          <w:b/>
          <w:color w:val="5F5F5F"/>
        </w:rPr>
        <w:t xml:space="preserve"> </w:t>
      </w:r>
      <w:r w:rsidRPr="00C8504B">
        <w:rPr>
          <w:rFonts w:ascii="Arial Narrow" w:hAnsi="Arial Narrow" w:cs="Calibri"/>
          <w:b/>
          <w:bCs/>
          <w:color w:val="5F5F5F"/>
          <w:kern w:val="0"/>
          <w:sz w:val="22"/>
          <w:szCs w:val="22"/>
        </w:rPr>
        <w:t>INDICI DEI PREZZI AL CONSUMO IPCA PER AGGREGATI SPECIALI</w:t>
      </w:r>
      <w:r w:rsidR="002E7E19">
        <w:rPr>
          <w:rFonts w:ascii="Arial Narrow" w:hAnsi="Arial Narrow" w:cs="Calibri"/>
          <w:b/>
          <w:bCs/>
          <w:color w:val="5F5F5F"/>
          <w:kern w:val="0"/>
          <w:sz w:val="22"/>
          <w:szCs w:val="22"/>
        </w:rPr>
        <w:t xml:space="preserve"> </w:t>
      </w:r>
      <w:r w:rsidR="002E7E19">
        <w:rPr>
          <w:rFonts w:ascii="Arial Narrow" w:hAnsi="Arial Narrow" w:cs="Calibri"/>
          <w:b/>
          <w:bCs/>
          <w:color w:val="5F5F5F"/>
          <w:kern w:val="0"/>
          <w:sz w:val="22"/>
          <w:szCs w:val="22"/>
          <w:vertAlign w:val="superscript"/>
        </w:rPr>
        <w:t>(*)</w:t>
      </w:r>
      <w:r w:rsidRPr="00C8504B">
        <w:rPr>
          <w:rFonts w:ascii="Arial Narrow" w:hAnsi="Arial Narrow" w:cs="Arial"/>
          <w:b/>
          <w:color w:val="5F5F5F"/>
        </w:rPr>
        <w:br/>
      </w:r>
      <w:r w:rsidR="00F5157D" w:rsidRPr="00F5157D">
        <w:rPr>
          <w:rFonts w:ascii="Arial Narrow" w:hAnsi="Arial Narrow" w:cs="Arial"/>
          <w:color w:val="5F5F5F"/>
        </w:rPr>
        <w:t xml:space="preserve">Dicembre </w:t>
      </w:r>
      <w:r w:rsidR="00026B72">
        <w:rPr>
          <w:rFonts w:ascii="Arial Narrow" w:hAnsi="Arial Narrow" w:cs="Arial"/>
          <w:color w:val="5F5F5F"/>
        </w:rPr>
        <w:t>202</w:t>
      </w:r>
      <w:r w:rsidR="00235C7C">
        <w:rPr>
          <w:rFonts w:ascii="Arial Narrow" w:hAnsi="Arial Narrow" w:cs="Arial"/>
          <w:color w:val="5F5F5F"/>
        </w:rPr>
        <w:t>3</w:t>
      </w:r>
      <w:r w:rsidRPr="00C8504B">
        <w:rPr>
          <w:rFonts w:ascii="Arial Narrow" w:hAnsi="Arial Narrow" w:cs="Arial"/>
          <w:color w:val="5F5F5F"/>
        </w:rPr>
        <w:t xml:space="preserve">, pesi e variazioni percentuali </w:t>
      </w:r>
      <w:r w:rsidR="00312166" w:rsidRPr="00C8504B">
        <w:rPr>
          <w:rFonts w:ascii="Arial Narrow" w:hAnsi="Arial Narrow" w:cs="Arial"/>
          <w:color w:val="5F5F5F"/>
        </w:rPr>
        <w:t>congiunturali</w:t>
      </w:r>
      <w:r w:rsidR="00625F9C" w:rsidRPr="00C8504B">
        <w:rPr>
          <w:rFonts w:ascii="Arial Narrow" w:hAnsi="Arial Narrow" w:cs="Arial"/>
          <w:color w:val="5F5F5F"/>
        </w:rPr>
        <w:t xml:space="preserve"> e tendenziali </w:t>
      </w:r>
      <w:r w:rsidRPr="00C8504B">
        <w:rPr>
          <w:rFonts w:ascii="Arial Narrow" w:hAnsi="Arial Narrow" w:cs="Arial"/>
          <w:color w:val="5F5F5F"/>
        </w:rPr>
        <w:t>(base 2015=100)</w:t>
      </w:r>
    </w:p>
    <w:tbl>
      <w:tblPr>
        <w:tblW w:w="10065" w:type="dxa"/>
        <w:tblInd w:w="70" w:type="dxa"/>
        <w:tblBorders>
          <w:top w:val="single" w:sz="4" w:space="0" w:color="000000"/>
          <w:bottom w:val="single" w:sz="4" w:space="0" w:color="000000"/>
          <w:insideH w:val="single" w:sz="4" w:space="0" w:color="000000"/>
        </w:tblBorders>
        <w:tblLayout w:type="fixed"/>
        <w:tblCellMar>
          <w:left w:w="70" w:type="dxa"/>
          <w:right w:w="0" w:type="dxa"/>
        </w:tblCellMar>
        <w:tblLook w:val="0000" w:firstRow="0" w:lastRow="0" w:firstColumn="0" w:lastColumn="0" w:noHBand="0" w:noVBand="0"/>
      </w:tblPr>
      <w:tblGrid>
        <w:gridCol w:w="4111"/>
        <w:gridCol w:w="937"/>
        <w:gridCol w:w="935"/>
        <w:gridCol w:w="907"/>
        <w:gridCol w:w="28"/>
        <w:gridCol w:w="850"/>
        <w:gridCol w:w="824"/>
        <w:gridCol w:w="28"/>
        <w:gridCol w:w="736"/>
        <w:gridCol w:w="709"/>
      </w:tblGrid>
      <w:tr w:rsidR="00271002" w:rsidRPr="00C8504B" w:rsidTr="00CB5EB9">
        <w:trPr>
          <w:trHeight w:val="347"/>
        </w:trPr>
        <w:tc>
          <w:tcPr>
            <w:tcW w:w="4111" w:type="dxa"/>
            <w:vMerge w:val="restart"/>
            <w:vAlign w:val="center"/>
          </w:tcPr>
          <w:p w:rsidR="00271002" w:rsidRPr="00C8504B" w:rsidRDefault="00271002" w:rsidP="00E95076">
            <w:pPr>
              <w:spacing w:before="40" w:after="20"/>
              <w:ind w:left="-68"/>
              <w:rPr>
                <w:rFonts w:ascii="Arial Narrow" w:hAnsi="Arial Narrow" w:cs="Arial"/>
                <w:b/>
                <w:bCs/>
                <w:sz w:val="18"/>
                <w:szCs w:val="18"/>
              </w:rPr>
            </w:pPr>
            <w:r w:rsidRPr="00C8504B">
              <w:rPr>
                <w:rFonts w:ascii="Arial Narrow" w:hAnsi="Arial Narrow" w:cs="Arial"/>
                <w:b/>
                <w:bCs/>
                <w:sz w:val="18"/>
                <w:szCs w:val="18"/>
              </w:rPr>
              <w:t>AGGREGATI SPECIALI</w:t>
            </w:r>
          </w:p>
        </w:tc>
        <w:tc>
          <w:tcPr>
            <w:tcW w:w="937" w:type="dxa"/>
            <w:vMerge w:val="restart"/>
            <w:shd w:val="clear" w:color="auto" w:fill="D9D9D9" w:themeFill="background1" w:themeFillShade="D9"/>
            <w:vAlign w:val="center"/>
          </w:tcPr>
          <w:p w:rsidR="00271002" w:rsidRPr="00C8504B" w:rsidRDefault="00271002" w:rsidP="007E0285">
            <w:pPr>
              <w:spacing w:before="40" w:after="20"/>
              <w:ind w:right="57"/>
              <w:jc w:val="right"/>
              <w:rPr>
                <w:rFonts w:ascii="Arial Narrow" w:hAnsi="Arial Narrow" w:cs="Arial"/>
                <w:b/>
                <w:bCs/>
                <w:sz w:val="18"/>
                <w:szCs w:val="18"/>
              </w:rPr>
            </w:pPr>
            <w:r w:rsidRPr="00C8504B">
              <w:rPr>
                <w:rFonts w:ascii="Arial Narrow" w:hAnsi="Arial Narrow" w:cs="Arial"/>
                <w:b/>
                <w:bCs/>
                <w:sz w:val="18"/>
                <w:szCs w:val="18"/>
              </w:rPr>
              <w:t>Pesi</w:t>
            </w:r>
          </w:p>
        </w:tc>
        <w:tc>
          <w:tcPr>
            <w:tcW w:w="1842" w:type="dxa"/>
            <w:gridSpan w:val="2"/>
            <w:vAlign w:val="center"/>
          </w:tcPr>
          <w:p w:rsidR="00271002" w:rsidRPr="00C8504B" w:rsidRDefault="00271002" w:rsidP="007F12FE">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congiunturali</w:t>
            </w:r>
          </w:p>
        </w:tc>
        <w:tc>
          <w:tcPr>
            <w:tcW w:w="1702" w:type="dxa"/>
            <w:gridSpan w:val="3"/>
            <w:shd w:val="clear" w:color="auto" w:fill="D9D9D9"/>
            <w:vAlign w:val="center"/>
          </w:tcPr>
          <w:p w:rsidR="00271002" w:rsidRPr="00C8504B" w:rsidRDefault="00271002" w:rsidP="007F12FE">
            <w:pPr>
              <w:tabs>
                <w:tab w:val="left" w:pos="5093"/>
              </w:tabs>
              <w:spacing w:before="40" w:after="20"/>
              <w:ind w:right="57"/>
              <w:jc w:val="center"/>
              <w:rPr>
                <w:rFonts w:ascii="Arial Narrow" w:hAnsi="Arial Narrow" w:cs="Arial"/>
                <w:b/>
                <w:bCs/>
                <w:sz w:val="18"/>
                <w:szCs w:val="18"/>
              </w:rPr>
            </w:pPr>
            <w:r w:rsidRPr="00C8504B">
              <w:rPr>
                <w:rFonts w:ascii="Arial Narrow" w:hAnsi="Arial Narrow" w:cs="Arial"/>
                <w:b/>
                <w:bCs/>
                <w:sz w:val="18"/>
                <w:szCs w:val="18"/>
              </w:rPr>
              <w:t>Variazioni tendenziali</w:t>
            </w:r>
          </w:p>
        </w:tc>
        <w:tc>
          <w:tcPr>
            <w:tcW w:w="1473" w:type="dxa"/>
            <w:gridSpan w:val="3"/>
            <w:vAlign w:val="center"/>
          </w:tcPr>
          <w:p w:rsidR="00271002" w:rsidRPr="00C8504B" w:rsidRDefault="009D05F1" w:rsidP="00ED50B8">
            <w:pPr>
              <w:spacing w:before="40" w:after="20"/>
              <w:ind w:right="57"/>
              <w:jc w:val="center"/>
              <w:rPr>
                <w:rFonts w:ascii="Arial Narrow" w:hAnsi="Arial Narrow" w:cs="Arial"/>
                <w:b/>
                <w:bCs/>
                <w:snapToGrid w:val="0"/>
                <w:sz w:val="18"/>
                <w:szCs w:val="18"/>
              </w:rPr>
            </w:pPr>
            <w:r>
              <w:rPr>
                <w:rFonts w:ascii="Arial Narrow" w:hAnsi="Arial Narrow" w:cs="Arial"/>
                <w:b/>
                <w:bCs/>
                <w:kern w:val="0"/>
                <w:sz w:val="18"/>
                <w:szCs w:val="18"/>
              </w:rPr>
              <w:t xml:space="preserve">Variazioni </w:t>
            </w:r>
            <w:r w:rsidRPr="00E35895">
              <w:rPr>
                <w:rFonts w:ascii="Arial Narrow" w:hAnsi="Arial Narrow" w:cs="Arial"/>
                <w:b/>
                <w:bCs/>
                <w:kern w:val="0"/>
                <w:sz w:val="18"/>
                <w:szCs w:val="18"/>
              </w:rPr>
              <w:t>medi</w:t>
            </w:r>
            <w:r>
              <w:rPr>
                <w:rFonts w:ascii="Arial Narrow" w:hAnsi="Arial Narrow" w:cs="Arial"/>
                <w:b/>
                <w:bCs/>
                <w:kern w:val="0"/>
                <w:sz w:val="18"/>
                <w:szCs w:val="18"/>
              </w:rPr>
              <w:t>e</w:t>
            </w:r>
          </w:p>
        </w:tc>
      </w:tr>
      <w:tr w:rsidR="00596941" w:rsidRPr="00C8504B" w:rsidTr="00CB5EB9">
        <w:trPr>
          <w:trHeight w:val="346"/>
        </w:trPr>
        <w:tc>
          <w:tcPr>
            <w:tcW w:w="4111" w:type="dxa"/>
            <w:vMerge/>
            <w:vAlign w:val="center"/>
          </w:tcPr>
          <w:p w:rsidR="00596941" w:rsidRPr="00C8504B" w:rsidRDefault="00596941" w:rsidP="00596941">
            <w:pPr>
              <w:spacing w:before="40" w:after="20"/>
              <w:ind w:left="-68"/>
              <w:rPr>
                <w:rFonts w:ascii="Arial Narrow" w:hAnsi="Arial Narrow" w:cs="Arial"/>
                <w:b/>
                <w:bCs/>
                <w:sz w:val="18"/>
                <w:szCs w:val="18"/>
              </w:rPr>
            </w:pPr>
          </w:p>
        </w:tc>
        <w:tc>
          <w:tcPr>
            <w:tcW w:w="937" w:type="dxa"/>
            <w:vMerge/>
            <w:shd w:val="clear" w:color="auto" w:fill="D9D9D9" w:themeFill="background1" w:themeFillShade="D9"/>
            <w:vAlign w:val="center"/>
          </w:tcPr>
          <w:p w:rsidR="00596941" w:rsidRPr="00C8504B" w:rsidRDefault="00596941" w:rsidP="00596941">
            <w:pPr>
              <w:spacing w:before="40" w:after="20"/>
              <w:jc w:val="center"/>
              <w:rPr>
                <w:rFonts w:ascii="Arial Narrow" w:hAnsi="Arial Narrow" w:cs="Arial"/>
                <w:b/>
                <w:bCs/>
                <w:sz w:val="18"/>
                <w:szCs w:val="18"/>
              </w:rPr>
            </w:pPr>
          </w:p>
        </w:tc>
        <w:tc>
          <w:tcPr>
            <w:tcW w:w="935" w:type="dxa"/>
            <w:vAlign w:val="center"/>
          </w:tcPr>
          <w:p w:rsidR="00596941" w:rsidRDefault="00596941" w:rsidP="00596941">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dic-2</w:t>
            </w:r>
            <w:r w:rsidR="00235C7C">
              <w:rPr>
                <w:rFonts w:ascii="Arial Narrow" w:hAnsi="Arial Narrow" w:cs="Arial"/>
                <w:kern w:val="0"/>
                <w:sz w:val="18"/>
                <w:szCs w:val="18"/>
                <w:u w:val="single"/>
              </w:rPr>
              <w:t>3</w:t>
            </w:r>
          </w:p>
          <w:p w:rsidR="00596941" w:rsidRPr="00E03E58" w:rsidRDefault="00596941" w:rsidP="00596941">
            <w:pPr>
              <w:widowControl/>
              <w:overflowPunct/>
              <w:autoSpaceDE/>
              <w:autoSpaceDN/>
              <w:adjustRightInd/>
              <w:spacing w:before="40" w:after="20"/>
              <w:ind w:right="57"/>
              <w:jc w:val="right"/>
              <w:rPr>
                <w:rFonts w:ascii="Arial Narrow" w:hAnsi="Arial Narrow" w:cs="Arial"/>
                <w:kern w:val="0"/>
                <w:sz w:val="18"/>
                <w:szCs w:val="18"/>
              </w:rPr>
            </w:pPr>
            <w:r>
              <w:rPr>
                <w:rFonts w:ascii="Arial Narrow" w:hAnsi="Arial Narrow" w:cs="Arial"/>
                <w:kern w:val="0"/>
                <w:sz w:val="18"/>
                <w:szCs w:val="18"/>
              </w:rPr>
              <w:t>nov-2</w:t>
            </w:r>
            <w:r w:rsidR="00235C7C">
              <w:rPr>
                <w:rFonts w:ascii="Arial Narrow" w:hAnsi="Arial Narrow" w:cs="Arial"/>
                <w:kern w:val="0"/>
                <w:sz w:val="18"/>
                <w:szCs w:val="18"/>
              </w:rPr>
              <w:t>3</w:t>
            </w:r>
          </w:p>
        </w:tc>
        <w:tc>
          <w:tcPr>
            <w:tcW w:w="935" w:type="dxa"/>
            <w:gridSpan w:val="2"/>
            <w:vAlign w:val="center"/>
          </w:tcPr>
          <w:p w:rsidR="00596941" w:rsidRDefault="00596941" w:rsidP="00596941">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dic-2</w:t>
            </w:r>
            <w:r w:rsidR="00235C7C">
              <w:rPr>
                <w:rFonts w:ascii="Arial Narrow" w:hAnsi="Arial Narrow" w:cs="Arial"/>
                <w:kern w:val="0"/>
                <w:sz w:val="18"/>
                <w:szCs w:val="18"/>
                <w:u w:val="single"/>
              </w:rPr>
              <w:t>2</w:t>
            </w:r>
          </w:p>
          <w:p w:rsidR="00596941" w:rsidRPr="008814F3" w:rsidRDefault="00596941" w:rsidP="00235C7C">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nov-2</w:t>
            </w:r>
            <w:r w:rsidR="00235C7C">
              <w:rPr>
                <w:rFonts w:ascii="Arial Narrow" w:hAnsi="Arial Narrow" w:cs="Arial"/>
                <w:kern w:val="0"/>
                <w:sz w:val="18"/>
                <w:szCs w:val="18"/>
              </w:rPr>
              <w:t>2</w:t>
            </w:r>
          </w:p>
        </w:tc>
        <w:tc>
          <w:tcPr>
            <w:tcW w:w="850" w:type="dxa"/>
            <w:vAlign w:val="center"/>
          </w:tcPr>
          <w:p w:rsidR="00596941" w:rsidRDefault="00596941" w:rsidP="00596941">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d</w:t>
            </w:r>
            <w:r w:rsidR="00235C7C">
              <w:rPr>
                <w:rFonts w:ascii="Arial Narrow" w:hAnsi="Arial Narrow" w:cs="Arial"/>
                <w:kern w:val="0"/>
                <w:sz w:val="18"/>
                <w:szCs w:val="18"/>
                <w:u w:val="single"/>
              </w:rPr>
              <w:t>ic-23</w:t>
            </w:r>
          </w:p>
          <w:p w:rsidR="00596941" w:rsidRPr="008814F3" w:rsidRDefault="00596941" w:rsidP="00235C7C">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dic-2</w:t>
            </w:r>
            <w:r w:rsidR="00235C7C">
              <w:rPr>
                <w:rFonts w:ascii="Arial Narrow" w:hAnsi="Arial Narrow" w:cs="Arial"/>
                <w:kern w:val="0"/>
                <w:sz w:val="18"/>
                <w:szCs w:val="18"/>
              </w:rPr>
              <w:t>2</w:t>
            </w:r>
          </w:p>
        </w:tc>
        <w:tc>
          <w:tcPr>
            <w:tcW w:w="852" w:type="dxa"/>
            <w:gridSpan w:val="2"/>
            <w:vAlign w:val="center"/>
          </w:tcPr>
          <w:p w:rsidR="00596941" w:rsidRDefault="00596941" w:rsidP="00596941">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nov-2</w:t>
            </w:r>
            <w:r w:rsidR="00235C7C">
              <w:rPr>
                <w:rFonts w:ascii="Arial Narrow" w:hAnsi="Arial Narrow" w:cs="Arial"/>
                <w:kern w:val="0"/>
                <w:sz w:val="18"/>
                <w:szCs w:val="18"/>
                <w:u w:val="single"/>
              </w:rPr>
              <w:t>3</w:t>
            </w:r>
          </w:p>
          <w:p w:rsidR="00596941" w:rsidRPr="008814F3" w:rsidRDefault="00596941" w:rsidP="00235C7C">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rPr>
              <w:t>nov-2</w:t>
            </w:r>
            <w:r w:rsidR="00235C7C">
              <w:rPr>
                <w:rFonts w:ascii="Arial Narrow" w:hAnsi="Arial Narrow" w:cs="Arial"/>
                <w:kern w:val="0"/>
                <w:sz w:val="18"/>
                <w:szCs w:val="18"/>
              </w:rPr>
              <w:t>2</w:t>
            </w:r>
          </w:p>
        </w:tc>
        <w:tc>
          <w:tcPr>
            <w:tcW w:w="736" w:type="dxa"/>
            <w:vAlign w:val="center"/>
          </w:tcPr>
          <w:p w:rsidR="00596941" w:rsidRDefault="00596941" w:rsidP="00596941">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202</w:t>
            </w:r>
            <w:r w:rsidR="00235C7C">
              <w:rPr>
                <w:rFonts w:ascii="Arial Narrow" w:hAnsi="Arial Narrow" w:cs="Arial"/>
                <w:kern w:val="0"/>
                <w:sz w:val="18"/>
                <w:szCs w:val="18"/>
                <w:u w:val="single"/>
              </w:rPr>
              <w:t>3</w:t>
            </w:r>
          </w:p>
          <w:p w:rsidR="00596941" w:rsidRPr="008814F3" w:rsidRDefault="00596941" w:rsidP="00235C7C">
            <w:pPr>
              <w:widowControl/>
              <w:overflowPunct/>
              <w:autoSpaceDE/>
              <w:autoSpaceDN/>
              <w:adjustRightInd/>
              <w:spacing w:before="0" w:after="0"/>
              <w:ind w:right="57"/>
              <w:jc w:val="right"/>
              <w:rPr>
                <w:rFonts w:ascii="Arial Narrow" w:hAnsi="Arial Narrow" w:cs="Arial"/>
                <w:b/>
                <w:bCs/>
                <w:kern w:val="0"/>
                <w:sz w:val="18"/>
                <w:szCs w:val="18"/>
              </w:rPr>
            </w:pPr>
            <w:r>
              <w:rPr>
                <w:rFonts w:ascii="Arial Narrow" w:hAnsi="Arial Narrow" w:cs="Arial"/>
                <w:kern w:val="0"/>
                <w:sz w:val="18"/>
                <w:szCs w:val="18"/>
              </w:rPr>
              <w:t>202</w:t>
            </w:r>
            <w:r w:rsidR="00235C7C">
              <w:rPr>
                <w:rFonts w:ascii="Arial Narrow" w:hAnsi="Arial Narrow" w:cs="Arial"/>
                <w:kern w:val="0"/>
                <w:sz w:val="18"/>
                <w:szCs w:val="18"/>
              </w:rPr>
              <w:t>2</w:t>
            </w:r>
          </w:p>
        </w:tc>
        <w:tc>
          <w:tcPr>
            <w:tcW w:w="709" w:type="dxa"/>
            <w:vAlign w:val="center"/>
          </w:tcPr>
          <w:p w:rsidR="00596941" w:rsidRDefault="00596941" w:rsidP="00596941">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202</w:t>
            </w:r>
            <w:r w:rsidR="00235C7C">
              <w:rPr>
                <w:rFonts w:ascii="Arial Narrow" w:hAnsi="Arial Narrow" w:cs="Arial"/>
                <w:kern w:val="0"/>
                <w:sz w:val="18"/>
                <w:szCs w:val="18"/>
                <w:u w:val="single"/>
              </w:rPr>
              <w:t>2</w:t>
            </w:r>
          </w:p>
          <w:p w:rsidR="00596941" w:rsidRPr="008814F3" w:rsidRDefault="00596941" w:rsidP="00235C7C">
            <w:pPr>
              <w:widowControl/>
              <w:overflowPunct/>
              <w:autoSpaceDE/>
              <w:autoSpaceDN/>
              <w:adjustRightInd/>
              <w:spacing w:before="0" w:after="0"/>
              <w:ind w:right="57"/>
              <w:jc w:val="right"/>
              <w:rPr>
                <w:rFonts w:ascii="Arial Narrow" w:hAnsi="Arial Narrow" w:cs="Arial"/>
                <w:b/>
                <w:bCs/>
                <w:kern w:val="0"/>
                <w:sz w:val="18"/>
                <w:szCs w:val="18"/>
              </w:rPr>
            </w:pPr>
            <w:r>
              <w:rPr>
                <w:rFonts w:ascii="Arial Narrow" w:hAnsi="Arial Narrow" w:cs="Arial"/>
                <w:kern w:val="0"/>
                <w:sz w:val="18"/>
                <w:szCs w:val="18"/>
              </w:rPr>
              <w:t>202</w:t>
            </w:r>
            <w:r w:rsidR="00235C7C">
              <w:rPr>
                <w:rFonts w:ascii="Arial Narrow" w:hAnsi="Arial Narrow" w:cs="Arial"/>
                <w:kern w:val="0"/>
                <w:sz w:val="18"/>
                <w:szCs w:val="18"/>
              </w:rPr>
              <w:t>1</w:t>
            </w:r>
          </w:p>
        </w:tc>
      </w:tr>
      <w:tr w:rsidR="00B5768D" w:rsidRPr="00C8504B" w:rsidTr="00F54307">
        <w:trPr>
          <w:trHeight w:val="255"/>
        </w:trPr>
        <w:tc>
          <w:tcPr>
            <w:tcW w:w="4111" w:type="dxa"/>
            <w:vAlign w:val="center"/>
          </w:tcPr>
          <w:p w:rsidR="00B5768D" w:rsidRPr="00C8504B" w:rsidRDefault="00B5768D" w:rsidP="00B5768D">
            <w:pPr>
              <w:spacing w:before="40" w:after="20"/>
              <w:ind w:left="-68"/>
              <w:rPr>
                <w:rFonts w:ascii="Arial Narrow" w:hAnsi="Arial Narrow" w:cs="Arial"/>
                <w:sz w:val="18"/>
                <w:szCs w:val="18"/>
              </w:rPr>
            </w:pPr>
            <w:r w:rsidRPr="00C8504B">
              <w:rPr>
                <w:rFonts w:ascii="Arial Narrow" w:hAnsi="Arial Narrow" w:cs="Arial"/>
                <w:sz w:val="18"/>
                <w:szCs w:val="18"/>
              </w:rPr>
              <w:t>Beni alimentari (incluse bevande alcoliche) e tabacchi, di cui:</w:t>
            </w:r>
          </w:p>
        </w:tc>
        <w:tc>
          <w:tcPr>
            <w:tcW w:w="937" w:type="dxa"/>
            <w:shd w:val="clear" w:color="auto" w:fill="D9D9D9" w:themeFill="background1" w:themeFillShade="D9"/>
            <w:vAlign w:val="bottom"/>
          </w:tcPr>
          <w:p w:rsidR="00B5768D" w:rsidRPr="001F7C26" w:rsidRDefault="00B5768D" w:rsidP="00B5768D">
            <w:pPr>
              <w:spacing w:before="40" w:after="20"/>
              <w:ind w:left="-68" w:right="57"/>
              <w:jc w:val="right"/>
              <w:rPr>
                <w:rFonts w:ascii="Arial Narrow" w:hAnsi="Arial Narrow" w:cs="Arial"/>
                <w:sz w:val="18"/>
                <w:szCs w:val="18"/>
              </w:rPr>
            </w:pPr>
            <w:r w:rsidRPr="001F7C26">
              <w:rPr>
                <w:rFonts w:ascii="Arial Narrow" w:hAnsi="Arial Narrow" w:cs="Arial"/>
                <w:sz w:val="18"/>
                <w:szCs w:val="18"/>
              </w:rPr>
              <w:t>213.141</w:t>
            </w:r>
          </w:p>
        </w:tc>
        <w:tc>
          <w:tcPr>
            <w:tcW w:w="935"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+0,2</w:t>
            </w:r>
          </w:p>
        </w:tc>
        <w:tc>
          <w:tcPr>
            <w:tcW w:w="935"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+0,2</w:t>
            </w:r>
          </w:p>
        </w:tc>
        <w:tc>
          <w:tcPr>
            <w:tcW w:w="850"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+5,5</w:t>
            </w:r>
          </w:p>
        </w:tc>
        <w:tc>
          <w:tcPr>
            <w:tcW w:w="852"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+5,6</w:t>
            </w:r>
          </w:p>
        </w:tc>
        <w:tc>
          <w:tcPr>
            <w:tcW w:w="736"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+9,2</w:t>
            </w:r>
          </w:p>
        </w:tc>
        <w:tc>
          <w:tcPr>
            <w:tcW w:w="709" w:type="dxa"/>
            <w:shd w:val="clear" w:color="auto" w:fill="D9D9D9" w:themeFill="background1" w:themeFillShade="D9"/>
            <w:vAlign w:val="center"/>
          </w:tcPr>
          <w:p w:rsidR="00B5768D" w:rsidRPr="00A376E5" w:rsidRDefault="00B5768D" w:rsidP="00B5768D">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8</w:t>
            </w:r>
            <w:r>
              <w:rPr>
                <w:rFonts w:ascii="Arial Narrow" w:hAnsi="Arial Narrow" w:cs="Arial"/>
                <w:sz w:val="18"/>
                <w:szCs w:val="18"/>
              </w:rPr>
              <w:t>,0</w:t>
            </w:r>
          </w:p>
        </w:tc>
      </w:tr>
      <w:tr w:rsidR="00B5768D" w:rsidRPr="00C8504B" w:rsidTr="00F54307">
        <w:trPr>
          <w:trHeight w:val="255"/>
        </w:trPr>
        <w:tc>
          <w:tcPr>
            <w:tcW w:w="4111" w:type="dxa"/>
            <w:vAlign w:val="center"/>
          </w:tcPr>
          <w:p w:rsidR="00B5768D" w:rsidRPr="00C8504B" w:rsidRDefault="00B5768D" w:rsidP="00B5768D">
            <w:pPr>
              <w:spacing w:before="40" w:after="20"/>
              <w:ind w:left="247"/>
              <w:rPr>
                <w:rFonts w:ascii="Arial Narrow" w:hAnsi="Arial Narrow" w:cs="Arial"/>
                <w:sz w:val="18"/>
                <w:szCs w:val="18"/>
              </w:rPr>
            </w:pPr>
            <w:r w:rsidRPr="00C8504B">
              <w:rPr>
                <w:rFonts w:ascii="Arial Narrow" w:hAnsi="Arial Narrow" w:cs="Arial"/>
                <w:sz w:val="18"/>
                <w:szCs w:val="18"/>
              </w:rPr>
              <w:t>Alimentari lavorati (incluse bevande alcoliche) e tabacchi</w:t>
            </w:r>
          </w:p>
        </w:tc>
        <w:tc>
          <w:tcPr>
            <w:tcW w:w="937" w:type="dxa"/>
            <w:shd w:val="clear" w:color="auto" w:fill="D9D9D9"/>
            <w:vAlign w:val="bottom"/>
          </w:tcPr>
          <w:p w:rsidR="00B5768D" w:rsidRPr="001F7C26" w:rsidRDefault="00B5768D" w:rsidP="00B5768D">
            <w:pPr>
              <w:spacing w:before="40" w:after="20"/>
              <w:ind w:left="-68" w:right="57"/>
              <w:jc w:val="right"/>
              <w:rPr>
                <w:rFonts w:ascii="Arial Narrow" w:hAnsi="Arial Narrow" w:cs="Arial"/>
                <w:sz w:val="18"/>
                <w:szCs w:val="18"/>
              </w:rPr>
            </w:pPr>
            <w:r w:rsidRPr="001F7C26">
              <w:rPr>
                <w:rFonts w:ascii="Arial Narrow" w:hAnsi="Arial Narrow" w:cs="Arial"/>
                <w:sz w:val="18"/>
                <w:szCs w:val="18"/>
              </w:rPr>
              <w:t>150.656</w:t>
            </w:r>
          </w:p>
        </w:tc>
        <w:tc>
          <w:tcPr>
            <w:tcW w:w="935"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-0,2</w:t>
            </w:r>
          </w:p>
        </w:tc>
        <w:tc>
          <w:tcPr>
            <w:tcW w:w="935"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+0,6</w:t>
            </w:r>
          </w:p>
        </w:tc>
        <w:tc>
          <w:tcPr>
            <w:tcW w:w="850"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+4,5</w:t>
            </w:r>
          </w:p>
        </w:tc>
        <w:tc>
          <w:tcPr>
            <w:tcW w:w="852"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+5,3</w:t>
            </w:r>
          </w:p>
        </w:tc>
        <w:tc>
          <w:tcPr>
            <w:tcW w:w="736"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+9,6</w:t>
            </w:r>
          </w:p>
        </w:tc>
        <w:tc>
          <w:tcPr>
            <w:tcW w:w="709" w:type="dxa"/>
            <w:shd w:val="clear" w:color="auto" w:fill="D9D9D9" w:themeFill="background1" w:themeFillShade="D9"/>
            <w:vAlign w:val="center"/>
          </w:tcPr>
          <w:p w:rsidR="00B5768D" w:rsidRPr="00A376E5" w:rsidRDefault="00B5768D" w:rsidP="00B5768D">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7,3</w:t>
            </w:r>
          </w:p>
        </w:tc>
      </w:tr>
      <w:tr w:rsidR="00B5768D" w:rsidRPr="00C8504B" w:rsidTr="00F54307">
        <w:trPr>
          <w:trHeight w:val="255"/>
        </w:trPr>
        <w:tc>
          <w:tcPr>
            <w:tcW w:w="4111" w:type="dxa"/>
            <w:vAlign w:val="center"/>
          </w:tcPr>
          <w:p w:rsidR="00B5768D" w:rsidRPr="00C8504B" w:rsidRDefault="00B5768D" w:rsidP="00B5768D">
            <w:pPr>
              <w:spacing w:before="40" w:after="20"/>
              <w:ind w:left="247"/>
              <w:rPr>
                <w:rFonts w:ascii="Arial Narrow" w:hAnsi="Arial Narrow" w:cs="Arial"/>
                <w:sz w:val="18"/>
                <w:szCs w:val="18"/>
              </w:rPr>
            </w:pPr>
            <w:r w:rsidRPr="00C8504B">
              <w:rPr>
                <w:rFonts w:ascii="Arial Narrow" w:hAnsi="Arial Narrow" w:cs="Arial"/>
                <w:sz w:val="18"/>
                <w:szCs w:val="18"/>
              </w:rPr>
              <w:t>Alimentari non lavorati</w:t>
            </w:r>
          </w:p>
        </w:tc>
        <w:tc>
          <w:tcPr>
            <w:tcW w:w="937" w:type="dxa"/>
            <w:shd w:val="clear" w:color="auto" w:fill="D9D9D9"/>
            <w:vAlign w:val="bottom"/>
          </w:tcPr>
          <w:p w:rsidR="00B5768D" w:rsidRPr="001F7C26" w:rsidRDefault="00B5768D" w:rsidP="00B5768D">
            <w:pPr>
              <w:spacing w:before="40" w:after="20"/>
              <w:ind w:left="-68" w:right="57"/>
              <w:jc w:val="right"/>
              <w:rPr>
                <w:rFonts w:ascii="Arial Narrow" w:hAnsi="Arial Narrow" w:cs="Arial"/>
                <w:sz w:val="18"/>
                <w:szCs w:val="18"/>
              </w:rPr>
            </w:pPr>
            <w:r w:rsidRPr="001F7C26">
              <w:rPr>
                <w:rFonts w:ascii="Arial Narrow" w:hAnsi="Arial Narrow" w:cs="Arial"/>
                <w:sz w:val="18"/>
                <w:szCs w:val="18"/>
              </w:rPr>
              <w:t>62.485</w:t>
            </w:r>
          </w:p>
        </w:tc>
        <w:tc>
          <w:tcPr>
            <w:tcW w:w="935"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+0,7</w:t>
            </w:r>
          </w:p>
        </w:tc>
        <w:tc>
          <w:tcPr>
            <w:tcW w:w="935"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-0,8</w:t>
            </w:r>
          </w:p>
        </w:tc>
        <w:tc>
          <w:tcPr>
            <w:tcW w:w="850"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+7,9</w:t>
            </w:r>
          </w:p>
        </w:tc>
        <w:tc>
          <w:tcPr>
            <w:tcW w:w="852"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+6,3</w:t>
            </w:r>
          </w:p>
        </w:tc>
        <w:tc>
          <w:tcPr>
            <w:tcW w:w="736"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+8,2</w:t>
            </w:r>
          </w:p>
        </w:tc>
        <w:tc>
          <w:tcPr>
            <w:tcW w:w="709" w:type="dxa"/>
            <w:shd w:val="clear" w:color="auto" w:fill="D9D9D9" w:themeFill="background1" w:themeFillShade="D9"/>
            <w:vAlign w:val="center"/>
          </w:tcPr>
          <w:p w:rsidR="00B5768D" w:rsidRPr="00A376E5" w:rsidRDefault="00B5768D" w:rsidP="00B5768D">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9,6</w:t>
            </w:r>
          </w:p>
        </w:tc>
      </w:tr>
      <w:tr w:rsidR="00B5768D" w:rsidRPr="00C8504B" w:rsidTr="00F54307">
        <w:trPr>
          <w:trHeight w:val="255"/>
        </w:trPr>
        <w:tc>
          <w:tcPr>
            <w:tcW w:w="4111" w:type="dxa"/>
            <w:vAlign w:val="center"/>
          </w:tcPr>
          <w:p w:rsidR="00B5768D" w:rsidRPr="00C8504B" w:rsidRDefault="00B5768D" w:rsidP="00B5768D">
            <w:pPr>
              <w:spacing w:before="40" w:after="20"/>
              <w:ind w:left="-68"/>
              <w:rPr>
                <w:rFonts w:ascii="Arial Narrow" w:hAnsi="Arial Narrow" w:cs="Arial"/>
                <w:sz w:val="18"/>
                <w:szCs w:val="18"/>
              </w:rPr>
            </w:pPr>
            <w:r w:rsidRPr="00C8504B">
              <w:rPr>
                <w:rFonts w:ascii="Arial Narrow" w:hAnsi="Arial Narrow" w:cs="Arial"/>
                <w:sz w:val="18"/>
                <w:szCs w:val="18"/>
              </w:rPr>
              <w:t>Energia, di cui:</w:t>
            </w:r>
          </w:p>
        </w:tc>
        <w:tc>
          <w:tcPr>
            <w:tcW w:w="937" w:type="dxa"/>
            <w:shd w:val="clear" w:color="auto" w:fill="D9D9D9"/>
            <w:vAlign w:val="bottom"/>
          </w:tcPr>
          <w:p w:rsidR="00B5768D" w:rsidRPr="001F7C26" w:rsidRDefault="00B5768D" w:rsidP="00B5768D">
            <w:pPr>
              <w:spacing w:before="40" w:after="20"/>
              <w:ind w:left="-68" w:right="57"/>
              <w:jc w:val="right"/>
              <w:rPr>
                <w:rFonts w:ascii="Arial Narrow" w:hAnsi="Arial Narrow" w:cs="Arial"/>
                <w:sz w:val="18"/>
                <w:szCs w:val="18"/>
              </w:rPr>
            </w:pPr>
            <w:r w:rsidRPr="001F7C26">
              <w:rPr>
                <w:rFonts w:ascii="Arial Narrow" w:hAnsi="Arial Narrow" w:cs="Arial"/>
                <w:sz w:val="18"/>
                <w:szCs w:val="18"/>
              </w:rPr>
              <w:t>106.459</w:t>
            </w:r>
          </w:p>
        </w:tc>
        <w:tc>
          <w:tcPr>
            <w:tcW w:w="935"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-2,3</w:t>
            </w:r>
          </w:p>
        </w:tc>
        <w:tc>
          <w:tcPr>
            <w:tcW w:w="935"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-1,8</w:t>
            </w:r>
          </w:p>
        </w:tc>
        <w:tc>
          <w:tcPr>
            <w:tcW w:w="850"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-25,0</w:t>
            </w:r>
          </w:p>
        </w:tc>
        <w:tc>
          <w:tcPr>
            <w:tcW w:w="852"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-24,6</w:t>
            </w:r>
          </w:p>
        </w:tc>
        <w:tc>
          <w:tcPr>
            <w:tcW w:w="736"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+1,1</w:t>
            </w:r>
          </w:p>
        </w:tc>
        <w:tc>
          <w:tcPr>
            <w:tcW w:w="709" w:type="dxa"/>
            <w:shd w:val="clear" w:color="auto" w:fill="D9D9D9" w:themeFill="background1" w:themeFillShade="D9"/>
            <w:vAlign w:val="center"/>
          </w:tcPr>
          <w:p w:rsidR="00B5768D" w:rsidRPr="00A376E5" w:rsidRDefault="00B5768D" w:rsidP="00B5768D">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51,3</w:t>
            </w:r>
          </w:p>
        </w:tc>
      </w:tr>
      <w:tr w:rsidR="00B5768D" w:rsidRPr="00C8504B" w:rsidTr="00F54307">
        <w:trPr>
          <w:trHeight w:val="255"/>
        </w:trPr>
        <w:tc>
          <w:tcPr>
            <w:tcW w:w="4111" w:type="dxa"/>
            <w:vAlign w:val="center"/>
          </w:tcPr>
          <w:p w:rsidR="00B5768D" w:rsidRPr="00C8504B" w:rsidRDefault="00B5768D" w:rsidP="00B5768D">
            <w:pPr>
              <w:spacing w:before="40" w:after="20"/>
              <w:ind w:left="247"/>
              <w:rPr>
                <w:rFonts w:ascii="Arial Narrow" w:hAnsi="Arial Narrow" w:cs="Arial"/>
                <w:sz w:val="18"/>
                <w:szCs w:val="18"/>
              </w:rPr>
            </w:pPr>
            <w:r w:rsidRPr="00C8504B">
              <w:rPr>
                <w:rFonts w:ascii="Arial Narrow" w:hAnsi="Arial Narrow" w:cs="Arial"/>
                <w:sz w:val="18"/>
                <w:szCs w:val="18"/>
              </w:rPr>
              <w:t>Elettricità, gas e combustibili solidi</w:t>
            </w:r>
          </w:p>
        </w:tc>
        <w:tc>
          <w:tcPr>
            <w:tcW w:w="937" w:type="dxa"/>
            <w:shd w:val="clear" w:color="auto" w:fill="D9D9D9"/>
            <w:vAlign w:val="bottom"/>
          </w:tcPr>
          <w:p w:rsidR="00B5768D" w:rsidRPr="001F7C26" w:rsidRDefault="00B5768D" w:rsidP="00B5768D">
            <w:pPr>
              <w:spacing w:before="40" w:after="20"/>
              <w:ind w:left="-68" w:right="57"/>
              <w:jc w:val="right"/>
              <w:rPr>
                <w:rFonts w:ascii="Arial Narrow" w:hAnsi="Arial Narrow" w:cs="Arial"/>
                <w:sz w:val="18"/>
                <w:szCs w:val="18"/>
              </w:rPr>
            </w:pPr>
            <w:r w:rsidRPr="001F7C26">
              <w:rPr>
                <w:rFonts w:ascii="Arial Narrow" w:hAnsi="Arial Narrow" w:cs="Arial"/>
                <w:sz w:val="18"/>
                <w:szCs w:val="18"/>
              </w:rPr>
              <w:t>63.842</w:t>
            </w:r>
          </w:p>
        </w:tc>
        <w:tc>
          <w:tcPr>
            <w:tcW w:w="935"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-1,2</w:t>
            </w:r>
          </w:p>
        </w:tc>
        <w:tc>
          <w:tcPr>
            <w:tcW w:w="935"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-1,6</w:t>
            </w:r>
          </w:p>
        </w:tc>
        <w:tc>
          <w:tcPr>
            <w:tcW w:w="850"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-42,4</w:t>
            </w:r>
          </w:p>
        </w:tc>
        <w:tc>
          <w:tcPr>
            <w:tcW w:w="852"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-42,6</w:t>
            </w:r>
          </w:p>
        </w:tc>
        <w:tc>
          <w:tcPr>
            <w:tcW w:w="736"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-5,0</w:t>
            </w:r>
          </w:p>
        </w:tc>
        <w:tc>
          <w:tcPr>
            <w:tcW w:w="709" w:type="dxa"/>
            <w:shd w:val="clear" w:color="auto" w:fill="D9D9D9" w:themeFill="background1" w:themeFillShade="D9"/>
            <w:vAlign w:val="center"/>
          </w:tcPr>
          <w:p w:rsidR="00B5768D" w:rsidRPr="00A376E5" w:rsidRDefault="00B5768D" w:rsidP="00B5768D">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86,1</w:t>
            </w:r>
          </w:p>
        </w:tc>
      </w:tr>
      <w:tr w:rsidR="00B5768D" w:rsidRPr="00C8504B" w:rsidTr="00F54307">
        <w:trPr>
          <w:trHeight w:val="255"/>
        </w:trPr>
        <w:tc>
          <w:tcPr>
            <w:tcW w:w="4111" w:type="dxa"/>
            <w:vAlign w:val="center"/>
          </w:tcPr>
          <w:p w:rsidR="00B5768D" w:rsidRPr="00C8504B" w:rsidRDefault="00B5768D" w:rsidP="00B5768D">
            <w:pPr>
              <w:spacing w:before="40" w:after="20"/>
              <w:ind w:left="247"/>
              <w:rPr>
                <w:rFonts w:ascii="Arial Narrow" w:hAnsi="Arial Narrow" w:cs="Arial"/>
                <w:sz w:val="18"/>
                <w:szCs w:val="18"/>
              </w:rPr>
            </w:pPr>
            <w:r w:rsidRPr="00C8504B">
              <w:rPr>
                <w:rFonts w:ascii="Arial Narrow" w:hAnsi="Arial Narrow" w:cs="Arial"/>
                <w:sz w:val="18"/>
                <w:szCs w:val="18"/>
              </w:rPr>
              <w:t>Combustibili liquidi, carburanti e lubrificanti</w:t>
            </w:r>
          </w:p>
        </w:tc>
        <w:tc>
          <w:tcPr>
            <w:tcW w:w="937" w:type="dxa"/>
            <w:shd w:val="clear" w:color="auto" w:fill="D9D9D9"/>
            <w:vAlign w:val="bottom"/>
          </w:tcPr>
          <w:p w:rsidR="00B5768D" w:rsidRPr="001F7C26" w:rsidRDefault="00B5768D" w:rsidP="00B5768D">
            <w:pPr>
              <w:spacing w:before="40" w:after="20"/>
              <w:ind w:left="-68" w:right="57"/>
              <w:jc w:val="right"/>
              <w:rPr>
                <w:rFonts w:ascii="Arial Narrow" w:hAnsi="Arial Narrow" w:cs="Arial"/>
                <w:sz w:val="18"/>
                <w:szCs w:val="18"/>
              </w:rPr>
            </w:pPr>
            <w:r w:rsidRPr="001F7C26">
              <w:rPr>
                <w:rFonts w:ascii="Arial Narrow" w:hAnsi="Arial Narrow" w:cs="Arial"/>
                <w:sz w:val="18"/>
                <w:szCs w:val="18"/>
              </w:rPr>
              <w:t>42.617</w:t>
            </w:r>
          </w:p>
        </w:tc>
        <w:tc>
          <w:tcPr>
            <w:tcW w:w="935"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-3,2</w:t>
            </w:r>
          </w:p>
        </w:tc>
        <w:tc>
          <w:tcPr>
            <w:tcW w:w="935"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-2,3</w:t>
            </w:r>
          </w:p>
        </w:tc>
        <w:tc>
          <w:tcPr>
            <w:tcW w:w="850"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+1,3</w:t>
            </w:r>
          </w:p>
        </w:tc>
        <w:tc>
          <w:tcPr>
            <w:tcW w:w="852"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+2,2</w:t>
            </w:r>
          </w:p>
        </w:tc>
        <w:tc>
          <w:tcPr>
            <w:tcW w:w="736"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-0,5</w:t>
            </w:r>
          </w:p>
        </w:tc>
        <w:tc>
          <w:tcPr>
            <w:tcW w:w="709" w:type="dxa"/>
            <w:shd w:val="clear" w:color="auto" w:fill="D9D9D9" w:themeFill="background1" w:themeFillShade="D9"/>
            <w:vAlign w:val="center"/>
          </w:tcPr>
          <w:p w:rsidR="00B5768D" w:rsidRPr="00A376E5" w:rsidRDefault="00B5768D" w:rsidP="00B5768D">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17,7</w:t>
            </w:r>
          </w:p>
        </w:tc>
      </w:tr>
      <w:tr w:rsidR="00B5768D" w:rsidRPr="00C8504B" w:rsidTr="00F54307">
        <w:trPr>
          <w:trHeight w:val="255"/>
        </w:trPr>
        <w:tc>
          <w:tcPr>
            <w:tcW w:w="4111" w:type="dxa"/>
            <w:vAlign w:val="center"/>
          </w:tcPr>
          <w:p w:rsidR="00B5768D" w:rsidRPr="00C8504B" w:rsidRDefault="00B5768D" w:rsidP="00B5768D">
            <w:pPr>
              <w:spacing w:before="40" w:after="20"/>
              <w:ind w:left="-68"/>
              <w:rPr>
                <w:rFonts w:ascii="Arial Narrow" w:hAnsi="Arial Narrow" w:cs="Arial"/>
                <w:sz w:val="18"/>
                <w:szCs w:val="18"/>
              </w:rPr>
            </w:pPr>
            <w:r w:rsidRPr="00C8504B">
              <w:rPr>
                <w:rFonts w:ascii="Arial Narrow" w:hAnsi="Arial Narrow" w:cs="Arial"/>
                <w:sz w:val="18"/>
                <w:szCs w:val="18"/>
              </w:rPr>
              <w:t>Beni industriali non energetici, di cui:</w:t>
            </w:r>
          </w:p>
        </w:tc>
        <w:tc>
          <w:tcPr>
            <w:tcW w:w="937" w:type="dxa"/>
            <w:shd w:val="clear" w:color="auto" w:fill="D9D9D9"/>
            <w:vAlign w:val="bottom"/>
          </w:tcPr>
          <w:p w:rsidR="00B5768D" w:rsidRPr="001F7C26" w:rsidRDefault="00B5768D" w:rsidP="00B5768D">
            <w:pPr>
              <w:spacing w:before="40" w:after="20"/>
              <w:ind w:left="-68" w:right="57"/>
              <w:jc w:val="right"/>
              <w:rPr>
                <w:rFonts w:ascii="Arial Narrow" w:hAnsi="Arial Narrow" w:cs="Arial"/>
                <w:sz w:val="18"/>
                <w:szCs w:val="18"/>
              </w:rPr>
            </w:pPr>
            <w:r w:rsidRPr="001F7C26">
              <w:rPr>
                <w:rFonts w:ascii="Arial Narrow" w:hAnsi="Arial Narrow" w:cs="Arial"/>
                <w:sz w:val="18"/>
                <w:szCs w:val="18"/>
              </w:rPr>
              <w:t>290.408</w:t>
            </w:r>
          </w:p>
        </w:tc>
        <w:tc>
          <w:tcPr>
            <w:tcW w:w="935"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+0,4</w:t>
            </w:r>
          </w:p>
        </w:tc>
        <w:tc>
          <w:tcPr>
            <w:tcW w:w="935"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+0,7</w:t>
            </w:r>
          </w:p>
        </w:tc>
        <w:tc>
          <w:tcPr>
            <w:tcW w:w="850"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+2,2</w:t>
            </w:r>
          </w:p>
        </w:tc>
        <w:tc>
          <w:tcPr>
            <w:tcW w:w="852"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+2,5</w:t>
            </w:r>
          </w:p>
        </w:tc>
        <w:tc>
          <w:tcPr>
            <w:tcW w:w="736"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+4,7</w:t>
            </w:r>
          </w:p>
        </w:tc>
        <w:tc>
          <w:tcPr>
            <w:tcW w:w="709" w:type="dxa"/>
            <w:shd w:val="clear" w:color="auto" w:fill="D9D9D9" w:themeFill="background1" w:themeFillShade="D9"/>
            <w:vAlign w:val="center"/>
          </w:tcPr>
          <w:p w:rsidR="00B5768D" w:rsidRPr="00A376E5" w:rsidRDefault="00B5768D" w:rsidP="00B5768D">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3,2</w:t>
            </w:r>
          </w:p>
        </w:tc>
      </w:tr>
      <w:tr w:rsidR="00B5768D" w:rsidRPr="00C8504B" w:rsidTr="00F54307">
        <w:trPr>
          <w:trHeight w:val="255"/>
        </w:trPr>
        <w:tc>
          <w:tcPr>
            <w:tcW w:w="4111" w:type="dxa"/>
            <w:vAlign w:val="center"/>
          </w:tcPr>
          <w:p w:rsidR="00B5768D" w:rsidRPr="00C8504B" w:rsidRDefault="00B5768D" w:rsidP="00B5768D">
            <w:pPr>
              <w:spacing w:before="40" w:after="20"/>
              <w:ind w:left="247"/>
              <w:rPr>
                <w:rFonts w:ascii="Arial Narrow" w:hAnsi="Arial Narrow" w:cs="Arial"/>
                <w:sz w:val="18"/>
                <w:szCs w:val="18"/>
              </w:rPr>
            </w:pPr>
            <w:r w:rsidRPr="00C8504B">
              <w:rPr>
                <w:rFonts w:ascii="Arial Narrow" w:hAnsi="Arial Narrow" w:cs="Arial"/>
                <w:sz w:val="18"/>
                <w:szCs w:val="18"/>
              </w:rPr>
              <w:t>Beni durevoli</w:t>
            </w:r>
          </w:p>
        </w:tc>
        <w:tc>
          <w:tcPr>
            <w:tcW w:w="937" w:type="dxa"/>
            <w:shd w:val="clear" w:color="auto" w:fill="D9D9D9"/>
            <w:vAlign w:val="bottom"/>
          </w:tcPr>
          <w:p w:rsidR="00B5768D" w:rsidRPr="001F7C26" w:rsidRDefault="00B5768D" w:rsidP="00B5768D">
            <w:pPr>
              <w:spacing w:before="40" w:after="20"/>
              <w:ind w:left="-68" w:right="57"/>
              <w:jc w:val="right"/>
              <w:rPr>
                <w:rFonts w:ascii="Arial Narrow" w:hAnsi="Arial Narrow" w:cs="Arial"/>
                <w:sz w:val="18"/>
                <w:szCs w:val="18"/>
              </w:rPr>
            </w:pPr>
            <w:r w:rsidRPr="001F7C26">
              <w:rPr>
                <w:rFonts w:ascii="Arial Narrow" w:hAnsi="Arial Narrow" w:cs="Arial"/>
                <w:sz w:val="18"/>
                <w:szCs w:val="18"/>
              </w:rPr>
              <w:t>109.028</w:t>
            </w:r>
          </w:p>
        </w:tc>
        <w:tc>
          <w:tcPr>
            <w:tcW w:w="935"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+0,4</w:t>
            </w:r>
          </w:p>
        </w:tc>
        <w:tc>
          <w:tcPr>
            <w:tcW w:w="935"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+1,2</w:t>
            </w:r>
          </w:p>
        </w:tc>
        <w:tc>
          <w:tcPr>
            <w:tcW w:w="850"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+1,5</w:t>
            </w:r>
          </w:p>
        </w:tc>
        <w:tc>
          <w:tcPr>
            <w:tcW w:w="852"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+2,4</w:t>
            </w:r>
          </w:p>
        </w:tc>
        <w:tc>
          <w:tcPr>
            <w:tcW w:w="736"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+5,0</w:t>
            </w:r>
          </w:p>
        </w:tc>
        <w:tc>
          <w:tcPr>
            <w:tcW w:w="709" w:type="dxa"/>
            <w:shd w:val="clear" w:color="auto" w:fill="D9D9D9" w:themeFill="background1" w:themeFillShade="D9"/>
            <w:vAlign w:val="center"/>
          </w:tcPr>
          <w:p w:rsidR="00B5768D" w:rsidRPr="00A376E5" w:rsidRDefault="00B5768D" w:rsidP="00B5768D">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3,5</w:t>
            </w:r>
          </w:p>
        </w:tc>
      </w:tr>
      <w:tr w:rsidR="00B5768D" w:rsidRPr="00C8504B" w:rsidTr="00F54307">
        <w:trPr>
          <w:trHeight w:val="255"/>
        </w:trPr>
        <w:tc>
          <w:tcPr>
            <w:tcW w:w="4111" w:type="dxa"/>
            <w:vAlign w:val="center"/>
          </w:tcPr>
          <w:p w:rsidR="00B5768D" w:rsidRPr="00C8504B" w:rsidRDefault="00B5768D" w:rsidP="00B5768D">
            <w:pPr>
              <w:spacing w:before="40" w:after="20"/>
              <w:ind w:left="247"/>
              <w:rPr>
                <w:rFonts w:ascii="Arial Narrow" w:hAnsi="Arial Narrow" w:cs="Arial"/>
                <w:sz w:val="18"/>
                <w:szCs w:val="18"/>
              </w:rPr>
            </w:pPr>
            <w:r w:rsidRPr="00C8504B">
              <w:rPr>
                <w:rFonts w:ascii="Arial Narrow" w:hAnsi="Arial Narrow" w:cs="Arial"/>
                <w:sz w:val="18"/>
                <w:szCs w:val="18"/>
              </w:rPr>
              <w:t>Beni non durevoli</w:t>
            </w:r>
          </w:p>
        </w:tc>
        <w:tc>
          <w:tcPr>
            <w:tcW w:w="937" w:type="dxa"/>
            <w:shd w:val="clear" w:color="auto" w:fill="D9D9D9"/>
            <w:vAlign w:val="bottom"/>
          </w:tcPr>
          <w:p w:rsidR="00B5768D" w:rsidRPr="001F7C26" w:rsidRDefault="00B5768D" w:rsidP="00B5768D">
            <w:pPr>
              <w:spacing w:before="40" w:after="20"/>
              <w:ind w:left="-68" w:right="57"/>
              <w:jc w:val="right"/>
              <w:rPr>
                <w:rFonts w:ascii="Arial Narrow" w:hAnsi="Arial Narrow" w:cs="Arial"/>
                <w:sz w:val="18"/>
                <w:szCs w:val="18"/>
              </w:rPr>
            </w:pPr>
            <w:r w:rsidRPr="001F7C26">
              <w:rPr>
                <w:rFonts w:ascii="Arial Narrow" w:hAnsi="Arial Narrow" w:cs="Arial"/>
                <w:sz w:val="18"/>
                <w:szCs w:val="18"/>
              </w:rPr>
              <w:t>65.830</w:t>
            </w:r>
          </w:p>
        </w:tc>
        <w:tc>
          <w:tcPr>
            <w:tcW w:w="935"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+0,5</w:t>
            </w:r>
          </w:p>
        </w:tc>
        <w:tc>
          <w:tcPr>
            <w:tcW w:w="935"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+0,9</w:t>
            </w:r>
          </w:p>
        </w:tc>
        <w:tc>
          <w:tcPr>
            <w:tcW w:w="850"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+3,4</w:t>
            </w:r>
          </w:p>
        </w:tc>
        <w:tc>
          <w:tcPr>
            <w:tcW w:w="852"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+3,8</w:t>
            </w:r>
          </w:p>
        </w:tc>
        <w:tc>
          <w:tcPr>
            <w:tcW w:w="736"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+6,6</w:t>
            </w:r>
          </w:p>
        </w:tc>
        <w:tc>
          <w:tcPr>
            <w:tcW w:w="709" w:type="dxa"/>
            <w:shd w:val="clear" w:color="auto" w:fill="D9D9D9" w:themeFill="background1" w:themeFillShade="D9"/>
            <w:vAlign w:val="center"/>
          </w:tcPr>
          <w:p w:rsidR="00B5768D" w:rsidRPr="00A376E5" w:rsidRDefault="00B5768D" w:rsidP="00B5768D">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4,2</w:t>
            </w:r>
          </w:p>
        </w:tc>
      </w:tr>
      <w:tr w:rsidR="00B5768D" w:rsidRPr="00C8504B" w:rsidTr="00F54307">
        <w:trPr>
          <w:trHeight w:val="255"/>
        </w:trPr>
        <w:tc>
          <w:tcPr>
            <w:tcW w:w="4111" w:type="dxa"/>
            <w:vAlign w:val="center"/>
          </w:tcPr>
          <w:p w:rsidR="00B5768D" w:rsidRPr="00C8504B" w:rsidRDefault="00B5768D" w:rsidP="00B5768D">
            <w:pPr>
              <w:spacing w:before="40" w:after="20"/>
              <w:ind w:left="247"/>
              <w:rPr>
                <w:rFonts w:ascii="Arial Narrow" w:hAnsi="Arial Narrow" w:cs="Arial"/>
                <w:sz w:val="18"/>
                <w:szCs w:val="18"/>
              </w:rPr>
            </w:pPr>
            <w:r w:rsidRPr="00C8504B">
              <w:rPr>
                <w:rFonts w:ascii="Arial Narrow" w:hAnsi="Arial Narrow" w:cs="Arial"/>
                <w:sz w:val="18"/>
                <w:szCs w:val="18"/>
              </w:rPr>
              <w:t>Beni semidurevoli</w:t>
            </w:r>
          </w:p>
        </w:tc>
        <w:tc>
          <w:tcPr>
            <w:tcW w:w="937" w:type="dxa"/>
            <w:shd w:val="clear" w:color="auto" w:fill="D9D9D9"/>
            <w:vAlign w:val="bottom"/>
          </w:tcPr>
          <w:p w:rsidR="00B5768D" w:rsidRPr="001F7C26" w:rsidRDefault="00B5768D" w:rsidP="00B5768D">
            <w:pPr>
              <w:spacing w:before="40" w:after="20"/>
              <w:ind w:left="-68" w:right="57"/>
              <w:jc w:val="right"/>
              <w:rPr>
                <w:rFonts w:ascii="Arial Narrow" w:hAnsi="Arial Narrow" w:cs="Arial"/>
                <w:sz w:val="18"/>
                <w:szCs w:val="18"/>
              </w:rPr>
            </w:pPr>
            <w:r w:rsidRPr="001F7C26">
              <w:rPr>
                <w:rFonts w:ascii="Arial Narrow" w:hAnsi="Arial Narrow" w:cs="Arial"/>
                <w:sz w:val="18"/>
                <w:szCs w:val="18"/>
              </w:rPr>
              <w:t>115.550</w:t>
            </w:r>
          </w:p>
        </w:tc>
        <w:tc>
          <w:tcPr>
            <w:tcW w:w="935"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+0,4</w:t>
            </w:r>
          </w:p>
        </w:tc>
        <w:tc>
          <w:tcPr>
            <w:tcW w:w="935"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+0,2</w:t>
            </w:r>
          </w:p>
        </w:tc>
        <w:tc>
          <w:tcPr>
            <w:tcW w:w="850"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+2,0</w:t>
            </w:r>
          </w:p>
        </w:tc>
        <w:tc>
          <w:tcPr>
            <w:tcW w:w="852"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+1,8</w:t>
            </w:r>
          </w:p>
        </w:tc>
        <w:tc>
          <w:tcPr>
            <w:tcW w:w="736"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+3,4</w:t>
            </w:r>
          </w:p>
        </w:tc>
        <w:tc>
          <w:tcPr>
            <w:tcW w:w="709" w:type="dxa"/>
            <w:shd w:val="clear" w:color="auto" w:fill="D9D9D9" w:themeFill="background1" w:themeFillShade="D9"/>
            <w:vAlign w:val="center"/>
          </w:tcPr>
          <w:p w:rsidR="00B5768D" w:rsidRPr="00A376E5" w:rsidRDefault="00B5768D" w:rsidP="00B5768D">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1,9</w:t>
            </w:r>
          </w:p>
        </w:tc>
      </w:tr>
      <w:tr w:rsidR="00B5768D" w:rsidRPr="00043B31" w:rsidTr="00F54307">
        <w:trPr>
          <w:trHeight w:val="255"/>
        </w:trPr>
        <w:tc>
          <w:tcPr>
            <w:tcW w:w="4111" w:type="dxa"/>
            <w:shd w:val="clear" w:color="auto" w:fill="808080"/>
            <w:vAlign w:val="center"/>
          </w:tcPr>
          <w:p w:rsidR="00B5768D" w:rsidRPr="00C8504B" w:rsidRDefault="00B5768D" w:rsidP="00B5768D">
            <w:pPr>
              <w:spacing w:before="40" w:after="20"/>
              <w:rPr>
                <w:rFonts w:ascii="Arial Narrow" w:hAnsi="Arial Narrow" w:cs="Arial"/>
                <w:b/>
                <w:bCs/>
                <w:color w:val="FFFFFF"/>
                <w:sz w:val="18"/>
                <w:szCs w:val="18"/>
              </w:rPr>
            </w:pPr>
            <w:r w:rsidRPr="00C8504B">
              <w:rPr>
                <w:rFonts w:ascii="Arial Narrow" w:hAnsi="Arial Narrow" w:cs="Arial"/>
                <w:b/>
                <w:color w:val="FFFFFF"/>
                <w:sz w:val="18"/>
                <w:szCs w:val="18"/>
              </w:rPr>
              <w:t>Beni</w:t>
            </w:r>
          </w:p>
        </w:tc>
        <w:tc>
          <w:tcPr>
            <w:tcW w:w="937" w:type="dxa"/>
            <w:shd w:val="clear" w:color="auto" w:fill="808080"/>
            <w:vAlign w:val="bottom"/>
          </w:tcPr>
          <w:p w:rsidR="00B5768D" w:rsidRPr="001F7C26" w:rsidRDefault="00B5768D" w:rsidP="00B5768D">
            <w:pPr>
              <w:spacing w:before="40" w:after="20"/>
              <w:ind w:left="-68" w:right="57"/>
              <w:jc w:val="right"/>
              <w:rPr>
                <w:rFonts w:ascii="Arial Narrow" w:hAnsi="Arial Narrow" w:cs="Arial"/>
                <w:b/>
                <w:sz w:val="18"/>
                <w:szCs w:val="18"/>
              </w:rPr>
            </w:pPr>
            <w:r w:rsidRPr="001F7C26">
              <w:rPr>
                <w:rFonts w:ascii="Arial Narrow" w:hAnsi="Arial Narrow" w:cs="Arial"/>
                <w:b/>
                <w:color w:val="FFFFFF" w:themeColor="background1"/>
                <w:sz w:val="18"/>
                <w:szCs w:val="18"/>
              </w:rPr>
              <w:t>610.008</w:t>
            </w:r>
          </w:p>
        </w:tc>
        <w:tc>
          <w:tcPr>
            <w:tcW w:w="935" w:type="dxa"/>
            <w:shd w:val="clear" w:color="auto" w:fill="808080"/>
            <w:vAlign w:val="center"/>
          </w:tcPr>
          <w:p w:rsidR="00B5768D" w:rsidRPr="00B5768D" w:rsidRDefault="00B5768D" w:rsidP="00B5768D">
            <w:pPr>
              <w:spacing w:before="40" w:after="20"/>
              <w:ind w:left="-68" w:right="57"/>
              <w:jc w:val="right"/>
              <w:rPr>
                <w:rFonts w:ascii="Arial Narrow" w:hAnsi="Arial Narrow" w:cs="Arial"/>
                <w:b/>
                <w:color w:val="FFFFFF" w:themeColor="background1"/>
                <w:sz w:val="18"/>
                <w:szCs w:val="18"/>
              </w:rPr>
            </w:pPr>
            <w:r w:rsidRPr="00B5768D">
              <w:rPr>
                <w:rFonts w:ascii="Arial Narrow" w:hAnsi="Arial Narrow" w:cs="Arial"/>
                <w:b/>
                <w:color w:val="FFFFFF" w:themeColor="background1"/>
                <w:sz w:val="18"/>
                <w:szCs w:val="18"/>
              </w:rPr>
              <w:t>0,0</w:t>
            </w:r>
          </w:p>
        </w:tc>
        <w:tc>
          <w:tcPr>
            <w:tcW w:w="935" w:type="dxa"/>
            <w:gridSpan w:val="2"/>
            <w:shd w:val="clear" w:color="auto" w:fill="808080"/>
            <w:vAlign w:val="center"/>
          </w:tcPr>
          <w:p w:rsidR="00B5768D" w:rsidRPr="00B5768D" w:rsidRDefault="00B5768D" w:rsidP="00B5768D">
            <w:pPr>
              <w:spacing w:before="40" w:after="20"/>
              <w:ind w:left="-68" w:right="57"/>
              <w:jc w:val="right"/>
              <w:rPr>
                <w:rFonts w:ascii="Arial Narrow" w:hAnsi="Arial Narrow" w:cs="Arial"/>
                <w:b/>
                <w:color w:val="FFFFFF" w:themeColor="background1"/>
                <w:sz w:val="18"/>
                <w:szCs w:val="18"/>
              </w:rPr>
            </w:pPr>
            <w:r w:rsidRPr="00B5768D">
              <w:rPr>
                <w:rFonts w:ascii="Arial Narrow" w:hAnsi="Arial Narrow" w:cs="Arial"/>
                <w:b/>
                <w:color w:val="FFFFFF" w:themeColor="background1"/>
                <w:sz w:val="18"/>
                <w:szCs w:val="18"/>
              </w:rPr>
              <w:t>-0,1</w:t>
            </w:r>
          </w:p>
        </w:tc>
        <w:tc>
          <w:tcPr>
            <w:tcW w:w="850" w:type="dxa"/>
            <w:shd w:val="clear" w:color="auto" w:fill="808080"/>
            <w:vAlign w:val="center"/>
          </w:tcPr>
          <w:p w:rsidR="00B5768D" w:rsidRPr="00B5768D" w:rsidRDefault="00B5768D" w:rsidP="00B5768D">
            <w:pPr>
              <w:spacing w:before="40" w:after="20"/>
              <w:ind w:left="-68" w:right="57"/>
              <w:jc w:val="right"/>
              <w:rPr>
                <w:rFonts w:ascii="Arial Narrow" w:hAnsi="Arial Narrow" w:cs="Arial"/>
                <w:b/>
                <w:color w:val="FFFFFF" w:themeColor="background1"/>
                <w:sz w:val="18"/>
                <w:szCs w:val="18"/>
              </w:rPr>
            </w:pPr>
            <w:r w:rsidRPr="00B5768D">
              <w:rPr>
                <w:rFonts w:ascii="Arial Narrow" w:hAnsi="Arial Narrow" w:cs="Arial"/>
                <w:b/>
                <w:color w:val="FFFFFF" w:themeColor="background1"/>
                <w:sz w:val="18"/>
                <w:szCs w:val="18"/>
              </w:rPr>
              <w:t>-1,3</w:t>
            </w:r>
          </w:p>
        </w:tc>
        <w:tc>
          <w:tcPr>
            <w:tcW w:w="852" w:type="dxa"/>
            <w:gridSpan w:val="2"/>
            <w:shd w:val="clear" w:color="auto" w:fill="808080"/>
            <w:vAlign w:val="center"/>
          </w:tcPr>
          <w:p w:rsidR="00B5768D" w:rsidRPr="00B5768D" w:rsidRDefault="00B5768D" w:rsidP="00B5768D">
            <w:pPr>
              <w:spacing w:before="40" w:after="20"/>
              <w:ind w:left="-68" w:right="57"/>
              <w:jc w:val="right"/>
              <w:rPr>
                <w:rFonts w:ascii="Arial Narrow" w:hAnsi="Arial Narrow" w:cs="Arial"/>
                <w:b/>
                <w:color w:val="FFFFFF" w:themeColor="background1"/>
                <w:sz w:val="18"/>
                <w:szCs w:val="18"/>
              </w:rPr>
            </w:pPr>
            <w:r w:rsidRPr="00B5768D">
              <w:rPr>
                <w:rFonts w:ascii="Arial Narrow" w:hAnsi="Arial Narrow" w:cs="Arial"/>
                <w:b/>
                <w:color w:val="FFFFFF" w:themeColor="background1"/>
                <w:sz w:val="18"/>
                <w:szCs w:val="18"/>
              </w:rPr>
              <w:t>-1,4</w:t>
            </w:r>
          </w:p>
        </w:tc>
        <w:tc>
          <w:tcPr>
            <w:tcW w:w="736" w:type="dxa"/>
            <w:shd w:val="clear" w:color="auto" w:fill="808080"/>
            <w:vAlign w:val="center"/>
          </w:tcPr>
          <w:p w:rsidR="00B5768D" w:rsidRPr="00B5768D" w:rsidRDefault="00B5768D" w:rsidP="00B5768D">
            <w:pPr>
              <w:spacing w:before="40" w:after="20"/>
              <w:ind w:left="-68" w:right="57"/>
              <w:jc w:val="right"/>
              <w:rPr>
                <w:rFonts w:ascii="Arial Narrow" w:hAnsi="Arial Narrow" w:cs="Arial"/>
                <w:b/>
                <w:color w:val="FFFFFF" w:themeColor="background1"/>
                <w:sz w:val="18"/>
                <w:szCs w:val="18"/>
              </w:rPr>
            </w:pPr>
            <w:r w:rsidRPr="00B5768D">
              <w:rPr>
                <w:rFonts w:ascii="Arial Narrow" w:hAnsi="Arial Narrow" w:cs="Arial"/>
                <w:b/>
                <w:color w:val="FFFFFF" w:themeColor="background1"/>
                <w:sz w:val="18"/>
                <w:szCs w:val="18"/>
              </w:rPr>
              <w:t>+6,5</w:t>
            </w:r>
          </w:p>
        </w:tc>
        <w:tc>
          <w:tcPr>
            <w:tcW w:w="709" w:type="dxa"/>
            <w:shd w:val="clear" w:color="auto" w:fill="808080"/>
            <w:vAlign w:val="center"/>
          </w:tcPr>
          <w:p w:rsidR="00B5768D" w:rsidRPr="00A376E5" w:rsidRDefault="00B5768D" w:rsidP="00B5768D">
            <w:pPr>
              <w:widowControl/>
              <w:overflowPunct/>
              <w:autoSpaceDE/>
              <w:autoSpaceDN/>
              <w:adjustRightInd/>
              <w:spacing w:before="40" w:after="20"/>
              <w:ind w:right="57"/>
              <w:jc w:val="right"/>
              <w:rPr>
                <w:rFonts w:ascii="Arial Narrow" w:hAnsi="Arial Narrow" w:cs="Arial"/>
                <w:b/>
                <w:color w:val="FFFFFF" w:themeColor="background1"/>
                <w:kern w:val="0"/>
                <w:sz w:val="18"/>
                <w:szCs w:val="18"/>
              </w:rPr>
            </w:pPr>
            <w:r>
              <w:rPr>
                <w:rFonts w:ascii="Arial Narrow" w:hAnsi="Arial Narrow" w:cs="Arial"/>
                <w:b/>
                <w:color w:val="FFFFFF" w:themeColor="background1"/>
                <w:kern w:val="0"/>
                <w:sz w:val="18"/>
                <w:szCs w:val="18"/>
              </w:rPr>
              <w:t>+</w:t>
            </w:r>
            <w:r w:rsidRPr="00A376E5">
              <w:rPr>
                <w:rFonts w:ascii="Arial Narrow" w:hAnsi="Arial Narrow" w:cs="Arial"/>
                <w:b/>
                <w:color w:val="FFFFFF" w:themeColor="background1"/>
                <w:kern w:val="0"/>
                <w:sz w:val="18"/>
                <w:szCs w:val="18"/>
              </w:rPr>
              <w:t>12,1</w:t>
            </w:r>
          </w:p>
        </w:tc>
      </w:tr>
      <w:tr w:rsidR="00B5768D" w:rsidRPr="00C8504B" w:rsidTr="00F54307">
        <w:trPr>
          <w:trHeight w:val="255"/>
        </w:trPr>
        <w:tc>
          <w:tcPr>
            <w:tcW w:w="4111" w:type="dxa"/>
            <w:vAlign w:val="center"/>
          </w:tcPr>
          <w:p w:rsidR="00B5768D" w:rsidRPr="00C8504B" w:rsidRDefault="00B5768D" w:rsidP="00B5768D">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all'abitazione</w:t>
            </w:r>
          </w:p>
        </w:tc>
        <w:tc>
          <w:tcPr>
            <w:tcW w:w="937" w:type="dxa"/>
            <w:shd w:val="clear" w:color="auto" w:fill="D9D9D9"/>
            <w:vAlign w:val="bottom"/>
          </w:tcPr>
          <w:p w:rsidR="00B5768D" w:rsidRPr="001F7C26" w:rsidRDefault="00B5768D" w:rsidP="00B5768D">
            <w:pPr>
              <w:spacing w:before="40" w:after="20"/>
              <w:ind w:left="-68" w:right="57"/>
              <w:jc w:val="right"/>
              <w:rPr>
                <w:rFonts w:ascii="Arial Narrow" w:hAnsi="Arial Narrow" w:cs="Arial"/>
                <w:sz w:val="18"/>
                <w:szCs w:val="18"/>
              </w:rPr>
            </w:pPr>
            <w:r w:rsidRPr="001F7C26">
              <w:rPr>
                <w:rFonts w:ascii="Arial Narrow" w:hAnsi="Arial Narrow" w:cs="Arial"/>
                <w:sz w:val="18"/>
                <w:szCs w:val="18"/>
              </w:rPr>
              <w:t>78.443</w:t>
            </w:r>
          </w:p>
        </w:tc>
        <w:tc>
          <w:tcPr>
            <w:tcW w:w="935"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+0,3</w:t>
            </w:r>
          </w:p>
        </w:tc>
        <w:tc>
          <w:tcPr>
            <w:tcW w:w="935"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+0,1</w:t>
            </w:r>
          </w:p>
        </w:tc>
        <w:tc>
          <w:tcPr>
            <w:tcW w:w="850"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+3,7</w:t>
            </w:r>
          </w:p>
        </w:tc>
        <w:tc>
          <w:tcPr>
            <w:tcW w:w="852"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+3,5</w:t>
            </w:r>
          </w:p>
        </w:tc>
        <w:tc>
          <w:tcPr>
            <w:tcW w:w="736"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+3,1</w:t>
            </w:r>
          </w:p>
        </w:tc>
        <w:tc>
          <w:tcPr>
            <w:tcW w:w="709" w:type="dxa"/>
            <w:shd w:val="clear" w:color="auto" w:fill="D9D9D9" w:themeFill="background1" w:themeFillShade="D9"/>
            <w:vAlign w:val="center"/>
          </w:tcPr>
          <w:p w:rsidR="00B5768D" w:rsidRPr="00A376E5" w:rsidRDefault="00B5768D" w:rsidP="00B5768D">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1,4</w:t>
            </w:r>
          </w:p>
        </w:tc>
      </w:tr>
      <w:tr w:rsidR="00B5768D" w:rsidRPr="00C8504B" w:rsidTr="00F54307">
        <w:trPr>
          <w:trHeight w:val="255"/>
        </w:trPr>
        <w:tc>
          <w:tcPr>
            <w:tcW w:w="4111" w:type="dxa"/>
            <w:vAlign w:val="center"/>
          </w:tcPr>
          <w:p w:rsidR="00B5768D" w:rsidRPr="00C8504B" w:rsidRDefault="00B5768D" w:rsidP="00B5768D">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alle comunicazioni</w:t>
            </w:r>
          </w:p>
        </w:tc>
        <w:tc>
          <w:tcPr>
            <w:tcW w:w="937" w:type="dxa"/>
            <w:shd w:val="clear" w:color="auto" w:fill="D9D9D9"/>
            <w:vAlign w:val="bottom"/>
          </w:tcPr>
          <w:p w:rsidR="00B5768D" w:rsidRPr="001F7C26" w:rsidRDefault="00B5768D" w:rsidP="00B5768D">
            <w:pPr>
              <w:spacing w:before="40" w:after="20"/>
              <w:ind w:left="-68" w:right="57"/>
              <w:jc w:val="right"/>
              <w:rPr>
                <w:rFonts w:ascii="Arial Narrow" w:hAnsi="Arial Narrow" w:cs="Arial"/>
                <w:sz w:val="18"/>
                <w:szCs w:val="18"/>
              </w:rPr>
            </w:pPr>
            <w:r w:rsidRPr="001F7C26">
              <w:rPr>
                <w:rFonts w:ascii="Arial Narrow" w:hAnsi="Arial Narrow" w:cs="Arial"/>
                <w:sz w:val="18"/>
                <w:szCs w:val="18"/>
              </w:rPr>
              <w:t>16.673</w:t>
            </w:r>
          </w:p>
        </w:tc>
        <w:tc>
          <w:tcPr>
            <w:tcW w:w="935"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0,0</w:t>
            </w:r>
          </w:p>
        </w:tc>
        <w:tc>
          <w:tcPr>
            <w:tcW w:w="935"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+0,4</w:t>
            </w:r>
          </w:p>
        </w:tc>
        <w:tc>
          <w:tcPr>
            <w:tcW w:w="850"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-0,1</w:t>
            </w:r>
          </w:p>
        </w:tc>
        <w:tc>
          <w:tcPr>
            <w:tcW w:w="852"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+0,3</w:t>
            </w:r>
          </w:p>
        </w:tc>
        <w:tc>
          <w:tcPr>
            <w:tcW w:w="736"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+0,5</w:t>
            </w:r>
          </w:p>
        </w:tc>
        <w:tc>
          <w:tcPr>
            <w:tcW w:w="709" w:type="dxa"/>
            <w:shd w:val="clear" w:color="auto" w:fill="D9D9D9" w:themeFill="background1" w:themeFillShade="D9"/>
            <w:vAlign w:val="center"/>
          </w:tcPr>
          <w:p w:rsidR="00B5768D" w:rsidRPr="00A376E5" w:rsidRDefault="00B5768D" w:rsidP="00B5768D">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0,1</w:t>
            </w:r>
          </w:p>
        </w:tc>
      </w:tr>
      <w:tr w:rsidR="00B5768D" w:rsidRPr="00C8504B" w:rsidTr="00F54307">
        <w:trPr>
          <w:trHeight w:val="255"/>
        </w:trPr>
        <w:tc>
          <w:tcPr>
            <w:tcW w:w="4111" w:type="dxa"/>
            <w:vAlign w:val="center"/>
          </w:tcPr>
          <w:p w:rsidR="00B5768D" w:rsidRPr="00C8504B" w:rsidRDefault="00B5768D" w:rsidP="00B5768D">
            <w:pPr>
              <w:tabs>
                <w:tab w:val="left" w:pos="290"/>
              </w:tabs>
              <w:spacing w:before="40" w:after="20"/>
              <w:ind w:left="-68"/>
              <w:rPr>
                <w:rFonts w:ascii="Arial Narrow" w:hAnsi="Arial Narrow" w:cs="Arial"/>
                <w:bCs/>
                <w:sz w:val="18"/>
                <w:szCs w:val="18"/>
              </w:rPr>
            </w:pPr>
            <w:r w:rsidRPr="00C8504B">
              <w:rPr>
                <w:rFonts w:ascii="Arial Narrow" w:hAnsi="Arial Narrow" w:cs="Arial"/>
                <w:bCs/>
                <w:sz w:val="18"/>
                <w:szCs w:val="18"/>
              </w:rPr>
              <w:t>Servizi ricreativi, culturali e per la cura della persona</w:t>
            </w:r>
          </w:p>
        </w:tc>
        <w:tc>
          <w:tcPr>
            <w:tcW w:w="937" w:type="dxa"/>
            <w:shd w:val="clear" w:color="auto" w:fill="D9D9D9"/>
            <w:vAlign w:val="bottom"/>
          </w:tcPr>
          <w:p w:rsidR="00B5768D" w:rsidRPr="001F7C26" w:rsidRDefault="00B5768D" w:rsidP="00B5768D">
            <w:pPr>
              <w:spacing w:before="40" w:after="20"/>
              <w:ind w:left="-68" w:right="57"/>
              <w:jc w:val="right"/>
              <w:rPr>
                <w:rFonts w:ascii="Arial Narrow" w:hAnsi="Arial Narrow" w:cs="Arial"/>
                <w:sz w:val="18"/>
                <w:szCs w:val="18"/>
              </w:rPr>
            </w:pPr>
            <w:r w:rsidRPr="001F7C26">
              <w:rPr>
                <w:rFonts w:ascii="Arial Narrow" w:hAnsi="Arial Narrow" w:cs="Arial"/>
                <w:sz w:val="18"/>
                <w:szCs w:val="18"/>
              </w:rPr>
              <w:t>146.543</w:t>
            </w:r>
          </w:p>
        </w:tc>
        <w:tc>
          <w:tcPr>
            <w:tcW w:w="935"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+0,5</w:t>
            </w:r>
          </w:p>
        </w:tc>
        <w:tc>
          <w:tcPr>
            <w:tcW w:w="935"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+1,6</w:t>
            </w:r>
          </w:p>
        </w:tc>
        <w:tc>
          <w:tcPr>
            <w:tcW w:w="850"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+4,1</w:t>
            </w:r>
          </w:p>
        </w:tc>
        <w:tc>
          <w:tcPr>
            <w:tcW w:w="852"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+5,2</w:t>
            </w:r>
          </w:p>
        </w:tc>
        <w:tc>
          <w:tcPr>
            <w:tcW w:w="736"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+6,5</w:t>
            </w:r>
          </w:p>
        </w:tc>
        <w:tc>
          <w:tcPr>
            <w:tcW w:w="709" w:type="dxa"/>
            <w:shd w:val="clear" w:color="auto" w:fill="D9D9D9" w:themeFill="background1" w:themeFillShade="D9"/>
            <w:vAlign w:val="center"/>
          </w:tcPr>
          <w:p w:rsidR="00B5768D" w:rsidRPr="00A376E5" w:rsidRDefault="00B5768D" w:rsidP="00B5768D">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5,1</w:t>
            </w:r>
          </w:p>
        </w:tc>
      </w:tr>
      <w:tr w:rsidR="00B5768D" w:rsidRPr="00C8504B" w:rsidTr="00F54307">
        <w:trPr>
          <w:trHeight w:val="255"/>
        </w:trPr>
        <w:tc>
          <w:tcPr>
            <w:tcW w:w="4111" w:type="dxa"/>
            <w:vAlign w:val="center"/>
          </w:tcPr>
          <w:p w:rsidR="00B5768D" w:rsidRPr="00C8504B" w:rsidRDefault="00B5768D" w:rsidP="00B5768D">
            <w:pPr>
              <w:spacing w:before="40" w:after="20"/>
              <w:ind w:left="-68"/>
              <w:rPr>
                <w:rFonts w:ascii="Arial Narrow" w:hAnsi="Arial Narrow" w:cs="Arial"/>
                <w:bCs/>
                <w:sz w:val="18"/>
                <w:szCs w:val="18"/>
              </w:rPr>
            </w:pPr>
            <w:r w:rsidRPr="00C8504B">
              <w:rPr>
                <w:rFonts w:ascii="Arial Narrow" w:hAnsi="Arial Narrow" w:cs="Arial"/>
                <w:bCs/>
                <w:sz w:val="18"/>
                <w:szCs w:val="18"/>
              </w:rPr>
              <w:t>Servizi relativi ai trasporti</w:t>
            </w:r>
          </w:p>
        </w:tc>
        <w:tc>
          <w:tcPr>
            <w:tcW w:w="937" w:type="dxa"/>
            <w:shd w:val="clear" w:color="auto" w:fill="D9D9D9"/>
            <w:vAlign w:val="bottom"/>
          </w:tcPr>
          <w:p w:rsidR="00B5768D" w:rsidRPr="001F7C26" w:rsidRDefault="00B5768D" w:rsidP="00B5768D">
            <w:pPr>
              <w:spacing w:before="40" w:after="20"/>
              <w:ind w:left="-68" w:right="57"/>
              <w:jc w:val="right"/>
              <w:rPr>
                <w:rFonts w:ascii="Arial Narrow" w:hAnsi="Arial Narrow" w:cs="Arial"/>
                <w:sz w:val="18"/>
                <w:szCs w:val="18"/>
              </w:rPr>
            </w:pPr>
            <w:r w:rsidRPr="001F7C26">
              <w:rPr>
                <w:rFonts w:ascii="Arial Narrow" w:hAnsi="Arial Narrow" w:cs="Arial"/>
                <w:sz w:val="18"/>
                <w:szCs w:val="18"/>
              </w:rPr>
              <w:t>69.587</w:t>
            </w:r>
          </w:p>
        </w:tc>
        <w:tc>
          <w:tcPr>
            <w:tcW w:w="935"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+1,3</w:t>
            </w:r>
          </w:p>
        </w:tc>
        <w:tc>
          <w:tcPr>
            <w:tcW w:w="935"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+1,1</w:t>
            </w:r>
          </w:p>
        </w:tc>
        <w:tc>
          <w:tcPr>
            <w:tcW w:w="850"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+3,6</w:t>
            </w:r>
          </w:p>
        </w:tc>
        <w:tc>
          <w:tcPr>
            <w:tcW w:w="852"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+3,5</w:t>
            </w:r>
          </w:p>
        </w:tc>
        <w:tc>
          <w:tcPr>
            <w:tcW w:w="736"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+4,5</w:t>
            </w:r>
          </w:p>
        </w:tc>
        <w:tc>
          <w:tcPr>
            <w:tcW w:w="709" w:type="dxa"/>
            <w:shd w:val="clear" w:color="auto" w:fill="D9D9D9" w:themeFill="background1" w:themeFillShade="D9"/>
            <w:vAlign w:val="center"/>
          </w:tcPr>
          <w:p w:rsidR="00B5768D" w:rsidRPr="00A376E5" w:rsidRDefault="00B5768D" w:rsidP="00B5768D">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5,5</w:t>
            </w:r>
          </w:p>
        </w:tc>
      </w:tr>
      <w:tr w:rsidR="00B5768D" w:rsidRPr="00C8504B" w:rsidTr="00F54307">
        <w:trPr>
          <w:trHeight w:val="255"/>
        </w:trPr>
        <w:tc>
          <w:tcPr>
            <w:tcW w:w="4111" w:type="dxa"/>
            <w:vAlign w:val="center"/>
          </w:tcPr>
          <w:p w:rsidR="00B5768D" w:rsidRPr="00C8504B" w:rsidRDefault="00B5768D" w:rsidP="00B5768D">
            <w:pPr>
              <w:spacing w:before="40" w:after="20"/>
              <w:ind w:left="-68"/>
              <w:rPr>
                <w:rFonts w:ascii="Arial Narrow" w:hAnsi="Arial Narrow" w:cs="Arial"/>
                <w:bCs/>
                <w:sz w:val="18"/>
                <w:szCs w:val="18"/>
              </w:rPr>
            </w:pPr>
            <w:r w:rsidRPr="00C8504B">
              <w:rPr>
                <w:rFonts w:ascii="Arial Narrow" w:hAnsi="Arial Narrow" w:cs="Arial"/>
                <w:bCs/>
                <w:sz w:val="18"/>
                <w:szCs w:val="18"/>
              </w:rPr>
              <w:t>Servizi vari</w:t>
            </w:r>
          </w:p>
        </w:tc>
        <w:tc>
          <w:tcPr>
            <w:tcW w:w="937" w:type="dxa"/>
            <w:shd w:val="clear" w:color="auto" w:fill="D9D9D9"/>
            <w:vAlign w:val="bottom"/>
          </w:tcPr>
          <w:p w:rsidR="00B5768D" w:rsidRPr="001F7C26" w:rsidRDefault="00B5768D" w:rsidP="00B5768D">
            <w:pPr>
              <w:spacing w:before="40" w:after="20"/>
              <w:ind w:left="-68" w:right="57"/>
              <w:jc w:val="right"/>
              <w:rPr>
                <w:rFonts w:ascii="Arial Narrow" w:hAnsi="Arial Narrow" w:cs="Arial"/>
                <w:sz w:val="18"/>
                <w:szCs w:val="18"/>
              </w:rPr>
            </w:pPr>
            <w:r w:rsidRPr="001F7C26">
              <w:rPr>
                <w:rFonts w:ascii="Arial Narrow" w:hAnsi="Arial Narrow" w:cs="Arial"/>
                <w:sz w:val="18"/>
                <w:szCs w:val="18"/>
              </w:rPr>
              <w:t>78.746</w:t>
            </w:r>
          </w:p>
        </w:tc>
        <w:tc>
          <w:tcPr>
            <w:tcW w:w="935"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0,0</w:t>
            </w:r>
          </w:p>
        </w:tc>
        <w:tc>
          <w:tcPr>
            <w:tcW w:w="935"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+0,2</w:t>
            </w:r>
          </w:p>
        </w:tc>
        <w:tc>
          <w:tcPr>
            <w:tcW w:w="850"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+3,0</w:t>
            </w:r>
          </w:p>
        </w:tc>
        <w:tc>
          <w:tcPr>
            <w:tcW w:w="852"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+3,2</w:t>
            </w:r>
          </w:p>
        </w:tc>
        <w:tc>
          <w:tcPr>
            <w:tcW w:w="736"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+3,2</w:t>
            </w:r>
          </w:p>
        </w:tc>
        <w:tc>
          <w:tcPr>
            <w:tcW w:w="709" w:type="dxa"/>
            <w:shd w:val="clear" w:color="auto" w:fill="D9D9D9" w:themeFill="background1" w:themeFillShade="D9"/>
            <w:vAlign w:val="center"/>
          </w:tcPr>
          <w:p w:rsidR="00B5768D" w:rsidRPr="00A376E5" w:rsidRDefault="00B5768D" w:rsidP="00B5768D">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1,7</w:t>
            </w:r>
          </w:p>
        </w:tc>
      </w:tr>
      <w:tr w:rsidR="00B5768D" w:rsidRPr="000B3365" w:rsidTr="00F54307">
        <w:trPr>
          <w:trHeight w:val="255"/>
        </w:trPr>
        <w:tc>
          <w:tcPr>
            <w:tcW w:w="4111" w:type="dxa"/>
            <w:shd w:val="clear" w:color="auto" w:fill="808080"/>
            <w:vAlign w:val="center"/>
          </w:tcPr>
          <w:p w:rsidR="00B5768D" w:rsidRPr="00C8504B" w:rsidRDefault="00B5768D" w:rsidP="00B5768D">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Servizi</w:t>
            </w:r>
          </w:p>
        </w:tc>
        <w:tc>
          <w:tcPr>
            <w:tcW w:w="937" w:type="dxa"/>
            <w:shd w:val="clear" w:color="auto" w:fill="808080"/>
            <w:vAlign w:val="bottom"/>
          </w:tcPr>
          <w:p w:rsidR="00B5768D" w:rsidRPr="001F7C26" w:rsidRDefault="00B5768D" w:rsidP="00B5768D">
            <w:pPr>
              <w:spacing w:before="40" w:after="20"/>
              <w:ind w:left="-68" w:right="57"/>
              <w:jc w:val="right"/>
              <w:rPr>
                <w:rFonts w:ascii="Arial Narrow" w:hAnsi="Arial Narrow" w:cs="Arial"/>
                <w:b/>
                <w:sz w:val="18"/>
                <w:szCs w:val="18"/>
              </w:rPr>
            </w:pPr>
            <w:r w:rsidRPr="001F7C26">
              <w:rPr>
                <w:rFonts w:ascii="Arial Narrow" w:hAnsi="Arial Narrow" w:cs="Arial"/>
                <w:b/>
                <w:color w:val="FFFFFF" w:themeColor="background1"/>
                <w:sz w:val="18"/>
                <w:szCs w:val="18"/>
              </w:rPr>
              <w:t>389.992</w:t>
            </w:r>
          </w:p>
        </w:tc>
        <w:tc>
          <w:tcPr>
            <w:tcW w:w="935" w:type="dxa"/>
            <w:shd w:val="clear" w:color="auto" w:fill="808080"/>
            <w:vAlign w:val="center"/>
          </w:tcPr>
          <w:p w:rsidR="00B5768D" w:rsidRPr="00B5768D" w:rsidRDefault="00B5768D" w:rsidP="00B5768D">
            <w:pPr>
              <w:spacing w:before="40" w:after="20"/>
              <w:ind w:left="-68" w:right="57"/>
              <w:jc w:val="right"/>
              <w:rPr>
                <w:rFonts w:ascii="Arial Narrow" w:hAnsi="Arial Narrow" w:cs="Arial"/>
                <w:b/>
                <w:color w:val="FFFFFF" w:themeColor="background1"/>
                <w:sz w:val="18"/>
                <w:szCs w:val="18"/>
              </w:rPr>
            </w:pPr>
            <w:r w:rsidRPr="00B5768D">
              <w:rPr>
                <w:rFonts w:ascii="Arial Narrow" w:hAnsi="Arial Narrow" w:cs="Arial"/>
                <w:b/>
                <w:color w:val="FFFFFF" w:themeColor="background1"/>
                <w:sz w:val="18"/>
                <w:szCs w:val="18"/>
              </w:rPr>
              <w:t>+0,5</w:t>
            </w:r>
          </w:p>
        </w:tc>
        <w:tc>
          <w:tcPr>
            <w:tcW w:w="935" w:type="dxa"/>
            <w:gridSpan w:val="2"/>
            <w:shd w:val="clear" w:color="auto" w:fill="808080"/>
            <w:vAlign w:val="center"/>
          </w:tcPr>
          <w:p w:rsidR="00B5768D" w:rsidRPr="00B5768D" w:rsidRDefault="00B5768D" w:rsidP="00B5768D">
            <w:pPr>
              <w:spacing w:before="40" w:after="20"/>
              <w:ind w:left="-68" w:right="57"/>
              <w:jc w:val="right"/>
              <w:rPr>
                <w:rFonts w:ascii="Arial Narrow" w:hAnsi="Arial Narrow" w:cs="Arial"/>
                <w:b/>
                <w:color w:val="FFFFFF" w:themeColor="background1"/>
                <w:sz w:val="18"/>
                <w:szCs w:val="18"/>
              </w:rPr>
            </w:pPr>
            <w:r w:rsidRPr="00B5768D">
              <w:rPr>
                <w:rFonts w:ascii="Arial Narrow" w:hAnsi="Arial Narrow" w:cs="Arial"/>
                <w:b/>
                <w:color w:val="FFFFFF" w:themeColor="background1"/>
                <w:sz w:val="18"/>
                <w:szCs w:val="18"/>
              </w:rPr>
              <w:t>+0,8</w:t>
            </w:r>
          </w:p>
        </w:tc>
        <w:tc>
          <w:tcPr>
            <w:tcW w:w="850" w:type="dxa"/>
            <w:shd w:val="clear" w:color="auto" w:fill="808080"/>
            <w:vAlign w:val="center"/>
          </w:tcPr>
          <w:p w:rsidR="00B5768D" w:rsidRPr="00B5768D" w:rsidRDefault="00B5768D" w:rsidP="00B5768D">
            <w:pPr>
              <w:spacing w:before="40" w:after="20"/>
              <w:ind w:left="-68" w:right="57"/>
              <w:jc w:val="right"/>
              <w:rPr>
                <w:rFonts w:ascii="Arial Narrow" w:hAnsi="Arial Narrow" w:cs="Arial"/>
                <w:b/>
                <w:color w:val="FFFFFF" w:themeColor="background1"/>
                <w:sz w:val="18"/>
                <w:szCs w:val="18"/>
              </w:rPr>
            </w:pPr>
            <w:r w:rsidRPr="00B5768D">
              <w:rPr>
                <w:rFonts w:ascii="Arial Narrow" w:hAnsi="Arial Narrow" w:cs="Arial"/>
                <w:b/>
                <w:color w:val="FFFFFF" w:themeColor="background1"/>
                <w:sz w:val="18"/>
                <w:szCs w:val="18"/>
              </w:rPr>
              <w:t>+3,5</w:t>
            </w:r>
          </w:p>
        </w:tc>
        <w:tc>
          <w:tcPr>
            <w:tcW w:w="852" w:type="dxa"/>
            <w:gridSpan w:val="2"/>
            <w:shd w:val="clear" w:color="auto" w:fill="808080"/>
            <w:vAlign w:val="center"/>
          </w:tcPr>
          <w:p w:rsidR="00B5768D" w:rsidRPr="00B5768D" w:rsidRDefault="00B5768D" w:rsidP="00B5768D">
            <w:pPr>
              <w:spacing w:before="40" w:after="20"/>
              <w:ind w:left="-68" w:right="57"/>
              <w:jc w:val="right"/>
              <w:rPr>
                <w:rFonts w:ascii="Arial Narrow" w:hAnsi="Arial Narrow" w:cs="Arial"/>
                <w:b/>
                <w:color w:val="FFFFFF" w:themeColor="background1"/>
                <w:sz w:val="18"/>
                <w:szCs w:val="18"/>
              </w:rPr>
            </w:pPr>
            <w:r w:rsidRPr="00B5768D">
              <w:rPr>
                <w:rFonts w:ascii="Arial Narrow" w:hAnsi="Arial Narrow" w:cs="Arial"/>
                <w:b/>
                <w:color w:val="FFFFFF" w:themeColor="background1"/>
                <w:sz w:val="18"/>
                <w:szCs w:val="18"/>
              </w:rPr>
              <w:t>+3,8</w:t>
            </w:r>
          </w:p>
        </w:tc>
        <w:tc>
          <w:tcPr>
            <w:tcW w:w="736" w:type="dxa"/>
            <w:shd w:val="clear" w:color="auto" w:fill="808080"/>
            <w:vAlign w:val="center"/>
          </w:tcPr>
          <w:p w:rsidR="00B5768D" w:rsidRPr="00B5768D" w:rsidRDefault="00B5768D" w:rsidP="00B5768D">
            <w:pPr>
              <w:spacing w:before="40" w:after="20"/>
              <w:ind w:left="-68" w:right="57"/>
              <w:jc w:val="right"/>
              <w:rPr>
                <w:rFonts w:ascii="Arial Narrow" w:hAnsi="Arial Narrow" w:cs="Arial"/>
                <w:b/>
                <w:color w:val="FFFFFF" w:themeColor="background1"/>
                <w:sz w:val="18"/>
                <w:szCs w:val="18"/>
              </w:rPr>
            </w:pPr>
            <w:r w:rsidRPr="00B5768D">
              <w:rPr>
                <w:rFonts w:ascii="Arial Narrow" w:hAnsi="Arial Narrow" w:cs="Arial"/>
                <w:b/>
                <w:color w:val="FFFFFF" w:themeColor="background1"/>
                <w:sz w:val="18"/>
                <w:szCs w:val="18"/>
              </w:rPr>
              <w:t>+4,5</w:t>
            </w:r>
          </w:p>
        </w:tc>
        <w:tc>
          <w:tcPr>
            <w:tcW w:w="709" w:type="dxa"/>
            <w:shd w:val="clear" w:color="auto" w:fill="808080"/>
            <w:vAlign w:val="center"/>
          </w:tcPr>
          <w:p w:rsidR="00B5768D" w:rsidRPr="00A376E5" w:rsidRDefault="00B5768D" w:rsidP="00B5768D">
            <w:pPr>
              <w:widowControl/>
              <w:overflowPunct/>
              <w:autoSpaceDE/>
              <w:autoSpaceDN/>
              <w:adjustRightInd/>
              <w:spacing w:before="40" w:after="20"/>
              <w:ind w:right="57"/>
              <w:jc w:val="right"/>
              <w:rPr>
                <w:rFonts w:ascii="Arial Narrow" w:hAnsi="Arial Narrow" w:cs="Arial"/>
                <w:b/>
                <w:color w:val="FFFFFF" w:themeColor="background1"/>
                <w:kern w:val="0"/>
                <w:sz w:val="18"/>
                <w:szCs w:val="18"/>
              </w:rPr>
            </w:pPr>
            <w:r>
              <w:rPr>
                <w:rFonts w:ascii="Arial Narrow" w:hAnsi="Arial Narrow" w:cs="Arial"/>
                <w:b/>
                <w:color w:val="FFFFFF" w:themeColor="background1"/>
                <w:kern w:val="0"/>
                <w:sz w:val="18"/>
                <w:szCs w:val="18"/>
              </w:rPr>
              <w:t>+</w:t>
            </w:r>
            <w:r w:rsidRPr="00A376E5">
              <w:rPr>
                <w:rFonts w:ascii="Arial Narrow" w:hAnsi="Arial Narrow" w:cs="Arial"/>
                <w:b/>
                <w:color w:val="FFFFFF" w:themeColor="background1"/>
                <w:kern w:val="0"/>
                <w:sz w:val="18"/>
                <w:szCs w:val="18"/>
              </w:rPr>
              <w:t>3,4</w:t>
            </w:r>
          </w:p>
        </w:tc>
      </w:tr>
      <w:tr w:rsidR="00B5768D" w:rsidRPr="000B3365" w:rsidTr="00F54307">
        <w:trPr>
          <w:trHeight w:val="255"/>
        </w:trPr>
        <w:tc>
          <w:tcPr>
            <w:tcW w:w="4111" w:type="dxa"/>
            <w:shd w:val="clear" w:color="auto" w:fill="E42618"/>
            <w:vAlign w:val="center"/>
          </w:tcPr>
          <w:p w:rsidR="00B5768D" w:rsidRPr="00C8504B" w:rsidRDefault="00B5768D" w:rsidP="00B5768D">
            <w:pPr>
              <w:spacing w:before="40" w:after="20"/>
              <w:rPr>
                <w:rFonts w:ascii="Arial Narrow" w:hAnsi="Arial Narrow" w:cs="Arial"/>
                <w:b/>
                <w:bCs/>
                <w:color w:val="FFFFFF"/>
                <w:sz w:val="18"/>
                <w:szCs w:val="18"/>
              </w:rPr>
            </w:pPr>
            <w:r w:rsidRPr="00C8504B">
              <w:rPr>
                <w:rFonts w:ascii="Arial Narrow" w:hAnsi="Arial Narrow" w:cs="Arial"/>
                <w:b/>
                <w:bCs/>
                <w:color w:val="FFFFFF"/>
                <w:sz w:val="18"/>
                <w:szCs w:val="18"/>
              </w:rPr>
              <w:t>Indice generale</w:t>
            </w:r>
          </w:p>
        </w:tc>
        <w:tc>
          <w:tcPr>
            <w:tcW w:w="937" w:type="dxa"/>
            <w:shd w:val="clear" w:color="auto" w:fill="E42618"/>
            <w:vAlign w:val="bottom"/>
          </w:tcPr>
          <w:p w:rsidR="00B5768D" w:rsidRPr="001F7C26" w:rsidRDefault="00B5768D" w:rsidP="00B5768D">
            <w:pPr>
              <w:spacing w:before="40" w:after="20"/>
              <w:ind w:left="-68" w:right="57"/>
              <w:jc w:val="right"/>
              <w:rPr>
                <w:rFonts w:ascii="Arial Narrow" w:hAnsi="Arial Narrow" w:cs="Arial"/>
                <w:b/>
                <w:sz w:val="18"/>
                <w:szCs w:val="18"/>
              </w:rPr>
            </w:pPr>
            <w:r w:rsidRPr="001F7C26">
              <w:rPr>
                <w:rFonts w:ascii="Arial Narrow" w:hAnsi="Arial Narrow" w:cs="Arial"/>
                <w:b/>
                <w:color w:val="FFFFFF" w:themeColor="background1"/>
                <w:sz w:val="18"/>
                <w:szCs w:val="18"/>
              </w:rPr>
              <w:t>1.000.000</w:t>
            </w:r>
          </w:p>
        </w:tc>
        <w:tc>
          <w:tcPr>
            <w:tcW w:w="935" w:type="dxa"/>
            <w:shd w:val="clear" w:color="auto" w:fill="E42618"/>
            <w:vAlign w:val="center"/>
          </w:tcPr>
          <w:p w:rsidR="00B5768D" w:rsidRPr="00B5768D" w:rsidRDefault="00B5768D" w:rsidP="00B5768D">
            <w:pPr>
              <w:spacing w:before="40" w:after="20"/>
              <w:ind w:left="-68" w:right="57"/>
              <w:jc w:val="right"/>
              <w:rPr>
                <w:rFonts w:ascii="Arial Narrow" w:hAnsi="Arial Narrow" w:cs="Arial"/>
                <w:b/>
                <w:color w:val="FFFFFF" w:themeColor="background1"/>
                <w:sz w:val="18"/>
                <w:szCs w:val="18"/>
              </w:rPr>
            </w:pPr>
            <w:r w:rsidRPr="00B5768D">
              <w:rPr>
                <w:rFonts w:ascii="Arial Narrow" w:hAnsi="Arial Narrow" w:cs="Arial"/>
                <w:b/>
                <w:color w:val="FFFFFF" w:themeColor="background1"/>
                <w:sz w:val="18"/>
                <w:szCs w:val="18"/>
              </w:rPr>
              <w:t>+0,2</w:t>
            </w:r>
          </w:p>
        </w:tc>
        <w:tc>
          <w:tcPr>
            <w:tcW w:w="935" w:type="dxa"/>
            <w:gridSpan w:val="2"/>
            <w:shd w:val="clear" w:color="auto" w:fill="E42618"/>
            <w:vAlign w:val="center"/>
          </w:tcPr>
          <w:p w:rsidR="00B5768D" w:rsidRPr="00B5768D" w:rsidRDefault="00B5768D" w:rsidP="00B5768D">
            <w:pPr>
              <w:spacing w:before="40" w:after="20"/>
              <w:ind w:left="-68" w:right="57"/>
              <w:jc w:val="right"/>
              <w:rPr>
                <w:rFonts w:ascii="Arial Narrow" w:hAnsi="Arial Narrow" w:cs="Arial"/>
                <w:b/>
                <w:color w:val="FFFFFF" w:themeColor="background1"/>
                <w:sz w:val="18"/>
                <w:szCs w:val="18"/>
              </w:rPr>
            </w:pPr>
            <w:r w:rsidRPr="00B5768D">
              <w:rPr>
                <w:rFonts w:ascii="Arial Narrow" w:hAnsi="Arial Narrow" w:cs="Arial"/>
                <w:b/>
                <w:color w:val="FFFFFF" w:themeColor="background1"/>
                <w:sz w:val="18"/>
                <w:szCs w:val="18"/>
              </w:rPr>
              <w:t>+0,2</w:t>
            </w:r>
          </w:p>
        </w:tc>
        <w:tc>
          <w:tcPr>
            <w:tcW w:w="850" w:type="dxa"/>
            <w:shd w:val="clear" w:color="auto" w:fill="E42618"/>
            <w:vAlign w:val="center"/>
          </w:tcPr>
          <w:p w:rsidR="00B5768D" w:rsidRPr="00B5768D" w:rsidRDefault="00B5768D" w:rsidP="00B5768D">
            <w:pPr>
              <w:spacing w:before="40" w:after="20"/>
              <w:ind w:left="-68" w:right="57"/>
              <w:jc w:val="right"/>
              <w:rPr>
                <w:rFonts w:ascii="Arial Narrow" w:hAnsi="Arial Narrow" w:cs="Arial"/>
                <w:b/>
                <w:color w:val="FFFFFF" w:themeColor="background1"/>
                <w:sz w:val="18"/>
                <w:szCs w:val="18"/>
              </w:rPr>
            </w:pPr>
            <w:r w:rsidRPr="00B5768D">
              <w:rPr>
                <w:rFonts w:ascii="Arial Narrow" w:hAnsi="Arial Narrow" w:cs="Arial"/>
                <w:b/>
                <w:color w:val="FFFFFF" w:themeColor="background1"/>
                <w:sz w:val="18"/>
                <w:szCs w:val="18"/>
              </w:rPr>
              <w:t>+0,5</w:t>
            </w:r>
          </w:p>
        </w:tc>
        <w:tc>
          <w:tcPr>
            <w:tcW w:w="852" w:type="dxa"/>
            <w:gridSpan w:val="2"/>
            <w:shd w:val="clear" w:color="auto" w:fill="E42618"/>
            <w:vAlign w:val="center"/>
          </w:tcPr>
          <w:p w:rsidR="00B5768D" w:rsidRPr="00B5768D" w:rsidRDefault="00B5768D" w:rsidP="00B5768D">
            <w:pPr>
              <w:spacing w:before="40" w:after="20"/>
              <w:ind w:left="-68" w:right="57"/>
              <w:jc w:val="right"/>
              <w:rPr>
                <w:rFonts w:ascii="Arial Narrow" w:hAnsi="Arial Narrow" w:cs="Arial"/>
                <w:b/>
                <w:color w:val="FFFFFF" w:themeColor="background1"/>
                <w:sz w:val="18"/>
                <w:szCs w:val="18"/>
              </w:rPr>
            </w:pPr>
            <w:r w:rsidRPr="00B5768D">
              <w:rPr>
                <w:rFonts w:ascii="Arial Narrow" w:hAnsi="Arial Narrow" w:cs="Arial"/>
                <w:b/>
                <w:color w:val="FFFFFF" w:themeColor="background1"/>
                <w:sz w:val="18"/>
                <w:szCs w:val="18"/>
              </w:rPr>
              <w:t>+0,6</w:t>
            </w:r>
          </w:p>
        </w:tc>
        <w:tc>
          <w:tcPr>
            <w:tcW w:w="736" w:type="dxa"/>
            <w:shd w:val="clear" w:color="auto" w:fill="E42618"/>
            <w:vAlign w:val="center"/>
          </w:tcPr>
          <w:p w:rsidR="00B5768D" w:rsidRPr="00B5768D" w:rsidRDefault="00B5768D" w:rsidP="00B5768D">
            <w:pPr>
              <w:spacing w:before="40" w:after="20"/>
              <w:ind w:left="-68" w:right="57"/>
              <w:jc w:val="right"/>
              <w:rPr>
                <w:rFonts w:ascii="Arial Narrow" w:hAnsi="Arial Narrow" w:cs="Arial"/>
                <w:b/>
                <w:color w:val="FFFFFF" w:themeColor="background1"/>
                <w:sz w:val="18"/>
                <w:szCs w:val="18"/>
              </w:rPr>
            </w:pPr>
            <w:r w:rsidRPr="00B5768D">
              <w:rPr>
                <w:rFonts w:ascii="Arial Narrow" w:hAnsi="Arial Narrow" w:cs="Arial"/>
                <w:b/>
                <w:color w:val="FFFFFF" w:themeColor="background1"/>
                <w:sz w:val="18"/>
                <w:szCs w:val="18"/>
              </w:rPr>
              <w:t>+5,9</w:t>
            </w:r>
          </w:p>
        </w:tc>
        <w:tc>
          <w:tcPr>
            <w:tcW w:w="709" w:type="dxa"/>
            <w:shd w:val="clear" w:color="auto" w:fill="E42618"/>
            <w:vAlign w:val="center"/>
          </w:tcPr>
          <w:p w:rsidR="00B5768D" w:rsidRPr="00A376E5" w:rsidRDefault="00B5768D" w:rsidP="00B5768D">
            <w:pPr>
              <w:widowControl/>
              <w:overflowPunct/>
              <w:autoSpaceDE/>
              <w:autoSpaceDN/>
              <w:adjustRightInd/>
              <w:spacing w:before="40" w:after="20"/>
              <w:ind w:right="57"/>
              <w:jc w:val="right"/>
              <w:rPr>
                <w:rFonts w:ascii="Arial Narrow" w:hAnsi="Arial Narrow" w:cs="Arial"/>
                <w:b/>
                <w:color w:val="FFFFFF" w:themeColor="background1"/>
                <w:kern w:val="0"/>
                <w:sz w:val="18"/>
                <w:szCs w:val="18"/>
              </w:rPr>
            </w:pPr>
            <w:r>
              <w:rPr>
                <w:rFonts w:ascii="Arial Narrow" w:hAnsi="Arial Narrow" w:cs="Arial"/>
                <w:b/>
                <w:color w:val="FFFFFF" w:themeColor="background1"/>
                <w:kern w:val="0"/>
                <w:sz w:val="18"/>
                <w:szCs w:val="18"/>
              </w:rPr>
              <w:t>+</w:t>
            </w:r>
            <w:r w:rsidRPr="00A376E5">
              <w:rPr>
                <w:rFonts w:ascii="Arial Narrow" w:hAnsi="Arial Narrow" w:cs="Arial"/>
                <w:b/>
                <w:color w:val="FFFFFF" w:themeColor="background1"/>
                <w:kern w:val="0"/>
                <w:sz w:val="18"/>
                <w:szCs w:val="18"/>
              </w:rPr>
              <w:t>8,7</w:t>
            </w:r>
          </w:p>
        </w:tc>
      </w:tr>
      <w:tr w:rsidR="00B5768D" w:rsidRPr="00C8504B" w:rsidTr="00BF791B">
        <w:trPr>
          <w:trHeight w:val="255"/>
        </w:trPr>
        <w:tc>
          <w:tcPr>
            <w:tcW w:w="4111" w:type="dxa"/>
            <w:vAlign w:val="center"/>
          </w:tcPr>
          <w:p w:rsidR="00B5768D" w:rsidRPr="00C8504B" w:rsidRDefault="00B5768D" w:rsidP="00B5768D">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dell’energia e degli alimentari freschi (Componente di fondo)</w:t>
            </w:r>
          </w:p>
        </w:tc>
        <w:tc>
          <w:tcPr>
            <w:tcW w:w="937" w:type="dxa"/>
            <w:shd w:val="clear" w:color="auto" w:fill="D9D9D9"/>
            <w:vAlign w:val="center"/>
          </w:tcPr>
          <w:p w:rsidR="00B5768D" w:rsidRPr="001F7C26" w:rsidRDefault="00B5768D" w:rsidP="00B5768D">
            <w:pPr>
              <w:spacing w:before="40" w:after="20"/>
              <w:ind w:left="-68" w:right="57"/>
              <w:jc w:val="right"/>
              <w:rPr>
                <w:rFonts w:ascii="Arial Narrow" w:hAnsi="Arial Narrow" w:cs="Arial"/>
                <w:sz w:val="18"/>
                <w:szCs w:val="18"/>
              </w:rPr>
            </w:pPr>
            <w:r w:rsidRPr="001F7C26">
              <w:rPr>
                <w:rFonts w:ascii="Arial Narrow" w:hAnsi="Arial Narrow" w:cs="Arial"/>
                <w:sz w:val="18"/>
                <w:szCs w:val="18"/>
              </w:rPr>
              <w:t>831.056</w:t>
            </w:r>
          </w:p>
        </w:tc>
        <w:tc>
          <w:tcPr>
            <w:tcW w:w="935"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+0,3</w:t>
            </w:r>
          </w:p>
        </w:tc>
        <w:tc>
          <w:tcPr>
            <w:tcW w:w="935"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+0,8</w:t>
            </w:r>
          </w:p>
        </w:tc>
        <w:tc>
          <w:tcPr>
            <w:tcW w:w="850"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+3,2</w:t>
            </w:r>
          </w:p>
        </w:tc>
        <w:tc>
          <w:tcPr>
            <w:tcW w:w="852"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+3,7</w:t>
            </w:r>
          </w:p>
        </w:tc>
        <w:tc>
          <w:tcPr>
            <w:tcW w:w="736"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+5,5</w:t>
            </w:r>
          </w:p>
        </w:tc>
        <w:tc>
          <w:tcPr>
            <w:tcW w:w="709" w:type="dxa"/>
            <w:shd w:val="clear" w:color="auto" w:fill="D9D9D9" w:themeFill="background1" w:themeFillShade="D9"/>
            <w:vAlign w:val="center"/>
          </w:tcPr>
          <w:p w:rsidR="00B5768D" w:rsidRPr="00A376E5" w:rsidRDefault="00B5768D" w:rsidP="00B5768D">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4</w:t>
            </w:r>
            <w:r>
              <w:rPr>
                <w:rFonts w:ascii="Arial Narrow" w:hAnsi="Arial Narrow" w:cs="Arial"/>
                <w:sz w:val="18"/>
                <w:szCs w:val="18"/>
              </w:rPr>
              <w:t>,0</w:t>
            </w:r>
          </w:p>
        </w:tc>
      </w:tr>
      <w:tr w:rsidR="00B5768D" w:rsidRPr="00C8504B" w:rsidTr="00BF791B">
        <w:trPr>
          <w:trHeight w:val="255"/>
        </w:trPr>
        <w:tc>
          <w:tcPr>
            <w:tcW w:w="4111" w:type="dxa"/>
            <w:vAlign w:val="center"/>
          </w:tcPr>
          <w:p w:rsidR="00B5768D" w:rsidRPr="00C8504B" w:rsidRDefault="00B5768D" w:rsidP="00B5768D">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dell’energia, degli alimentari (incluse bevande alcoliche) e tabacchi</w:t>
            </w:r>
          </w:p>
        </w:tc>
        <w:tc>
          <w:tcPr>
            <w:tcW w:w="937" w:type="dxa"/>
            <w:shd w:val="clear" w:color="auto" w:fill="D9D9D9"/>
            <w:vAlign w:val="center"/>
          </w:tcPr>
          <w:p w:rsidR="00B5768D" w:rsidRPr="001F7C26" w:rsidRDefault="00B5768D" w:rsidP="00B5768D">
            <w:pPr>
              <w:spacing w:before="40" w:after="20"/>
              <w:ind w:left="-68" w:right="57"/>
              <w:jc w:val="right"/>
              <w:rPr>
                <w:rFonts w:ascii="Arial Narrow" w:hAnsi="Arial Narrow" w:cs="Arial"/>
                <w:sz w:val="18"/>
                <w:szCs w:val="18"/>
              </w:rPr>
            </w:pPr>
            <w:r w:rsidRPr="001F7C26">
              <w:rPr>
                <w:rFonts w:ascii="Arial Narrow" w:hAnsi="Arial Narrow" w:cs="Arial"/>
                <w:sz w:val="18"/>
                <w:szCs w:val="18"/>
              </w:rPr>
              <w:t>680.400</w:t>
            </w:r>
          </w:p>
        </w:tc>
        <w:tc>
          <w:tcPr>
            <w:tcW w:w="935"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+0,4</w:t>
            </w:r>
          </w:p>
        </w:tc>
        <w:tc>
          <w:tcPr>
            <w:tcW w:w="935"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+0,7</w:t>
            </w:r>
          </w:p>
        </w:tc>
        <w:tc>
          <w:tcPr>
            <w:tcW w:w="850"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+3,0</w:t>
            </w:r>
          </w:p>
        </w:tc>
        <w:tc>
          <w:tcPr>
            <w:tcW w:w="852"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+3,3</w:t>
            </w:r>
          </w:p>
        </w:tc>
        <w:tc>
          <w:tcPr>
            <w:tcW w:w="736"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+4,5</w:t>
            </w:r>
          </w:p>
        </w:tc>
        <w:tc>
          <w:tcPr>
            <w:tcW w:w="709" w:type="dxa"/>
            <w:shd w:val="clear" w:color="auto" w:fill="D9D9D9" w:themeFill="background1" w:themeFillShade="D9"/>
            <w:vAlign w:val="center"/>
          </w:tcPr>
          <w:p w:rsidR="00B5768D" w:rsidRPr="00A376E5" w:rsidRDefault="00B5768D" w:rsidP="00B5768D">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3,3</w:t>
            </w:r>
          </w:p>
        </w:tc>
      </w:tr>
      <w:tr w:rsidR="00B5768D" w:rsidRPr="00C8504B" w:rsidTr="00BF791B">
        <w:trPr>
          <w:trHeight w:val="255"/>
        </w:trPr>
        <w:tc>
          <w:tcPr>
            <w:tcW w:w="4111" w:type="dxa"/>
            <w:vAlign w:val="center"/>
          </w:tcPr>
          <w:p w:rsidR="00B5768D" w:rsidRPr="00C8504B" w:rsidRDefault="00B5768D" w:rsidP="00B5768D">
            <w:pPr>
              <w:spacing w:before="40" w:after="20"/>
              <w:ind w:left="-68"/>
              <w:rPr>
                <w:rFonts w:ascii="Arial Narrow" w:hAnsi="Arial Narrow" w:cs="Arial"/>
                <w:bCs/>
                <w:sz w:val="18"/>
                <w:szCs w:val="18"/>
              </w:rPr>
            </w:pPr>
            <w:r w:rsidRPr="00C8504B">
              <w:rPr>
                <w:rFonts w:ascii="Arial Narrow" w:hAnsi="Arial Narrow" w:cs="Arial"/>
                <w:bCs/>
                <w:sz w:val="18"/>
                <w:szCs w:val="18"/>
              </w:rPr>
              <w:t>Indice generale al netto dell’energia</w:t>
            </w:r>
          </w:p>
        </w:tc>
        <w:tc>
          <w:tcPr>
            <w:tcW w:w="937" w:type="dxa"/>
            <w:shd w:val="clear" w:color="auto" w:fill="D9D9D9"/>
            <w:vAlign w:val="center"/>
          </w:tcPr>
          <w:p w:rsidR="00B5768D" w:rsidRPr="001F7C26" w:rsidRDefault="00B5768D" w:rsidP="00B5768D">
            <w:pPr>
              <w:spacing w:before="40" w:after="20"/>
              <w:ind w:left="-68" w:right="57"/>
              <w:jc w:val="right"/>
              <w:rPr>
                <w:rFonts w:ascii="Arial Narrow" w:hAnsi="Arial Narrow" w:cs="Arial"/>
                <w:sz w:val="18"/>
                <w:szCs w:val="18"/>
              </w:rPr>
            </w:pPr>
            <w:r w:rsidRPr="001F7C26">
              <w:rPr>
                <w:rFonts w:ascii="Arial Narrow" w:hAnsi="Arial Narrow" w:cs="Arial"/>
                <w:sz w:val="18"/>
                <w:szCs w:val="18"/>
              </w:rPr>
              <w:t>893.541</w:t>
            </w:r>
          </w:p>
        </w:tc>
        <w:tc>
          <w:tcPr>
            <w:tcW w:w="935"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+0,3</w:t>
            </w:r>
          </w:p>
        </w:tc>
        <w:tc>
          <w:tcPr>
            <w:tcW w:w="935"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+0,6</w:t>
            </w:r>
          </w:p>
        </w:tc>
        <w:tc>
          <w:tcPr>
            <w:tcW w:w="850"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+3,5</w:t>
            </w:r>
          </w:p>
        </w:tc>
        <w:tc>
          <w:tcPr>
            <w:tcW w:w="852" w:type="dxa"/>
            <w:gridSpan w:val="2"/>
            <w:shd w:val="clear" w:color="auto" w:fill="D9D9D9"/>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+3,8</w:t>
            </w:r>
          </w:p>
        </w:tc>
        <w:tc>
          <w:tcPr>
            <w:tcW w:w="736" w:type="dxa"/>
            <w:vAlign w:val="center"/>
          </w:tcPr>
          <w:p w:rsidR="00B5768D" w:rsidRPr="00B5768D" w:rsidRDefault="00B5768D" w:rsidP="00B5768D">
            <w:pPr>
              <w:spacing w:before="40" w:after="20"/>
              <w:ind w:left="-68" w:right="57"/>
              <w:jc w:val="right"/>
              <w:rPr>
                <w:rFonts w:ascii="Arial Narrow" w:hAnsi="Arial Narrow" w:cs="Arial"/>
                <w:sz w:val="18"/>
                <w:szCs w:val="18"/>
              </w:rPr>
            </w:pPr>
            <w:r w:rsidRPr="00B5768D">
              <w:rPr>
                <w:rFonts w:ascii="Arial Narrow" w:hAnsi="Arial Narrow" w:cs="Arial"/>
                <w:sz w:val="18"/>
                <w:szCs w:val="18"/>
              </w:rPr>
              <w:t>+5,7</w:t>
            </w:r>
          </w:p>
        </w:tc>
        <w:tc>
          <w:tcPr>
            <w:tcW w:w="709" w:type="dxa"/>
            <w:shd w:val="clear" w:color="auto" w:fill="D9D9D9" w:themeFill="background1" w:themeFillShade="D9"/>
            <w:vAlign w:val="center"/>
          </w:tcPr>
          <w:p w:rsidR="00B5768D" w:rsidRPr="00A376E5" w:rsidRDefault="00B5768D" w:rsidP="00B5768D">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4,5</w:t>
            </w:r>
          </w:p>
        </w:tc>
      </w:tr>
    </w:tbl>
    <w:p w:rsidR="00C9319B" w:rsidRPr="00CB5EB9" w:rsidRDefault="00C9319B" w:rsidP="00C9319B">
      <w:pPr>
        <w:spacing w:before="0" w:after="120"/>
        <w:jc w:val="both"/>
        <w:rPr>
          <w:rFonts w:ascii="Arial" w:hAnsi="Arial" w:cs="Arial"/>
          <w:sz w:val="21"/>
          <w:szCs w:val="21"/>
        </w:rPr>
      </w:pPr>
    </w:p>
    <w:p w:rsidR="002E15DD" w:rsidRPr="00C8504B" w:rsidRDefault="002E15DD" w:rsidP="00616DA2">
      <w:pPr>
        <w:widowControl/>
        <w:overflowPunct/>
        <w:autoSpaceDE/>
        <w:autoSpaceDN/>
        <w:adjustRightInd/>
        <w:spacing w:before="0" w:after="0"/>
        <w:jc w:val="both"/>
        <w:rPr>
          <w:rFonts w:ascii="Arial Narrow" w:hAnsi="Arial Narrow" w:cs="Arial"/>
          <w:color w:val="5F5F5F"/>
        </w:rPr>
      </w:pPr>
      <w:r w:rsidRPr="00C8504B">
        <w:rPr>
          <w:rFonts w:ascii="Arial Narrow" w:hAnsi="Arial Narrow" w:cs="Arial"/>
          <w:b/>
          <w:color w:val="E42618"/>
          <w:kern w:val="0"/>
          <w:sz w:val="22"/>
          <w:szCs w:val="22"/>
        </w:rPr>
        <w:t xml:space="preserve">FIGURA </w:t>
      </w:r>
      <w:r w:rsidR="005A71FC">
        <w:rPr>
          <w:rFonts w:ascii="Arial Narrow" w:hAnsi="Arial Narrow" w:cs="Arial"/>
          <w:b/>
          <w:color w:val="E42618"/>
          <w:kern w:val="0"/>
          <w:sz w:val="22"/>
          <w:szCs w:val="22"/>
        </w:rPr>
        <w:t>8</w:t>
      </w:r>
      <w:r w:rsidRPr="00C8504B">
        <w:rPr>
          <w:rFonts w:ascii="Arial Narrow" w:hAnsi="Arial Narrow" w:cs="Arial"/>
          <w:b/>
          <w:color w:val="E42618"/>
        </w:rPr>
        <w:t>.</w:t>
      </w:r>
      <w:r w:rsidRPr="00C8504B">
        <w:rPr>
          <w:rFonts w:ascii="Arial Narrow" w:hAnsi="Arial Narrow" w:cs="Arial"/>
          <w:b/>
          <w:color w:val="5F5F5F"/>
        </w:rPr>
        <w:t xml:space="preserve"> </w:t>
      </w:r>
      <w:r w:rsidRPr="00C8504B">
        <w:rPr>
          <w:rFonts w:ascii="Arial Narrow" w:hAnsi="Arial Narrow" w:cs="Calibri"/>
          <w:b/>
          <w:bCs/>
          <w:color w:val="5F5F5F"/>
          <w:kern w:val="0"/>
          <w:sz w:val="22"/>
          <w:szCs w:val="22"/>
        </w:rPr>
        <w:t xml:space="preserve">INDICI DEI PREZZI AL CONSUMO IPCA, ITALIA E </w:t>
      </w:r>
      <w:r w:rsidR="00082B49" w:rsidRPr="00C8504B">
        <w:rPr>
          <w:rFonts w:ascii="Arial Narrow" w:hAnsi="Arial Narrow" w:cs="Calibri"/>
          <w:b/>
          <w:bCs/>
          <w:color w:val="5F5F5F"/>
          <w:kern w:val="0"/>
          <w:sz w:val="22"/>
          <w:szCs w:val="22"/>
        </w:rPr>
        <w:t>UNIONE ECONOMICA E MONETARIA</w:t>
      </w:r>
      <w:r w:rsidR="003B4962" w:rsidRPr="00C8504B">
        <w:rPr>
          <w:rStyle w:val="Rimandonotaapidipagina"/>
          <w:rFonts w:ascii="Arial Narrow" w:hAnsi="Arial Narrow"/>
          <w:b/>
          <w:bCs/>
          <w:color w:val="5F5F5F"/>
          <w:kern w:val="0"/>
          <w:sz w:val="22"/>
          <w:szCs w:val="22"/>
        </w:rPr>
        <w:footnoteReference w:id="3"/>
      </w:r>
      <w:r w:rsidRPr="00C8504B">
        <w:rPr>
          <w:rFonts w:ascii="Arial Narrow" w:hAnsi="Arial Narrow"/>
          <w:color w:val="5F5F5F"/>
        </w:rPr>
        <w:br/>
      </w:r>
      <w:r w:rsidR="0000212A" w:rsidRPr="00C8504B">
        <w:rPr>
          <w:rFonts w:ascii="Arial Narrow" w:hAnsi="Arial Narrow" w:cs="Arial"/>
          <w:color w:val="5F5F5F"/>
        </w:rPr>
        <w:t>Gennaio 201</w:t>
      </w:r>
      <w:r w:rsidR="00821AA2">
        <w:rPr>
          <w:rFonts w:ascii="Arial Narrow" w:hAnsi="Arial Narrow" w:cs="Arial"/>
          <w:color w:val="5F5F5F"/>
        </w:rPr>
        <w:t>8</w:t>
      </w:r>
      <w:r w:rsidR="0000212A" w:rsidRPr="00C8504B">
        <w:rPr>
          <w:rFonts w:ascii="Arial Narrow" w:hAnsi="Arial Narrow" w:cs="Arial"/>
          <w:color w:val="5F5F5F"/>
        </w:rPr>
        <w:t xml:space="preserve"> - </w:t>
      </w:r>
      <w:r w:rsidR="00F5157D">
        <w:rPr>
          <w:rFonts w:ascii="Arial Narrow" w:hAnsi="Arial Narrow" w:cs="Arial"/>
          <w:color w:val="5F5F5F"/>
        </w:rPr>
        <w:t>d</w:t>
      </w:r>
      <w:r w:rsidR="00F5157D" w:rsidRPr="00F5157D">
        <w:rPr>
          <w:rFonts w:ascii="Arial Narrow" w:hAnsi="Arial Narrow" w:cs="Arial"/>
          <w:color w:val="5F5F5F"/>
        </w:rPr>
        <w:t xml:space="preserve">icembre </w:t>
      </w:r>
      <w:r w:rsidR="00D64124">
        <w:rPr>
          <w:rFonts w:ascii="Arial Narrow" w:hAnsi="Arial Narrow" w:cs="Arial"/>
          <w:color w:val="5F5F5F"/>
        </w:rPr>
        <w:t>202</w:t>
      </w:r>
      <w:r w:rsidR="00821AA2">
        <w:rPr>
          <w:rFonts w:ascii="Arial Narrow" w:hAnsi="Arial Narrow" w:cs="Arial"/>
          <w:color w:val="5F5F5F"/>
        </w:rPr>
        <w:t>3</w:t>
      </w:r>
      <w:r w:rsidR="0000212A" w:rsidRPr="00C8504B">
        <w:rPr>
          <w:rFonts w:ascii="Arial Narrow" w:hAnsi="Arial Narrow" w:cs="Arial"/>
          <w:color w:val="5F5F5F"/>
        </w:rPr>
        <w:t>, v</w:t>
      </w:r>
      <w:r w:rsidRPr="00C8504B">
        <w:rPr>
          <w:rFonts w:ascii="Arial Narrow" w:hAnsi="Arial Narrow" w:cs="Arial"/>
          <w:color w:val="5F5F5F"/>
        </w:rPr>
        <w:t xml:space="preserve">ariazioni percentuali </w:t>
      </w:r>
      <w:r w:rsidR="00625F9C" w:rsidRPr="00C8504B">
        <w:rPr>
          <w:rFonts w:ascii="Arial Narrow" w:hAnsi="Arial Narrow" w:cs="Arial"/>
          <w:color w:val="5F5F5F"/>
        </w:rPr>
        <w:t>tendenziali</w:t>
      </w:r>
      <w:r w:rsidR="001D7348" w:rsidRPr="00C8504B">
        <w:rPr>
          <w:rFonts w:ascii="Arial Narrow" w:hAnsi="Arial Narrow" w:cs="Arial"/>
          <w:color w:val="5F5F5F"/>
        </w:rPr>
        <w:t xml:space="preserve"> (base 2015=100)</w:t>
      </w:r>
      <w:r w:rsidR="00234F0E">
        <w:rPr>
          <w:rFonts w:ascii="Arial Narrow" w:hAnsi="Arial Narrow" w:cs="Arial"/>
          <w:color w:val="5F5F5F"/>
        </w:rPr>
        <w:t xml:space="preserve"> </w:t>
      </w:r>
    </w:p>
    <w:p w:rsidR="00690201" w:rsidRDefault="00182FFE" w:rsidP="00616DA2">
      <w:pPr>
        <w:spacing w:before="0" w:after="0"/>
        <w:jc w:val="both"/>
        <w:rPr>
          <w:rFonts w:ascii="Arial" w:hAnsi="Arial" w:cs="Arial"/>
          <w:iCs/>
          <w:sz w:val="21"/>
          <w:szCs w:val="21"/>
        </w:rPr>
      </w:pPr>
      <w:r>
        <w:rPr>
          <w:rFonts w:ascii="Arial" w:hAnsi="Arial" w:cs="Arial"/>
          <w:iCs/>
          <w:noProof/>
          <w:sz w:val="21"/>
          <w:szCs w:val="21"/>
        </w:rPr>
        <w:drawing>
          <wp:inline distT="0" distB="0" distL="0" distR="0" wp14:anchorId="39ED2CAB">
            <wp:extent cx="6663690" cy="2164080"/>
            <wp:effectExtent l="0" t="0" r="3810" b="762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3690" cy="2164080"/>
                    </a:xfrm>
                    <a:prstGeom prst="rect">
                      <a:avLst/>
                    </a:prstGeom>
                    <a:noFill/>
                  </pic:spPr>
                </pic:pic>
              </a:graphicData>
            </a:graphic>
          </wp:inline>
        </w:drawing>
      </w:r>
    </w:p>
    <w:p w:rsidR="00FC7F58" w:rsidRDefault="00FC7F58" w:rsidP="00FC7F58">
      <w:pPr>
        <w:tabs>
          <w:tab w:val="left" w:pos="2940"/>
        </w:tabs>
        <w:spacing w:before="0" w:after="120"/>
        <w:jc w:val="both"/>
        <w:rPr>
          <w:rFonts w:ascii="Arial" w:hAnsi="Arial" w:cs="Arial"/>
          <w:iCs/>
          <w:sz w:val="18"/>
          <w:szCs w:val="21"/>
        </w:rPr>
      </w:pPr>
    </w:p>
    <w:p w:rsidR="00C9319B" w:rsidRDefault="00C9319B" w:rsidP="00FC7F58">
      <w:pPr>
        <w:tabs>
          <w:tab w:val="left" w:pos="2940"/>
        </w:tabs>
        <w:spacing w:before="0" w:after="120"/>
        <w:jc w:val="both"/>
        <w:rPr>
          <w:rFonts w:ascii="Arial" w:hAnsi="Arial" w:cs="Arial"/>
          <w:iCs/>
          <w:sz w:val="18"/>
          <w:szCs w:val="21"/>
        </w:rPr>
      </w:pPr>
    </w:p>
    <w:p w:rsidR="00C9319B" w:rsidRDefault="00C9319B" w:rsidP="00FC7F58">
      <w:pPr>
        <w:tabs>
          <w:tab w:val="left" w:pos="2940"/>
        </w:tabs>
        <w:spacing w:before="0" w:after="120"/>
        <w:jc w:val="both"/>
        <w:rPr>
          <w:rFonts w:ascii="Arial" w:hAnsi="Arial" w:cs="Arial"/>
          <w:iCs/>
          <w:sz w:val="18"/>
          <w:szCs w:val="21"/>
        </w:rPr>
      </w:pPr>
    </w:p>
    <w:p w:rsidR="00C9319B" w:rsidRPr="00337B87" w:rsidRDefault="00C9319B" w:rsidP="00FC7F58">
      <w:pPr>
        <w:tabs>
          <w:tab w:val="left" w:pos="2940"/>
        </w:tabs>
        <w:spacing w:before="0" w:after="120"/>
        <w:jc w:val="both"/>
        <w:rPr>
          <w:rFonts w:ascii="Arial" w:hAnsi="Arial" w:cs="Arial"/>
          <w:iCs/>
          <w:sz w:val="18"/>
          <w:szCs w:val="21"/>
        </w:rPr>
      </w:pPr>
    </w:p>
    <w:p w:rsidR="00FC7F58" w:rsidRPr="001918DC" w:rsidRDefault="00746679" w:rsidP="00FC7F58">
      <w:pPr>
        <w:pStyle w:val="001TitoloBolocco"/>
        <w:spacing w:after="120" w:line="240" w:lineRule="auto"/>
        <w:rPr>
          <w:szCs w:val="26"/>
        </w:rPr>
      </w:pPr>
      <w:r w:rsidRPr="001918DC">
        <w:rPr>
          <w:szCs w:val="26"/>
        </w:rPr>
        <w:t xml:space="preserve">IPCA: </w:t>
      </w:r>
      <w:r w:rsidR="00FC7F58" w:rsidRPr="001918DC">
        <w:rPr>
          <w:szCs w:val="26"/>
        </w:rPr>
        <w:t xml:space="preserve">Le </w:t>
      </w:r>
      <w:r w:rsidR="00F75835" w:rsidRPr="001918DC">
        <w:rPr>
          <w:szCs w:val="26"/>
        </w:rPr>
        <w:t>dinamiche nel 202</w:t>
      </w:r>
      <w:r w:rsidR="00E051B5">
        <w:rPr>
          <w:szCs w:val="26"/>
        </w:rPr>
        <w:t>3</w:t>
      </w:r>
      <w:r w:rsidR="00AA0C22" w:rsidRPr="001918DC">
        <w:rPr>
          <w:szCs w:val="26"/>
        </w:rPr>
        <w:t xml:space="preserve"> e il trascinamento al</w:t>
      </w:r>
      <w:r w:rsidR="00D64124" w:rsidRPr="001918DC">
        <w:rPr>
          <w:szCs w:val="26"/>
        </w:rPr>
        <w:t xml:space="preserve"> 202</w:t>
      </w:r>
      <w:r w:rsidR="00E051B5">
        <w:rPr>
          <w:szCs w:val="26"/>
        </w:rPr>
        <w:t>4</w:t>
      </w:r>
    </w:p>
    <w:p w:rsidR="00CB5EB9" w:rsidRPr="001918DC" w:rsidRDefault="00CB5EB9" w:rsidP="00CB5EB9">
      <w:pPr>
        <w:tabs>
          <w:tab w:val="left" w:pos="2940"/>
        </w:tabs>
        <w:spacing w:before="0" w:after="120"/>
        <w:jc w:val="both"/>
        <w:rPr>
          <w:rFonts w:ascii="Arial" w:hAnsi="Arial" w:cs="Arial"/>
          <w:iCs/>
          <w:sz w:val="21"/>
          <w:szCs w:val="21"/>
        </w:rPr>
      </w:pPr>
      <w:r w:rsidRPr="001918DC">
        <w:rPr>
          <w:rFonts w:ascii="Arial" w:hAnsi="Arial" w:cs="Arial"/>
          <w:iCs/>
          <w:sz w:val="21"/>
          <w:szCs w:val="21"/>
        </w:rPr>
        <w:t xml:space="preserve">La variazione media annua dell’indice generale IPCA nel </w:t>
      </w:r>
      <w:r w:rsidR="009735B9">
        <w:rPr>
          <w:rFonts w:ascii="Arial" w:hAnsi="Arial" w:cs="Arial"/>
          <w:iCs/>
          <w:sz w:val="21"/>
          <w:szCs w:val="21"/>
        </w:rPr>
        <w:t>2023</w:t>
      </w:r>
      <w:r w:rsidRPr="001918DC">
        <w:rPr>
          <w:rFonts w:ascii="Arial" w:hAnsi="Arial" w:cs="Arial"/>
          <w:iCs/>
          <w:sz w:val="21"/>
          <w:szCs w:val="21"/>
        </w:rPr>
        <w:t xml:space="preserve"> (+</w:t>
      </w:r>
      <w:r w:rsidR="009735B9">
        <w:rPr>
          <w:rFonts w:ascii="Arial" w:hAnsi="Arial" w:cs="Arial"/>
          <w:iCs/>
          <w:sz w:val="21"/>
          <w:szCs w:val="21"/>
        </w:rPr>
        <w:t>5,9</w:t>
      </w:r>
      <w:r w:rsidRPr="001918DC">
        <w:rPr>
          <w:rFonts w:ascii="Arial" w:hAnsi="Arial" w:cs="Arial"/>
          <w:iCs/>
          <w:sz w:val="21"/>
          <w:szCs w:val="21"/>
        </w:rPr>
        <w:t>%) può essere suddivisa in due componenti (Prospetto 12): la prima (il c</w:t>
      </w:r>
      <w:r w:rsidR="001918DC" w:rsidRPr="001918DC">
        <w:rPr>
          <w:rFonts w:ascii="Arial" w:hAnsi="Arial" w:cs="Arial"/>
          <w:iCs/>
          <w:sz w:val="21"/>
          <w:szCs w:val="21"/>
        </w:rPr>
        <w:t>osiddetto trascinamento dal 202</w:t>
      </w:r>
      <w:r w:rsidR="009735B9">
        <w:rPr>
          <w:rFonts w:ascii="Arial" w:hAnsi="Arial" w:cs="Arial"/>
          <w:iCs/>
          <w:sz w:val="21"/>
          <w:szCs w:val="21"/>
        </w:rPr>
        <w:t>2 al 2023</w:t>
      </w:r>
      <w:r w:rsidRPr="001918DC">
        <w:rPr>
          <w:rFonts w:ascii="Arial" w:hAnsi="Arial" w:cs="Arial"/>
          <w:iCs/>
          <w:sz w:val="21"/>
          <w:szCs w:val="21"/>
        </w:rPr>
        <w:t xml:space="preserve">) è </w:t>
      </w:r>
      <w:r w:rsidRPr="002B7487">
        <w:rPr>
          <w:rFonts w:ascii="Arial" w:hAnsi="Arial" w:cs="Arial"/>
          <w:iCs/>
          <w:sz w:val="21"/>
          <w:szCs w:val="21"/>
        </w:rPr>
        <w:t>pari a +</w:t>
      </w:r>
      <w:r w:rsidR="00E71E41">
        <w:rPr>
          <w:rFonts w:ascii="Arial" w:hAnsi="Arial" w:cs="Arial"/>
          <w:iCs/>
          <w:sz w:val="21"/>
          <w:szCs w:val="21"/>
        </w:rPr>
        <w:t>6,0</w:t>
      </w:r>
      <w:r w:rsidRPr="002B7487">
        <w:rPr>
          <w:rFonts w:ascii="Arial" w:hAnsi="Arial" w:cs="Arial"/>
          <w:iCs/>
          <w:sz w:val="21"/>
          <w:szCs w:val="21"/>
        </w:rPr>
        <w:t xml:space="preserve">% </w:t>
      </w:r>
      <w:r w:rsidR="001918DC" w:rsidRPr="002B7487">
        <w:rPr>
          <w:rFonts w:ascii="Arial" w:hAnsi="Arial" w:cs="Arial"/>
          <w:iCs/>
          <w:sz w:val="21"/>
          <w:szCs w:val="21"/>
        </w:rPr>
        <w:t>e</w:t>
      </w:r>
      <w:r w:rsidR="001918DC" w:rsidRPr="001918DC">
        <w:rPr>
          <w:rFonts w:ascii="Arial" w:hAnsi="Arial" w:cs="Arial"/>
          <w:iCs/>
          <w:sz w:val="21"/>
          <w:szCs w:val="21"/>
        </w:rPr>
        <w:t xml:space="preserve"> rappresenta l’eredità del 202</w:t>
      </w:r>
      <w:r w:rsidR="009735B9">
        <w:rPr>
          <w:rFonts w:ascii="Arial" w:hAnsi="Arial" w:cs="Arial"/>
          <w:iCs/>
          <w:sz w:val="21"/>
          <w:szCs w:val="21"/>
        </w:rPr>
        <w:t>2 per il 2023</w:t>
      </w:r>
      <w:r w:rsidRPr="001918DC">
        <w:rPr>
          <w:rFonts w:ascii="Arial" w:hAnsi="Arial" w:cs="Arial"/>
          <w:iCs/>
          <w:sz w:val="21"/>
          <w:szCs w:val="21"/>
        </w:rPr>
        <w:t xml:space="preserve"> (in altri termini, se nel corso del </w:t>
      </w:r>
      <w:r w:rsidRPr="002B7487">
        <w:rPr>
          <w:rFonts w:ascii="Arial" w:hAnsi="Arial" w:cs="Arial"/>
          <w:iCs/>
          <w:sz w:val="21"/>
          <w:szCs w:val="21"/>
        </w:rPr>
        <w:t>202</w:t>
      </w:r>
      <w:r w:rsidR="009735B9">
        <w:rPr>
          <w:rFonts w:ascii="Arial" w:hAnsi="Arial" w:cs="Arial"/>
          <w:iCs/>
          <w:sz w:val="21"/>
          <w:szCs w:val="21"/>
        </w:rPr>
        <w:t>3</w:t>
      </w:r>
      <w:r w:rsidRPr="002B7487">
        <w:rPr>
          <w:rFonts w:ascii="Arial" w:hAnsi="Arial" w:cs="Arial"/>
          <w:iCs/>
          <w:sz w:val="21"/>
          <w:szCs w:val="21"/>
        </w:rPr>
        <w:t xml:space="preserve"> non si fossero verificate variazioni congiunturali dell’IPCA, la sua variazione media annua sarebbe risultata pari a +</w:t>
      </w:r>
      <w:r w:rsidR="00E71E41">
        <w:rPr>
          <w:rFonts w:ascii="Arial" w:hAnsi="Arial" w:cs="Arial"/>
          <w:iCs/>
          <w:sz w:val="21"/>
          <w:szCs w:val="21"/>
        </w:rPr>
        <w:t>6,0</w:t>
      </w:r>
      <w:r w:rsidRPr="002B7487">
        <w:rPr>
          <w:rFonts w:ascii="Arial" w:hAnsi="Arial" w:cs="Arial"/>
          <w:iCs/>
          <w:sz w:val="21"/>
          <w:szCs w:val="21"/>
        </w:rPr>
        <w:t>%); la seconda componente, la cosiddetta inflazione “propria”, rappresenta la variazione in media d’anno dell’indice generale attribuibile alle variazioni di prezzo</w:t>
      </w:r>
      <w:r w:rsidR="009735B9">
        <w:rPr>
          <w:rFonts w:ascii="Arial" w:hAnsi="Arial" w:cs="Arial"/>
          <w:iCs/>
          <w:sz w:val="21"/>
          <w:szCs w:val="21"/>
        </w:rPr>
        <w:t xml:space="preserve"> verificatesi nel corso del 2023</w:t>
      </w:r>
      <w:r w:rsidRPr="002B7487">
        <w:rPr>
          <w:rFonts w:ascii="Arial" w:hAnsi="Arial" w:cs="Arial"/>
          <w:iCs/>
          <w:sz w:val="21"/>
          <w:szCs w:val="21"/>
        </w:rPr>
        <w:t xml:space="preserve"> ed è pari a </w:t>
      </w:r>
      <w:r w:rsidR="00E71E41">
        <w:rPr>
          <w:rFonts w:ascii="Arial" w:hAnsi="Arial" w:cs="Arial"/>
          <w:iCs/>
          <w:sz w:val="21"/>
          <w:szCs w:val="21"/>
        </w:rPr>
        <w:t>-0,2</w:t>
      </w:r>
      <w:r w:rsidRPr="002B7487">
        <w:rPr>
          <w:rFonts w:ascii="Arial" w:hAnsi="Arial" w:cs="Arial"/>
          <w:iCs/>
          <w:sz w:val="21"/>
          <w:szCs w:val="21"/>
        </w:rPr>
        <w:t>%</w:t>
      </w:r>
      <w:r w:rsidR="0015544E">
        <w:rPr>
          <w:rStyle w:val="Rimandonotaapidipagina"/>
          <w:rFonts w:ascii="Arial" w:hAnsi="Arial"/>
          <w:iCs/>
          <w:sz w:val="21"/>
          <w:szCs w:val="21"/>
        </w:rPr>
        <w:footnoteReference w:id="4"/>
      </w:r>
      <w:r w:rsidRPr="002B7487">
        <w:rPr>
          <w:rFonts w:ascii="Arial" w:hAnsi="Arial" w:cs="Arial"/>
          <w:iCs/>
          <w:sz w:val="21"/>
          <w:szCs w:val="21"/>
        </w:rPr>
        <w:t>.</w:t>
      </w:r>
    </w:p>
    <w:p w:rsidR="00CB5EB9" w:rsidRPr="001918DC" w:rsidRDefault="00CB5EB9" w:rsidP="00CB5EB9">
      <w:pPr>
        <w:tabs>
          <w:tab w:val="left" w:pos="2940"/>
        </w:tabs>
        <w:spacing w:before="0" w:after="120"/>
        <w:jc w:val="both"/>
        <w:rPr>
          <w:rFonts w:ascii="Arial" w:hAnsi="Arial" w:cs="Arial"/>
          <w:iCs/>
          <w:sz w:val="21"/>
          <w:szCs w:val="21"/>
        </w:rPr>
      </w:pPr>
      <w:r w:rsidRPr="001918DC">
        <w:rPr>
          <w:rFonts w:ascii="Arial" w:hAnsi="Arial" w:cs="Arial"/>
          <w:iCs/>
          <w:sz w:val="21"/>
          <w:szCs w:val="21"/>
        </w:rPr>
        <w:t>La variazione media annua è il risultato di una dinamica infra-annuale che vede l’indice generale IPCA</w:t>
      </w:r>
      <w:r w:rsidR="001918DC" w:rsidRPr="001918DC">
        <w:rPr>
          <w:rFonts w:ascii="Arial" w:hAnsi="Arial" w:cs="Arial"/>
          <w:iCs/>
          <w:sz w:val="21"/>
          <w:szCs w:val="21"/>
        </w:rPr>
        <w:t xml:space="preserve"> </w:t>
      </w:r>
      <w:r w:rsidR="009A073A">
        <w:rPr>
          <w:rFonts w:ascii="Arial" w:hAnsi="Arial" w:cs="Arial"/>
          <w:iCs/>
          <w:sz w:val="21"/>
          <w:szCs w:val="21"/>
        </w:rPr>
        <w:t>de</w:t>
      </w:r>
      <w:r w:rsidR="001918DC" w:rsidRPr="001918DC">
        <w:rPr>
          <w:rFonts w:ascii="Arial" w:hAnsi="Arial" w:cs="Arial"/>
          <w:iCs/>
          <w:sz w:val="21"/>
          <w:szCs w:val="21"/>
        </w:rPr>
        <w:t xml:space="preserve">celerare </w:t>
      </w:r>
      <w:r w:rsidRPr="001918DC">
        <w:rPr>
          <w:rFonts w:ascii="Arial" w:hAnsi="Arial" w:cs="Arial"/>
          <w:iCs/>
          <w:sz w:val="21"/>
          <w:szCs w:val="21"/>
        </w:rPr>
        <w:t>trimestre dopo trimestre (</w:t>
      </w:r>
      <w:r w:rsidR="009A073A">
        <w:rPr>
          <w:rFonts w:ascii="Arial" w:hAnsi="Arial" w:cs="Arial"/>
          <w:iCs/>
          <w:sz w:val="21"/>
          <w:szCs w:val="21"/>
        </w:rPr>
        <w:t>+9,5</w:t>
      </w:r>
      <w:r w:rsidR="001918DC" w:rsidRPr="001918DC">
        <w:rPr>
          <w:rFonts w:ascii="Arial" w:hAnsi="Arial" w:cs="Arial"/>
          <w:iCs/>
          <w:sz w:val="21"/>
          <w:szCs w:val="21"/>
        </w:rPr>
        <w:t xml:space="preserve">% nel primo, </w:t>
      </w:r>
      <w:r w:rsidRPr="001918DC">
        <w:rPr>
          <w:rFonts w:ascii="Arial" w:hAnsi="Arial" w:cs="Arial"/>
          <w:iCs/>
          <w:sz w:val="21"/>
          <w:szCs w:val="21"/>
        </w:rPr>
        <w:t>+</w:t>
      </w:r>
      <w:r w:rsidR="001918DC" w:rsidRPr="001918DC">
        <w:rPr>
          <w:rFonts w:ascii="Arial" w:hAnsi="Arial" w:cs="Arial"/>
          <w:iCs/>
          <w:sz w:val="21"/>
          <w:szCs w:val="21"/>
        </w:rPr>
        <w:t>7,</w:t>
      </w:r>
      <w:r w:rsidR="009A073A">
        <w:rPr>
          <w:rFonts w:ascii="Arial" w:hAnsi="Arial" w:cs="Arial"/>
          <w:iCs/>
          <w:sz w:val="21"/>
          <w:szCs w:val="21"/>
        </w:rPr>
        <w:t>8</w:t>
      </w:r>
      <w:r w:rsidRPr="001918DC">
        <w:rPr>
          <w:rFonts w:ascii="Arial" w:hAnsi="Arial" w:cs="Arial"/>
          <w:iCs/>
          <w:sz w:val="21"/>
          <w:szCs w:val="21"/>
        </w:rPr>
        <w:t>% nel secondo, +</w:t>
      </w:r>
      <w:r w:rsidR="009A073A">
        <w:rPr>
          <w:rFonts w:ascii="Arial" w:hAnsi="Arial" w:cs="Arial"/>
          <w:iCs/>
          <w:sz w:val="21"/>
          <w:szCs w:val="21"/>
        </w:rPr>
        <w:t>5,8</w:t>
      </w:r>
      <w:r w:rsidRPr="001918DC">
        <w:rPr>
          <w:rFonts w:ascii="Arial" w:hAnsi="Arial" w:cs="Arial"/>
          <w:iCs/>
          <w:sz w:val="21"/>
          <w:szCs w:val="21"/>
        </w:rPr>
        <w:t>% nel terzo e +</w:t>
      </w:r>
      <w:r w:rsidR="009A073A">
        <w:rPr>
          <w:rFonts w:ascii="Arial" w:hAnsi="Arial" w:cs="Arial"/>
          <w:iCs/>
          <w:sz w:val="21"/>
          <w:szCs w:val="21"/>
        </w:rPr>
        <w:t>1,0</w:t>
      </w:r>
      <w:r w:rsidRPr="001918DC">
        <w:rPr>
          <w:rFonts w:ascii="Arial" w:hAnsi="Arial" w:cs="Arial"/>
          <w:iCs/>
          <w:sz w:val="21"/>
          <w:szCs w:val="21"/>
        </w:rPr>
        <w:t>% nell’ultimo</w:t>
      </w:r>
      <w:r w:rsidR="001918DC" w:rsidRPr="001918DC">
        <w:rPr>
          <w:rFonts w:ascii="Arial" w:hAnsi="Arial" w:cs="Arial"/>
          <w:iCs/>
          <w:sz w:val="21"/>
          <w:szCs w:val="21"/>
        </w:rPr>
        <w:t xml:space="preserve"> trimestre del 202</w:t>
      </w:r>
      <w:r w:rsidR="009A073A">
        <w:rPr>
          <w:rFonts w:ascii="Arial" w:hAnsi="Arial" w:cs="Arial"/>
          <w:iCs/>
          <w:sz w:val="21"/>
          <w:szCs w:val="21"/>
        </w:rPr>
        <w:t>3</w:t>
      </w:r>
      <w:r w:rsidR="00225F61" w:rsidRPr="001918DC">
        <w:rPr>
          <w:rFonts w:ascii="Arial" w:hAnsi="Arial" w:cs="Arial"/>
          <w:iCs/>
          <w:sz w:val="21"/>
          <w:szCs w:val="21"/>
        </w:rPr>
        <w:t>)</w:t>
      </w:r>
      <w:r w:rsidRPr="001918DC">
        <w:rPr>
          <w:rFonts w:ascii="Arial" w:hAnsi="Arial" w:cs="Arial"/>
          <w:iCs/>
          <w:sz w:val="21"/>
          <w:szCs w:val="21"/>
        </w:rPr>
        <w:t>.</w:t>
      </w:r>
      <w:r w:rsidR="001405F7">
        <w:rPr>
          <w:rFonts w:ascii="Arial" w:hAnsi="Arial" w:cs="Arial"/>
          <w:iCs/>
          <w:sz w:val="21"/>
          <w:szCs w:val="21"/>
        </w:rPr>
        <w:t xml:space="preserve"> Il trascinamento al 202</w:t>
      </w:r>
      <w:r w:rsidR="00E71E41">
        <w:rPr>
          <w:rFonts w:ascii="Arial" w:hAnsi="Arial" w:cs="Arial"/>
          <w:iCs/>
          <w:sz w:val="21"/>
          <w:szCs w:val="21"/>
        </w:rPr>
        <w:t>4</w:t>
      </w:r>
      <w:r w:rsidR="001405F7">
        <w:rPr>
          <w:rFonts w:ascii="Arial" w:hAnsi="Arial" w:cs="Arial"/>
          <w:iCs/>
          <w:sz w:val="21"/>
          <w:szCs w:val="21"/>
        </w:rPr>
        <w:t xml:space="preserve"> </w:t>
      </w:r>
      <w:r w:rsidR="001405F7" w:rsidRPr="001918DC">
        <w:rPr>
          <w:rFonts w:ascii="Arial" w:hAnsi="Arial" w:cs="Arial"/>
          <w:iCs/>
          <w:sz w:val="21"/>
          <w:szCs w:val="21"/>
        </w:rPr>
        <w:t>è</w:t>
      </w:r>
      <w:r w:rsidR="001405F7">
        <w:rPr>
          <w:rFonts w:ascii="Arial" w:hAnsi="Arial" w:cs="Arial"/>
          <w:iCs/>
          <w:sz w:val="21"/>
          <w:szCs w:val="21"/>
        </w:rPr>
        <w:t xml:space="preserve"> quindi </w:t>
      </w:r>
      <w:r w:rsidR="007466A0">
        <w:rPr>
          <w:rFonts w:ascii="Arial" w:hAnsi="Arial" w:cs="Arial"/>
          <w:iCs/>
          <w:sz w:val="21"/>
          <w:szCs w:val="21"/>
        </w:rPr>
        <w:t>contenuto</w:t>
      </w:r>
      <w:r w:rsidR="001405F7">
        <w:rPr>
          <w:rFonts w:ascii="Arial" w:hAnsi="Arial" w:cs="Arial"/>
          <w:iCs/>
          <w:sz w:val="21"/>
          <w:szCs w:val="21"/>
        </w:rPr>
        <w:t xml:space="preserve"> e pari a +</w:t>
      </w:r>
      <w:r w:rsidR="007466A0">
        <w:rPr>
          <w:rFonts w:ascii="Arial" w:hAnsi="Arial" w:cs="Arial"/>
          <w:iCs/>
          <w:sz w:val="21"/>
          <w:szCs w:val="21"/>
        </w:rPr>
        <w:t>0,7</w:t>
      </w:r>
      <w:r w:rsidR="001405F7">
        <w:rPr>
          <w:rFonts w:ascii="Arial" w:hAnsi="Arial" w:cs="Arial"/>
          <w:iCs/>
          <w:sz w:val="21"/>
          <w:szCs w:val="21"/>
        </w:rPr>
        <w:t>%.</w:t>
      </w:r>
    </w:p>
    <w:p w:rsidR="00911F21" w:rsidRPr="003213C8" w:rsidRDefault="00911F21" w:rsidP="00911F21">
      <w:pPr>
        <w:spacing w:before="0" w:after="120"/>
        <w:jc w:val="both"/>
        <w:rPr>
          <w:rFonts w:ascii="Arial" w:hAnsi="Arial" w:cs="Arial"/>
          <w:b/>
          <w:highlight w:val="yellow"/>
        </w:rPr>
      </w:pPr>
    </w:p>
    <w:p w:rsidR="00911F21" w:rsidRPr="001918DC" w:rsidRDefault="00911F21" w:rsidP="00911F21">
      <w:pPr>
        <w:spacing w:before="0" w:after="120"/>
        <w:jc w:val="both"/>
        <w:rPr>
          <w:rFonts w:ascii="Arial" w:hAnsi="Arial" w:cs="Arial"/>
        </w:rPr>
      </w:pPr>
      <w:r w:rsidRPr="001918DC">
        <w:rPr>
          <w:rFonts w:ascii="Arial" w:hAnsi="Arial" w:cs="Arial"/>
          <w:b/>
        </w:rPr>
        <w:t xml:space="preserve">Le divisioni di spesa </w:t>
      </w:r>
    </w:p>
    <w:p w:rsidR="005C5948" w:rsidRDefault="00CB5EB9" w:rsidP="00FC7F58">
      <w:pPr>
        <w:tabs>
          <w:tab w:val="left" w:pos="2940"/>
        </w:tabs>
        <w:spacing w:before="0" w:after="120"/>
        <w:jc w:val="both"/>
        <w:rPr>
          <w:rFonts w:ascii="Arial" w:hAnsi="Arial" w:cs="Arial"/>
          <w:iCs/>
          <w:sz w:val="21"/>
          <w:szCs w:val="21"/>
        </w:rPr>
      </w:pPr>
      <w:r w:rsidRPr="001918DC">
        <w:rPr>
          <w:rFonts w:ascii="Arial" w:hAnsi="Arial" w:cs="Arial"/>
          <w:iCs/>
          <w:sz w:val="21"/>
          <w:szCs w:val="21"/>
        </w:rPr>
        <w:t xml:space="preserve">A incidere sull’andamento dell’indice generale è in particolare la </w:t>
      </w:r>
      <w:r w:rsidR="00DD0F00">
        <w:rPr>
          <w:rFonts w:ascii="Arial" w:hAnsi="Arial" w:cs="Arial"/>
          <w:iCs/>
          <w:sz w:val="21"/>
          <w:szCs w:val="21"/>
        </w:rPr>
        <w:t>de</w:t>
      </w:r>
      <w:r w:rsidR="001918DC">
        <w:rPr>
          <w:rFonts w:ascii="Arial" w:hAnsi="Arial" w:cs="Arial"/>
          <w:iCs/>
          <w:sz w:val="21"/>
          <w:szCs w:val="21"/>
        </w:rPr>
        <w:t>celerazione</w:t>
      </w:r>
      <w:r w:rsidRPr="001918DC">
        <w:rPr>
          <w:rFonts w:ascii="Arial" w:hAnsi="Arial" w:cs="Arial"/>
          <w:iCs/>
          <w:sz w:val="21"/>
          <w:szCs w:val="21"/>
        </w:rPr>
        <w:t xml:space="preserve"> dei prezzi delle divisioni </w:t>
      </w:r>
      <w:r w:rsidR="003346B6">
        <w:rPr>
          <w:rFonts w:ascii="Arial" w:hAnsi="Arial" w:cs="Arial"/>
          <w:iCs/>
          <w:sz w:val="21"/>
          <w:szCs w:val="21"/>
        </w:rPr>
        <w:t xml:space="preserve">di spesa </w:t>
      </w:r>
      <w:r w:rsidR="00D458D0">
        <w:rPr>
          <w:rFonts w:ascii="Arial" w:hAnsi="Arial" w:cs="Arial"/>
          <w:iCs/>
          <w:sz w:val="21"/>
          <w:szCs w:val="21"/>
        </w:rPr>
        <w:t>che includono i b</w:t>
      </w:r>
      <w:r w:rsidRPr="001918DC">
        <w:rPr>
          <w:rFonts w:ascii="Arial" w:hAnsi="Arial" w:cs="Arial"/>
          <w:iCs/>
          <w:sz w:val="21"/>
          <w:szCs w:val="21"/>
        </w:rPr>
        <w:t xml:space="preserve">eni energetici: Abitazione, acqua, elettricità e combustibili (da </w:t>
      </w:r>
      <w:r w:rsidR="001918DC" w:rsidRPr="001918DC">
        <w:rPr>
          <w:rFonts w:ascii="Arial" w:hAnsi="Arial" w:cs="Arial"/>
          <w:iCs/>
          <w:sz w:val="21"/>
          <w:szCs w:val="21"/>
        </w:rPr>
        <w:t>+</w:t>
      </w:r>
      <w:r w:rsidR="00DD0F00">
        <w:rPr>
          <w:rFonts w:ascii="Arial" w:hAnsi="Arial" w:cs="Arial"/>
          <w:iCs/>
          <w:sz w:val="21"/>
          <w:szCs w:val="21"/>
        </w:rPr>
        <w:t>35,0</w:t>
      </w:r>
      <w:r w:rsidRPr="001918DC">
        <w:rPr>
          <w:rFonts w:ascii="Arial" w:hAnsi="Arial" w:cs="Arial"/>
          <w:iCs/>
          <w:sz w:val="21"/>
          <w:szCs w:val="21"/>
        </w:rPr>
        <w:t>% a +</w:t>
      </w:r>
      <w:r w:rsidR="001918DC">
        <w:rPr>
          <w:rFonts w:ascii="Arial" w:hAnsi="Arial" w:cs="Arial"/>
          <w:iCs/>
          <w:sz w:val="21"/>
          <w:szCs w:val="21"/>
        </w:rPr>
        <w:t>3</w:t>
      </w:r>
      <w:r w:rsidRPr="001918DC">
        <w:rPr>
          <w:rFonts w:ascii="Arial" w:hAnsi="Arial" w:cs="Arial"/>
          <w:iCs/>
          <w:sz w:val="21"/>
          <w:szCs w:val="21"/>
        </w:rPr>
        <w:t>,</w:t>
      </w:r>
      <w:r w:rsidR="00DD0F00">
        <w:rPr>
          <w:rFonts w:ascii="Arial" w:hAnsi="Arial" w:cs="Arial"/>
          <w:iCs/>
          <w:sz w:val="21"/>
          <w:szCs w:val="21"/>
        </w:rPr>
        <w:t>9</w:t>
      </w:r>
      <w:r w:rsidRPr="001918DC">
        <w:rPr>
          <w:rFonts w:ascii="Arial" w:hAnsi="Arial" w:cs="Arial"/>
          <w:iCs/>
          <w:sz w:val="21"/>
          <w:szCs w:val="21"/>
        </w:rPr>
        <w:t>%, co</w:t>
      </w:r>
      <w:r w:rsidR="00DD0F00">
        <w:rPr>
          <w:rFonts w:ascii="Arial" w:hAnsi="Arial" w:cs="Arial"/>
          <w:iCs/>
          <w:sz w:val="21"/>
          <w:szCs w:val="21"/>
        </w:rPr>
        <w:t>n un’inflazione propria pari a -15,9</w:t>
      </w:r>
      <w:r w:rsidRPr="001918DC">
        <w:rPr>
          <w:rFonts w:ascii="Arial" w:hAnsi="Arial" w:cs="Arial"/>
          <w:iCs/>
          <w:sz w:val="21"/>
          <w:szCs w:val="21"/>
        </w:rPr>
        <w:t xml:space="preserve">%) e Trasporti (da </w:t>
      </w:r>
      <w:r w:rsidR="008A1A57">
        <w:rPr>
          <w:rFonts w:ascii="Arial" w:hAnsi="Arial" w:cs="Arial"/>
          <w:iCs/>
          <w:sz w:val="21"/>
          <w:szCs w:val="21"/>
        </w:rPr>
        <w:t>+</w:t>
      </w:r>
      <w:r w:rsidR="0051038F">
        <w:rPr>
          <w:rFonts w:ascii="Arial" w:hAnsi="Arial" w:cs="Arial"/>
          <w:iCs/>
          <w:sz w:val="21"/>
          <w:szCs w:val="21"/>
        </w:rPr>
        <w:t>9,7</w:t>
      </w:r>
      <w:r w:rsidRPr="001918DC">
        <w:rPr>
          <w:rFonts w:ascii="Arial" w:hAnsi="Arial" w:cs="Arial"/>
          <w:iCs/>
          <w:sz w:val="21"/>
          <w:szCs w:val="21"/>
        </w:rPr>
        <w:t>% a +</w:t>
      </w:r>
      <w:r w:rsidR="0051038F">
        <w:rPr>
          <w:rFonts w:ascii="Arial" w:hAnsi="Arial" w:cs="Arial"/>
          <w:iCs/>
          <w:sz w:val="21"/>
          <w:szCs w:val="21"/>
        </w:rPr>
        <w:t>3,6</w:t>
      </w:r>
      <w:r w:rsidRPr="001918DC">
        <w:rPr>
          <w:rFonts w:ascii="Arial" w:hAnsi="Arial" w:cs="Arial"/>
          <w:iCs/>
          <w:sz w:val="21"/>
          <w:szCs w:val="21"/>
        </w:rPr>
        <w:t>%, con un’inflazione propria di +</w:t>
      </w:r>
      <w:r w:rsidR="0051038F">
        <w:rPr>
          <w:rFonts w:ascii="Arial" w:hAnsi="Arial" w:cs="Arial"/>
          <w:iCs/>
          <w:sz w:val="21"/>
          <w:szCs w:val="21"/>
        </w:rPr>
        <w:t>3,1</w:t>
      </w:r>
      <w:r w:rsidRPr="001918DC">
        <w:rPr>
          <w:rFonts w:ascii="Arial" w:hAnsi="Arial" w:cs="Arial"/>
          <w:iCs/>
          <w:sz w:val="21"/>
          <w:szCs w:val="21"/>
        </w:rPr>
        <w:t xml:space="preserve">%). Registrano </w:t>
      </w:r>
      <w:r w:rsidR="00933F90">
        <w:rPr>
          <w:rFonts w:ascii="Arial" w:hAnsi="Arial" w:cs="Arial"/>
          <w:iCs/>
          <w:sz w:val="21"/>
          <w:szCs w:val="21"/>
        </w:rPr>
        <w:t xml:space="preserve">invece </w:t>
      </w:r>
      <w:r w:rsidRPr="001918DC">
        <w:rPr>
          <w:rFonts w:ascii="Arial" w:hAnsi="Arial" w:cs="Arial"/>
          <w:iCs/>
          <w:sz w:val="21"/>
          <w:szCs w:val="21"/>
        </w:rPr>
        <w:t>un</w:t>
      </w:r>
      <w:r w:rsidR="008A1A57">
        <w:rPr>
          <w:rFonts w:ascii="Arial" w:hAnsi="Arial" w:cs="Arial"/>
          <w:iCs/>
          <w:sz w:val="21"/>
          <w:szCs w:val="21"/>
        </w:rPr>
        <w:t>’acce</w:t>
      </w:r>
      <w:r w:rsidRPr="001918DC">
        <w:rPr>
          <w:rFonts w:ascii="Arial" w:hAnsi="Arial" w:cs="Arial"/>
          <w:iCs/>
          <w:sz w:val="21"/>
          <w:szCs w:val="21"/>
        </w:rPr>
        <w:t>lerazione in media d’anno</w:t>
      </w:r>
      <w:r w:rsidR="00933F90">
        <w:rPr>
          <w:rFonts w:ascii="Arial" w:hAnsi="Arial" w:cs="Arial"/>
          <w:iCs/>
          <w:sz w:val="21"/>
          <w:szCs w:val="21"/>
        </w:rPr>
        <w:t xml:space="preserve"> </w:t>
      </w:r>
      <w:r w:rsidR="00AA2E81">
        <w:rPr>
          <w:rFonts w:ascii="Arial" w:hAnsi="Arial" w:cs="Arial"/>
          <w:iCs/>
          <w:sz w:val="21"/>
          <w:szCs w:val="21"/>
        </w:rPr>
        <w:t xml:space="preserve">più marcata </w:t>
      </w:r>
      <w:r w:rsidR="00933F90">
        <w:rPr>
          <w:rFonts w:ascii="Arial" w:hAnsi="Arial" w:cs="Arial"/>
          <w:iCs/>
          <w:sz w:val="21"/>
          <w:szCs w:val="21"/>
        </w:rPr>
        <w:t>i prezzi delle divisioni Comunicazione (da -3,1%, a una variazione media an</w:t>
      </w:r>
      <w:r w:rsidR="0061421C">
        <w:rPr>
          <w:rFonts w:ascii="Arial" w:hAnsi="Arial" w:cs="Arial"/>
          <w:iCs/>
          <w:sz w:val="21"/>
          <w:szCs w:val="21"/>
        </w:rPr>
        <w:t xml:space="preserve">nua nulla; </w:t>
      </w:r>
      <w:r w:rsidR="00933F90">
        <w:rPr>
          <w:rFonts w:ascii="Arial" w:hAnsi="Arial" w:cs="Arial"/>
          <w:iCs/>
          <w:sz w:val="21"/>
          <w:szCs w:val="21"/>
        </w:rPr>
        <w:t xml:space="preserve">+0,4% </w:t>
      </w:r>
      <w:r w:rsidR="00D67708">
        <w:rPr>
          <w:rFonts w:ascii="Arial" w:hAnsi="Arial" w:cs="Arial"/>
          <w:iCs/>
          <w:sz w:val="21"/>
          <w:szCs w:val="21"/>
        </w:rPr>
        <w:t>l’</w:t>
      </w:r>
      <w:r w:rsidR="00933F90">
        <w:rPr>
          <w:rFonts w:ascii="Arial" w:hAnsi="Arial" w:cs="Arial"/>
          <w:iCs/>
          <w:sz w:val="21"/>
          <w:szCs w:val="21"/>
        </w:rPr>
        <w:t xml:space="preserve">inflazione propria), Ricreazione, spettacoli e cultura (da +1,8% a +4,7%, con </w:t>
      </w:r>
      <w:r w:rsidR="00933F90" w:rsidRPr="001918DC">
        <w:rPr>
          <w:rFonts w:ascii="Arial" w:hAnsi="Arial" w:cs="Arial"/>
          <w:iCs/>
          <w:sz w:val="21"/>
          <w:szCs w:val="21"/>
        </w:rPr>
        <w:t>un’inflazione propria pari a</w:t>
      </w:r>
      <w:r w:rsidR="00933F90">
        <w:rPr>
          <w:rFonts w:ascii="Arial" w:hAnsi="Arial" w:cs="Arial"/>
          <w:iCs/>
          <w:sz w:val="21"/>
          <w:szCs w:val="21"/>
        </w:rPr>
        <w:t xml:space="preserve"> +0,8%), </w:t>
      </w:r>
      <w:r w:rsidR="0061421C" w:rsidRPr="0061421C">
        <w:rPr>
          <w:rFonts w:ascii="Arial" w:hAnsi="Arial" w:cs="Arial"/>
          <w:iCs/>
          <w:sz w:val="21"/>
          <w:szCs w:val="21"/>
        </w:rPr>
        <w:t xml:space="preserve">Prodotti alimentari e bevande analcoliche </w:t>
      </w:r>
      <w:r w:rsidR="0061421C">
        <w:rPr>
          <w:rFonts w:ascii="Arial" w:hAnsi="Arial" w:cs="Arial"/>
          <w:iCs/>
          <w:sz w:val="21"/>
          <w:szCs w:val="21"/>
        </w:rPr>
        <w:t xml:space="preserve">(da +9,3% a +10,2%, con un’inflazione propria pari a +4,6%), </w:t>
      </w:r>
      <w:r w:rsidR="00933F90">
        <w:rPr>
          <w:rFonts w:ascii="Arial" w:hAnsi="Arial" w:cs="Arial"/>
          <w:iCs/>
          <w:sz w:val="21"/>
          <w:szCs w:val="21"/>
        </w:rPr>
        <w:t>Bevande alcoliche e tabacchi (da +1,3% a +3,5%, con un’inflazione propria pari a +</w:t>
      </w:r>
      <w:r w:rsidR="0061421C">
        <w:rPr>
          <w:rFonts w:ascii="Arial" w:hAnsi="Arial" w:cs="Arial"/>
          <w:iCs/>
          <w:sz w:val="21"/>
          <w:szCs w:val="21"/>
        </w:rPr>
        <w:t>3,0</w:t>
      </w:r>
      <w:r w:rsidR="00933F90">
        <w:rPr>
          <w:rFonts w:ascii="Arial" w:hAnsi="Arial" w:cs="Arial"/>
          <w:iCs/>
          <w:sz w:val="21"/>
          <w:szCs w:val="21"/>
        </w:rPr>
        <w:t>%) e Abbigliamento e calzature</w:t>
      </w:r>
      <w:r w:rsidR="008A1A57">
        <w:rPr>
          <w:rFonts w:ascii="Arial" w:hAnsi="Arial" w:cs="Arial"/>
          <w:iCs/>
          <w:sz w:val="21"/>
          <w:szCs w:val="21"/>
        </w:rPr>
        <w:t xml:space="preserve"> </w:t>
      </w:r>
      <w:r w:rsidR="008A1A57" w:rsidRPr="001918DC">
        <w:rPr>
          <w:rFonts w:ascii="Arial" w:hAnsi="Arial" w:cs="Arial"/>
          <w:iCs/>
          <w:sz w:val="21"/>
          <w:szCs w:val="21"/>
        </w:rPr>
        <w:t>(da +</w:t>
      </w:r>
      <w:r w:rsidR="00933F90">
        <w:rPr>
          <w:rFonts w:ascii="Arial" w:hAnsi="Arial" w:cs="Arial"/>
          <w:iCs/>
          <w:sz w:val="21"/>
          <w:szCs w:val="21"/>
        </w:rPr>
        <w:t>1,5</w:t>
      </w:r>
      <w:r w:rsidR="008A1A57" w:rsidRPr="001918DC">
        <w:rPr>
          <w:rFonts w:ascii="Arial" w:hAnsi="Arial" w:cs="Arial"/>
          <w:iCs/>
          <w:sz w:val="21"/>
          <w:szCs w:val="21"/>
        </w:rPr>
        <w:t>% a +</w:t>
      </w:r>
      <w:r w:rsidR="00933F90">
        <w:rPr>
          <w:rFonts w:ascii="Arial" w:hAnsi="Arial" w:cs="Arial"/>
          <w:iCs/>
          <w:sz w:val="21"/>
          <w:szCs w:val="21"/>
        </w:rPr>
        <w:t>3,5</w:t>
      </w:r>
      <w:r w:rsidR="008A1A57" w:rsidRPr="001918DC">
        <w:rPr>
          <w:rFonts w:ascii="Arial" w:hAnsi="Arial" w:cs="Arial"/>
          <w:iCs/>
          <w:sz w:val="21"/>
          <w:szCs w:val="21"/>
        </w:rPr>
        <w:t xml:space="preserve">%, con un’inflazione propria </w:t>
      </w:r>
      <w:r w:rsidR="00933F90">
        <w:rPr>
          <w:rFonts w:ascii="Arial" w:hAnsi="Arial" w:cs="Arial"/>
          <w:iCs/>
          <w:sz w:val="21"/>
          <w:szCs w:val="21"/>
        </w:rPr>
        <w:t>pari a -6,4</w:t>
      </w:r>
      <w:r w:rsidR="008A1A57" w:rsidRPr="001918DC">
        <w:rPr>
          <w:rFonts w:ascii="Arial" w:hAnsi="Arial" w:cs="Arial"/>
          <w:iCs/>
          <w:sz w:val="21"/>
          <w:szCs w:val="21"/>
        </w:rPr>
        <w:t>%)</w:t>
      </w:r>
      <w:r w:rsidR="008A1A57">
        <w:rPr>
          <w:rFonts w:ascii="Arial" w:hAnsi="Arial" w:cs="Arial"/>
          <w:iCs/>
          <w:sz w:val="21"/>
          <w:szCs w:val="21"/>
        </w:rPr>
        <w:t>.</w:t>
      </w:r>
    </w:p>
    <w:p w:rsidR="008A1A57" w:rsidRPr="001918DC" w:rsidRDefault="008A1A57" w:rsidP="00FC7F58">
      <w:pPr>
        <w:tabs>
          <w:tab w:val="left" w:pos="2940"/>
        </w:tabs>
        <w:spacing w:before="0" w:after="120"/>
        <w:jc w:val="both"/>
        <w:rPr>
          <w:rFonts w:ascii="Arial" w:hAnsi="Arial" w:cs="Arial"/>
          <w:iCs/>
          <w:sz w:val="21"/>
          <w:szCs w:val="21"/>
        </w:rPr>
      </w:pPr>
    </w:p>
    <w:p w:rsidR="00FC7F58" w:rsidRPr="00C8504B" w:rsidRDefault="00FC7F58" w:rsidP="0061421C">
      <w:pPr>
        <w:pStyle w:val="Corpotesto"/>
        <w:tabs>
          <w:tab w:val="left" w:pos="6237"/>
        </w:tabs>
        <w:spacing w:after="120" w:line="240" w:lineRule="exact"/>
        <w:jc w:val="both"/>
        <w:rPr>
          <w:rFonts w:ascii="Arial Narrow" w:hAnsi="Arial Narrow" w:cs="Arial"/>
          <w:color w:val="5F5F5F"/>
        </w:rPr>
      </w:pPr>
      <w:r w:rsidRPr="001918DC">
        <w:rPr>
          <w:rFonts w:ascii="Arial Narrow" w:hAnsi="Arial Narrow" w:cs="Arial"/>
          <w:b/>
          <w:color w:val="E42618"/>
          <w:sz w:val="22"/>
          <w:szCs w:val="22"/>
        </w:rPr>
        <w:t>PROSPETTO 12.</w:t>
      </w:r>
      <w:r w:rsidRPr="001918DC">
        <w:rPr>
          <w:rFonts w:ascii="Arial Narrow" w:hAnsi="Arial Narrow" w:cs="Arial"/>
          <w:b/>
          <w:color w:val="2298D1"/>
          <w:sz w:val="22"/>
          <w:szCs w:val="22"/>
        </w:rPr>
        <w:t xml:space="preserve"> </w:t>
      </w:r>
      <w:r w:rsidRPr="001918DC">
        <w:rPr>
          <w:rFonts w:ascii="Arial Narrow" w:hAnsi="Arial Narrow" w:cs="Calibri"/>
          <w:b/>
          <w:bCs/>
          <w:color w:val="5F5F5F"/>
          <w:kern w:val="0"/>
          <w:sz w:val="22"/>
          <w:szCs w:val="22"/>
        </w:rPr>
        <w:t>INDICI DEI PREZZI AL CONSUMO IPCA PER DIVISIONE DI SPESA</w:t>
      </w:r>
      <w:r w:rsidRPr="00C8504B">
        <w:rPr>
          <w:rFonts w:ascii="Arial Narrow" w:hAnsi="Arial Narrow" w:cs="Arial"/>
          <w:b/>
          <w:caps/>
          <w:color w:val="5F5F5F"/>
        </w:rPr>
        <w:t xml:space="preserve"> </w:t>
      </w:r>
      <w:r w:rsidRPr="00C8504B">
        <w:rPr>
          <w:rFonts w:ascii="Arial Narrow" w:hAnsi="Arial Narrow" w:cs="Arial"/>
          <w:b/>
          <w:caps/>
          <w:color w:val="5F5F5F"/>
        </w:rPr>
        <w:br/>
      </w:r>
      <w:r>
        <w:rPr>
          <w:rFonts w:ascii="Arial Narrow" w:hAnsi="Arial Narrow" w:cs="Arial"/>
          <w:color w:val="5F5F5F"/>
        </w:rPr>
        <w:t>Anno</w:t>
      </w:r>
      <w:r w:rsidRPr="004018F1">
        <w:rPr>
          <w:rFonts w:ascii="Arial Narrow" w:hAnsi="Arial Narrow" w:cs="Arial"/>
          <w:color w:val="5F5F5F"/>
        </w:rPr>
        <w:t xml:space="preserve"> </w:t>
      </w:r>
      <w:r w:rsidR="00424901">
        <w:rPr>
          <w:rFonts w:ascii="Arial Narrow" w:hAnsi="Arial Narrow" w:cs="Arial"/>
          <w:color w:val="5F5F5F"/>
        </w:rPr>
        <w:t>2023</w:t>
      </w:r>
      <w:r w:rsidRPr="00C8504B">
        <w:rPr>
          <w:rFonts w:ascii="Arial Narrow" w:hAnsi="Arial Narrow" w:cs="Arial"/>
          <w:color w:val="5F5F5F"/>
        </w:rPr>
        <w:t xml:space="preserve">, </w:t>
      </w:r>
      <w:r>
        <w:rPr>
          <w:rFonts w:ascii="Arial Narrow" w:hAnsi="Arial Narrow" w:cs="Arial"/>
          <w:color w:val="5F5F5F"/>
        </w:rPr>
        <w:t>variazioni percentuali</w:t>
      </w:r>
      <w:r w:rsidRPr="00C8504B">
        <w:rPr>
          <w:rFonts w:ascii="Arial Narrow" w:hAnsi="Arial Narrow" w:cs="Arial"/>
          <w:color w:val="5F5F5F"/>
        </w:rPr>
        <w:t xml:space="preserve"> tendenziali (base 2015=100) </w:t>
      </w:r>
    </w:p>
    <w:tbl>
      <w:tblPr>
        <w:tblW w:w="10066" w:type="dxa"/>
        <w:tblInd w:w="70" w:type="dxa"/>
        <w:tblBorders>
          <w:top w:val="single" w:sz="4" w:space="0" w:color="000000"/>
          <w:bottom w:val="single" w:sz="4" w:space="0" w:color="000000"/>
          <w:insideH w:val="single" w:sz="4" w:space="0" w:color="000000"/>
        </w:tblBorders>
        <w:tblLayout w:type="fixed"/>
        <w:tblCellMar>
          <w:left w:w="70" w:type="dxa"/>
          <w:right w:w="0" w:type="dxa"/>
        </w:tblCellMar>
        <w:tblLook w:val="0000" w:firstRow="0" w:lastRow="0" w:firstColumn="0" w:lastColumn="0" w:noHBand="0" w:noVBand="0"/>
      </w:tblPr>
      <w:tblGrid>
        <w:gridCol w:w="2977"/>
        <w:gridCol w:w="737"/>
        <w:gridCol w:w="737"/>
        <w:gridCol w:w="737"/>
        <w:gridCol w:w="737"/>
        <w:gridCol w:w="737"/>
        <w:gridCol w:w="710"/>
        <w:gridCol w:w="992"/>
        <w:gridCol w:w="851"/>
        <w:gridCol w:w="851"/>
      </w:tblGrid>
      <w:tr w:rsidR="003B3E1E" w:rsidRPr="00C8504B" w:rsidTr="005C5948">
        <w:trPr>
          <w:trHeight w:val="311"/>
        </w:trPr>
        <w:tc>
          <w:tcPr>
            <w:tcW w:w="2977" w:type="dxa"/>
            <w:vMerge w:val="restart"/>
            <w:vAlign w:val="center"/>
          </w:tcPr>
          <w:p w:rsidR="003B3E1E" w:rsidRPr="00C8504B" w:rsidRDefault="003B3E1E" w:rsidP="003B3E1E">
            <w:pPr>
              <w:spacing w:before="40" w:after="20"/>
              <w:rPr>
                <w:rFonts w:ascii="Arial Narrow" w:hAnsi="Arial Narrow" w:cs="Arial"/>
                <w:bCs/>
                <w:sz w:val="18"/>
                <w:szCs w:val="18"/>
              </w:rPr>
            </w:pPr>
            <w:r w:rsidRPr="00C8504B">
              <w:rPr>
                <w:rFonts w:ascii="Arial Narrow" w:hAnsi="Arial Narrow" w:cs="Arial"/>
                <w:b/>
                <w:bCs/>
                <w:sz w:val="18"/>
                <w:szCs w:val="18"/>
              </w:rPr>
              <w:t>DIVISIONI DI SPESA</w:t>
            </w:r>
          </w:p>
        </w:tc>
        <w:tc>
          <w:tcPr>
            <w:tcW w:w="4395" w:type="dxa"/>
            <w:gridSpan w:val="6"/>
            <w:shd w:val="clear" w:color="auto" w:fill="auto"/>
            <w:vAlign w:val="center"/>
          </w:tcPr>
          <w:p w:rsidR="003B3E1E" w:rsidRPr="008814F3" w:rsidRDefault="003B3E1E" w:rsidP="003B3E1E">
            <w:pPr>
              <w:spacing w:before="40" w:after="20"/>
              <w:ind w:right="57"/>
              <w:jc w:val="center"/>
              <w:rPr>
                <w:rFonts w:ascii="Arial Narrow" w:hAnsi="Arial Narrow" w:cs="Arial"/>
                <w:b/>
                <w:bCs/>
                <w:kern w:val="0"/>
                <w:sz w:val="18"/>
                <w:szCs w:val="18"/>
              </w:rPr>
            </w:pPr>
            <w:r>
              <w:rPr>
                <w:rFonts w:ascii="Arial Narrow" w:hAnsi="Arial Narrow" w:cs="Arial"/>
                <w:b/>
                <w:bCs/>
                <w:kern w:val="0"/>
                <w:sz w:val="18"/>
                <w:szCs w:val="18"/>
              </w:rPr>
              <w:t>V</w:t>
            </w:r>
            <w:r w:rsidRPr="00E35895">
              <w:rPr>
                <w:rFonts w:ascii="Arial Narrow" w:hAnsi="Arial Narrow" w:cs="Arial"/>
                <w:b/>
                <w:bCs/>
                <w:kern w:val="0"/>
                <w:sz w:val="18"/>
                <w:szCs w:val="18"/>
              </w:rPr>
              <w:t>ariazioni medi</w:t>
            </w:r>
            <w:r>
              <w:rPr>
                <w:rFonts w:ascii="Arial Narrow" w:hAnsi="Arial Narrow" w:cs="Arial"/>
                <w:b/>
                <w:bCs/>
                <w:kern w:val="0"/>
                <w:sz w:val="18"/>
                <w:szCs w:val="18"/>
              </w:rPr>
              <w:t>e</w:t>
            </w:r>
          </w:p>
        </w:tc>
        <w:tc>
          <w:tcPr>
            <w:tcW w:w="992" w:type="dxa"/>
            <w:vMerge w:val="restart"/>
            <w:shd w:val="clear" w:color="auto" w:fill="D9D9D9" w:themeFill="background1" w:themeFillShade="D9"/>
            <w:vAlign w:val="center"/>
          </w:tcPr>
          <w:p w:rsidR="003B3E1E" w:rsidRPr="00FD599C" w:rsidRDefault="003B3E1E" w:rsidP="003B3E1E">
            <w:pPr>
              <w:spacing w:before="40" w:after="20"/>
              <w:ind w:right="57"/>
              <w:jc w:val="center"/>
              <w:rPr>
                <w:rFonts w:ascii="Arial Narrow" w:hAnsi="Arial Narrow" w:cs="Arial"/>
                <w:b/>
                <w:bCs/>
                <w:kern w:val="0"/>
                <w:sz w:val="18"/>
                <w:szCs w:val="18"/>
              </w:rPr>
            </w:pPr>
            <w:r w:rsidRPr="00FD599C">
              <w:rPr>
                <w:rFonts w:ascii="Arial Narrow" w:hAnsi="Arial Narrow" w:cs="Arial"/>
                <w:b/>
                <w:bCs/>
                <w:kern w:val="0"/>
                <w:sz w:val="18"/>
                <w:szCs w:val="18"/>
              </w:rPr>
              <w:t>Inflazione ereditata</w:t>
            </w:r>
            <w:r>
              <w:rPr>
                <w:rFonts w:ascii="Arial Narrow" w:hAnsi="Arial Narrow" w:cs="Arial"/>
                <w:b/>
                <w:bCs/>
                <w:kern w:val="0"/>
                <w:sz w:val="18"/>
                <w:szCs w:val="18"/>
              </w:rPr>
              <w:t xml:space="preserve">      dal 202</w:t>
            </w:r>
            <w:r w:rsidR="00424901">
              <w:rPr>
                <w:rFonts w:ascii="Arial Narrow" w:hAnsi="Arial Narrow" w:cs="Arial"/>
                <w:b/>
                <w:bCs/>
                <w:kern w:val="0"/>
                <w:sz w:val="18"/>
                <w:szCs w:val="18"/>
              </w:rPr>
              <w:t>2</w:t>
            </w:r>
          </w:p>
        </w:tc>
        <w:tc>
          <w:tcPr>
            <w:tcW w:w="851" w:type="dxa"/>
            <w:vMerge w:val="restart"/>
            <w:vAlign w:val="center"/>
          </w:tcPr>
          <w:p w:rsidR="003B3E1E" w:rsidRPr="00FD599C" w:rsidRDefault="003B3E1E" w:rsidP="003B3E1E">
            <w:pPr>
              <w:spacing w:before="40" w:after="20"/>
              <w:ind w:left="-64"/>
              <w:jc w:val="center"/>
              <w:rPr>
                <w:rFonts w:ascii="Arial Narrow" w:hAnsi="Arial Narrow" w:cs="Arial"/>
                <w:b/>
                <w:bCs/>
                <w:kern w:val="0"/>
                <w:sz w:val="18"/>
                <w:szCs w:val="18"/>
              </w:rPr>
            </w:pPr>
            <w:r>
              <w:rPr>
                <w:rFonts w:ascii="Arial Narrow" w:hAnsi="Arial Narrow" w:cs="Arial"/>
                <w:b/>
                <w:bCs/>
                <w:kern w:val="0"/>
                <w:sz w:val="18"/>
                <w:szCs w:val="18"/>
              </w:rPr>
              <w:t>Inflazio</w:t>
            </w:r>
            <w:r w:rsidRPr="00FD599C">
              <w:rPr>
                <w:rFonts w:ascii="Arial Narrow" w:hAnsi="Arial Narrow" w:cs="Arial"/>
                <w:b/>
                <w:bCs/>
                <w:kern w:val="0"/>
                <w:sz w:val="18"/>
                <w:szCs w:val="18"/>
              </w:rPr>
              <w:t>ne propria</w:t>
            </w:r>
          </w:p>
        </w:tc>
        <w:tc>
          <w:tcPr>
            <w:tcW w:w="851" w:type="dxa"/>
            <w:vMerge w:val="restart"/>
            <w:shd w:val="clear" w:color="auto" w:fill="D9D9D9" w:themeFill="background1" w:themeFillShade="D9"/>
            <w:vAlign w:val="center"/>
          </w:tcPr>
          <w:p w:rsidR="003B3E1E" w:rsidRPr="00FD599C" w:rsidRDefault="003B3E1E" w:rsidP="003B3E1E">
            <w:pPr>
              <w:spacing w:before="40" w:after="20"/>
              <w:ind w:right="57"/>
              <w:jc w:val="center"/>
              <w:rPr>
                <w:rFonts w:ascii="Arial Narrow" w:hAnsi="Arial Narrow" w:cs="Arial"/>
                <w:b/>
                <w:bCs/>
                <w:kern w:val="0"/>
                <w:sz w:val="18"/>
                <w:szCs w:val="18"/>
              </w:rPr>
            </w:pPr>
            <w:r>
              <w:rPr>
                <w:rFonts w:ascii="Arial Narrow" w:hAnsi="Arial Narrow" w:cs="Arial"/>
                <w:b/>
                <w:bCs/>
                <w:kern w:val="0"/>
                <w:sz w:val="18"/>
                <w:szCs w:val="18"/>
              </w:rPr>
              <w:t>Trascina-mento                  al 202</w:t>
            </w:r>
            <w:r w:rsidR="00424901">
              <w:rPr>
                <w:rFonts w:ascii="Arial Narrow" w:hAnsi="Arial Narrow" w:cs="Arial"/>
                <w:b/>
                <w:bCs/>
                <w:kern w:val="0"/>
                <w:sz w:val="18"/>
                <w:szCs w:val="18"/>
              </w:rPr>
              <w:t>4</w:t>
            </w:r>
          </w:p>
        </w:tc>
      </w:tr>
      <w:tr w:rsidR="003B3E1E" w:rsidRPr="00C8504B" w:rsidTr="005C5948">
        <w:trPr>
          <w:trHeight w:val="522"/>
        </w:trPr>
        <w:tc>
          <w:tcPr>
            <w:tcW w:w="2977" w:type="dxa"/>
            <w:vMerge/>
            <w:vAlign w:val="center"/>
          </w:tcPr>
          <w:p w:rsidR="003B3E1E" w:rsidRPr="00C8504B" w:rsidRDefault="003B3E1E" w:rsidP="003B3E1E">
            <w:pPr>
              <w:spacing w:before="40" w:after="20"/>
              <w:rPr>
                <w:rFonts w:ascii="Arial Narrow" w:hAnsi="Arial Narrow" w:cs="Arial"/>
                <w:b/>
                <w:bCs/>
                <w:sz w:val="18"/>
                <w:szCs w:val="18"/>
              </w:rPr>
            </w:pPr>
          </w:p>
        </w:tc>
        <w:tc>
          <w:tcPr>
            <w:tcW w:w="737" w:type="dxa"/>
            <w:shd w:val="clear" w:color="auto" w:fill="D9D9D9" w:themeFill="background1" w:themeFillShade="D9"/>
            <w:vAlign w:val="center"/>
          </w:tcPr>
          <w:p w:rsidR="003B3E1E" w:rsidRDefault="003B3E1E" w:rsidP="003B3E1E">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202</w:t>
            </w:r>
            <w:r w:rsidR="00424901">
              <w:rPr>
                <w:rFonts w:ascii="Arial Narrow" w:hAnsi="Arial Narrow" w:cs="Arial"/>
                <w:kern w:val="0"/>
                <w:sz w:val="18"/>
                <w:szCs w:val="18"/>
                <w:u w:val="single"/>
              </w:rPr>
              <w:t>2</w:t>
            </w:r>
          </w:p>
          <w:p w:rsidR="003B3E1E" w:rsidRPr="008814F3" w:rsidRDefault="003B3E1E" w:rsidP="003B3E1E">
            <w:pPr>
              <w:widowControl/>
              <w:overflowPunct/>
              <w:autoSpaceDE/>
              <w:autoSpaceDN/>
              <w:adjustRightInd/>
              <w:spacing w:before="40" w:after="20"/>
              <w:ind w:right="57"/>
              <w:jc w:val="right"/>
              <w:rPr>
                <w:rFonts w:ascii="Arial Narrow" w:hAnsi="Arial Narrow" w:cs="Arial"/>
                <w:b/>
                <w:bCs/>
                <w:kern w:val="0"/>
                <w:sz w:val="18"/>
                <w:szCs w:val="18"/>
              </w:rPr>
            </w:pPr>
            <w:r>
              <w:rPr>
                <w:rFonts w:ascii="Arial Narrow" w:hAnsi="Arial Narrow" w:cs="Arial"/>
                <w:kern w:val="0"/>
                <w:sz w:val="18"/>
                <w:szCs w:val="18"/>
              </w:rPr>
              <w:t>202</w:t>
            </w:r>
            <w:r w:rsidR="00424901">
              <w:rPr>
                <w:rFonts w:ascii="Arial Narrow" w:hAnsi="Arial Narrow" w:cs="Arial"/>
                <w:kern w:val="0"/>
                <w:sz w:val="18"/>
                <w:szCs w:val="18"/>
              </w:rPr>
              <w:t>1</w:t>
            </w:r>
          </w:p>
        </w:tc>
        <w:tc>
          <w:tcPr>
            <w:tcW w:w="737" w:type="dxa"/>
            <w:vAlign w:val="center"/>
          </w:tcPr>
          <w:p w:rsidR="003B3E1E" w:rsidRDefault="003B3E1E" w:rsidP="003B3E1E">
            <w:pPr>
              <w:spacing w:before="40" w:after="20"/>
              <w:jc w:val="center"/>
              <w:rPr>
                <w:rFonts w:ascii="Arial Narrow" w:hAnsi="Arial Narrow" w:cs="Arial"/>
                <w:bCs/>
                <w:sz w:val="18"/>
                <w:szCs w:val="18"/>
              </w:rPr>
            </w:pPr>
            <w:r w:rsidRPr="00FD599C">
              <w:rPr>
                <w:rFonts w:ascii="Arial Narrow" w:hAnsi="Arial Narrow" w:cs="Arial"/>
                <w:bCs/>
                <w:sz w:val="18"/>
                <w:szCs w:val="18"/>
              </w:rPr>
              <w:t>I trim</w:t>
            </w:r>
          </w:p>
          <w:p w:rsidR="003B3E1E" w:rsidRPr="00FD599C" w:rsidRDefault="003B3E1E" w:rsidP="003B3E1E">
            <w:pPr>
              <w:spacing w:before="40" w:after="20"/>
              <w:jc w:val="center"/>
              <w:rPr>
                <w:rFonts w:ascii="Arial Narrow" w:hAnsi="Arial Narrow" w:cs="Arial"/>
                <w:bCs/>
                <w:sz w:val="18"/>
                <w:szCs w:val="18"/>
              </w:rPr>
            </w:pPr>
            <w:r>
              <w:rPr>
                <w:rFonts w:ascii="Arial Narrow" w:hAnsi="Arial Narrow" w:cs="Arial"/>
                <w:bCs/>
                <w:sz w:val="18"/>
                <w:szCs w:val="18"/>
              </w:rPr>
              <w:t>202</w:t>
            </w:r>
            <w:r w:rsidR="00424901">
              <w:rPr>
                <w:rFonts w:ascii="Arial Narrow" w:hAnsi="Arial Narrow" w:cs="Arial"/>
                <w:bCs/>
                <w:sz w:val="18"/>
                <w:szCs w:val="18"/>
              </w:rPr>
              <w:t>3</w:t>
            </w:r>
          </w:p>
        </w:tc>
        <w:tc>
          <w:tcPr>
            <w:tcW w:w="737" w:type="dxa"/>
            <w:shd w:val="clear" w:color="auto" w:fill="D9D9D9" w:themeFill="background1" w:themeFillShade="D9"/>
            <w:vAlign w:val="center"/>
          </w:tcPr>
          <w:p w:rsidR="003B3E1E" w:rsidRDefault="003B3E1E" w:rsidP="003B3E1E">
            <w:pPr>
              <w:spacing w:before="40" w:after="20"/>
              <w:jc w:val="center"/>
              <w:rPr>
                <w:rFonts w:ascii="Arial Narrow" w:hAnsi="Arial Narrow" w:cs="Arial"/>
                <w:bCs/>
                <w:sz w:val="18"/>
                <w:szCs w:val="18"/>
              </w:rPr>
            </w:pPr>
            <w:r>
              <w:rPr>
                <w:rFonts w:ascii="Arial Narrow" w:hAnsi="Arial Narrow" w:cs="Arial"/>
                <w:bCs/>
                <w:sz w:val="18"/>
                <w:szCs w:val="18"/>
              </w:rPr>
              <w:t>II</w:t>
            </w:r>
            <w:r w:rsidRPr="00FD599C">
              <w:rPr>
                <w:rFonts w:ascii="Arial Narrow" w:hAnsi="Arial Narrow" w:cs="Arial"/>
                <w:bCs/>
                <w:sz w:val="18"/>
                <w:szCs w:val="18"/>
              </w:rPr>
              <w:t xml:space="preserve"> trim</w:t>
            </w:r>
          </w:p>
          <w:p w:rsidR="003B3E1E" w:rsidRPr="00FD599C" w:rsidRDefault="003B3E1E" w:rsidP="00424901">
            <w:pPr>
              <w:spacing w:before="40" w:after="20"/>
              <w:jc w:val="center"/>
              <w:rPr>
                <w:rFonts w:ascii="Arial Narrow" w:hAnsi="Arial Narrow" w:cs="Arial"/>
                <w:bCs/>
                <w:sz w:val="18"/>
                <w:szCs w:val="18"/>
              </w:rPr>
            </w:pPr>
            <w:r>
              <w:rPr>
                <w:rFonts w:ascii="Arial Narrow" w:hAnsi="Arial Narrow" w:cs="Arial"/>
                <w:bCs/>
                <w:sz w:val="18"/>
                <w:szCs w:val="18"/>
              </w:rPr>
              <w:t>202</w:t>
            </w:r>
            <w:r w:rsidR="00424901">
              <w:rPr>
                <w:rFonts w:ascii="Arial Narrow" w:hAnsi="Arial Narrow" w:cs="Arial"/>
                <w:bCs/>
                <w:sz w:val="18"/>
                <w:szCs w:val="18"/>
              </w:rPr>
              <w:t>3</w:t>
            </w:r>
          </w:p>
        </w:tc>
        <w:tc>
          <w:tcPr>
            <w:tcW w:w="737" w:type="dxa"/>
            <w:vAlign w:val="center"/>
          </w:tcPr>
          <w:p w:rsidR="003B3E1E" w:rsidRDefault="003B3E1E" w:rsidP="003B3E1E">
            <w:pPr>
              <w:spacing w:before="40" w:after="20"/>
              <w:jc w:val="center"/>
              <w:rPr>
                <w:rFonts w:ascii="Arial Narrow" w:hAnsi="Arial Narrow" w:cs="Arial"/>
                <w:bCs/>
                <w:sz w:val="18"/>
                <w:szCs w:val="18"/>
              </w:rPr>
            </w:pPr>
            <w:r w:rsidRPr="00FD599C">
              <w:rPr>
                <w:rFonts w:ascii="Arial Narrow" w:hAnsi="Arial Narrow" w:cs="Arial"/>
                <w:bCs/>
                <w:sz w:val="18"/>
                <w:szCs w:val="18"/>
              </w:rPr>
              <w:t>III trim</w:t>
            </w:r>
          </w:p>
          <w:p w:rsidR="003B3E1E" w:rsidRPr="00FD599C" w:rsidRDefault="003B3E1E" w:rsidP="003B3E1E">
            <w:pPr>
              <w:spacing w:before="40" w:after="20"/>
              <w:jc w:val="center"/>
              <w:rPr>
                <w:rFonts w:ascii="Arial Narrow" w:hAnsi="Arial Narrow" w:cs="Arial"/>
                <w:bCs/>
                <w:sz w:val="18"/>
                <w:szCs w:val="18"/>
              </w:rPr>
            </w:pPr>
            <w:r>
              <w:rPr>
                <w:rFonts w:ascii="Arial Narrow" w:hAnsi="Arial Narrow" w:cs="Arial"/>
                <w:bCs/>
                <w:sz w:val="18"/>
                <w:szCs w:val="18"/>
              </w:rPr>
              <w:t>202</w:t>
            </w:r>
            <w:r w:rsidR="00424901">
              <w:rPr>
                <w:rFonts w:ascii="Arial Narrow" w:hAnsi="Arial Narrow" w:cs="Arial"/>
                <w:bCs/>
                <w:sz w:val="18"/>
                <w:szCs w:val="18"/>
              </w:rPr>
              <w:t>3</w:t>
            </w:r>
          </w:p>
        </w:tc>
        <w:tc>
          <w:tcPr>
            <w:tcW w:w="737" w:type="dxa"/>
            <w:shd w:val="clear" w:color="auto" w:fill="D9D9D9" w:themeFill="background1" w:themeFillShade="D9"/>
            <w:vAlign w:val="center"/>
          </w:tcPr>
          <w:p w:rsidR="003B3E1E" w:rsidRDefault="003B3E1E" w:rsidP="003B3E1E">
            <w:pPr>
              <w:spacing w:before="40" w:after="20"/>
              <w:jc w:val="center"/>
              <w:rPr>
                <w:rFonts w:ascii="Arial Narrow" w:hAnsi="Arial Narrow" w:cs="Arial"/>
                <w:bCs/>
                <w:sz w:val="18"/>
                <w:szCs w:val="18"/>
              </w:rPr>
            </w:pPr>
            <w:r w:rsidRPr="00FD599C">
              <w:rPr>
                <w:rFonts w:ascii="Arial Narrow" w:hAnsi="Arial Narrow" w:cs="Arial"/>
                <w:bCs/>
                <w:sz w:val="18"/>
                <w:szCs w:val="18"/>
              </w:rPr>
              <w:t>IV trim</w:t>
            </w:r>
          </w:p>
          <w:p w:rsidR="003B3E1E" w:rsidRPr="00FD599C" w:rsidRDefault="003B3E1E" w:rsidP="003B3E1E">
            <w:pPr>
              <w:spacing w:before="40" w:after="20"/>
              <w:jc w:val="center"/>
              <w:rPr>
                <w:rFonts w:ascii="Arial Narrow" w:hAnsi="Arial Narrow" w:cs="Arial"/>
                <w:bCs/>
                <w:sz w:val="18"/>
                <w:szCs w:val="18"/>
              </w:rPr>
            </w:pPr>
            <w:r>
              <w:rPr>
                <w:rFonts w:ascii="Arial Narrow" w:hAnsi="Arial Narrow" w:cs="Arial"/>
                <w:bCs/>
                <w:sz w:val="18"/>
                <w:szCs w:val="18"/>
              </w:rPr>
              <w:t>202</w:t>
            </w:r>
            <w:r w:rsidR="00424901">
              <w:rPr>
                <w:rFonts w:ascii="Arial Narrow" w:hAnsi="Arial Narrow" w:cs="Arial"/>
                <w:bCs/>
                <w:sz w:val="18"/>
                <w:szCs w:val="18"/>
              </w:rPr>
              <w:t>3</w:t>
            </w:r>
          </w:p>
        </w:tc>
        <w:tc>
          <w:tcPr>
            <w:tcW w:w="710" w:type="dxa"/>
            <w:shd w:val="clear" w:color="auto" w:fill="auto"/>
            <w:vAlign w:val="center"/>
          </w:tcPr>
          <w:p w:rsidR="003B3E1E" w:rsidRDefault="00424901" w:rsidP="003B3E1E">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2023</w:t>
            </w:r>
          </w:p>
          <w:p w:rsidR="003B3E1E" w:rsidRPr="008814F3" w:rsidRDefault="003B3E1E" w:rsidP="00424901">
            <w:pPr>
              <w:widowControl/>
              <w:overflowPunct/>
              <w:autoSpaceDE/>
              <w:autoSpaceDN/>
              <w:adjustRightInd/>
              <w:spacing w:before="0" w:after="0"/>
              <w:ind w:right="57"/>
              <w:jc w:val="right"/>
              <w:rPr>
                <w:rFonts w:ascii="Arial Narrow" w:hAnsi="Arial Narrow" w:cs="Arial"/>
                <w:b/>
                <w:bCs/>
                <w:kern w:val="0"/>
                <w:sz w:val="18"/>
                <w:szCs w:val="18"/>
              </w:rPr>
            </w:pPr>
            <w:r>
              <w:rPr>
                <w:rFonts w:ascii="Arial Narrow" w:hAnsi="Arial Narrow" w:cs="Arial"/>
                <w:kern w:val="0"/>
                <w:sz w:val="18"/>
                <w:szCs w:val="18"/>
              </w:rPr>
              <w:t>202</w:t>
            </w:r>
            <w:r w:rsidR="00424901">
              <w:rPr>
                <w:rFonts w:ascii="Arial Narrow" w:hAnsi="Arial Narrow" w:cs="Arial"/>
                <w:kern w:val="0"/>
                <w:sz w:val="18"/>
                <w:szCs w:val="18"/>
              </w:rPr>
              <w:t>2</w:t>
            </w:r>
          </w:p>
        </w:tc>
        <w:tc>
          <w:tcPr>
            <w:tcW w:w="992" w:type="dxa"/>
            <w:vMerge/>
            <w:shd w:val="clear" w:color="auto" w:fill="D9D9D9" w:themeFill="background1" w:themeFillShade="D9"/>
            <w:vAlign w:val="center"/>
          </w:tcPr>
          <w:p w:rsidR="003B3E1E" w:rsidRDefault="003B3E1E" w:rsidP="003B3E1E">
            <w:pPr>
              <w:widowControl/>
              <w:overflowPunct/>
              <w:autoSpaceDE/>
              <w:autoSpaceDN/>
              <w:adjustRightInd/>
              <w:spacing w:before="0" w:after="0"/>
              <w:jc w:val="right"/>
              <w:rPr>
                <w:rFonts w:ascii="Arial Narrow" w:hAnsi="Arial Narrow" w:cs="Arial"/>
                <w:kern w:val="0"/>
                <w:sz w:val="18"/>
                <w:szCs w:val="18"/>
                <w:u w:val="single"/>
              </w:rPr>
            </w:pPr>
          </w:p>
        </w:tc>
        <w:tc>
          <w:tcPr>
            <w:tcW w:w="851" w:type="dxa"/>
            <w:vMerge/>
            <w:vAlign w:val="center"/>
          </w:tcPr>
          <w:p w:rsidR="003B3E1E" w:rsidRDefault="003B3E1E" w:rsidP="003B3E1E">
            <w:pPr>
              <w:widowControl/>
              <w:overflowPunct/>
              <w:autoSpaceDE/>
              <w:autoSpaceDN/>
              <w:adjustRightInd/>
              <w:spacing w:before="0" w:after="0"/>
              <w:jc w:val="right"/>
              <w:rPr>
                <w:rFonts w:ascii="Arial Narrow" w:hAnsi="Arial Narrow" w:cs="Arial"/>
                <w:kern w:val="0"/>
                <w:sz w:val="18"/>
                <w:szCs w:val="18"/>
                <w:u w:val="single"/>
              </w:rPr>
            </w:pPr>
          </w:p>
        </w:tc>
        <w:tc>
          <w:tcPr>
            <w:tcW w:w="851" w:type="dxa"/>
            <w:vMerge/>
            <w:shd w:val="clear" w:color="auto" w:fill="D9D9D9" w:themeFill="background1" w:themeFillShade="D9"/>
            <w:vAlign w:val="center"/>
          </w:tcPr>
          <w:p w:rsidR="003B3E1E" w:rsidRDefault="003B3E1E" w:rsidP="003B3E1E">
            <w:pPr>
              <w:widowControl/>
              <w:overflowPunct/>
              <w:autoSpaceDE/>
              <w:autoSpaceDN/>
              <w:adjustRightInd/>
              <w:spacing w:before="0" w:after="0"/>
              <w:jc w:val="right"/>
              <w:rPr>
                <w:rFonts w:ascii="Arial Narrow" w:hAnsi="Arial Narrow" w:cs="Arial"/>
                <w:kern w:val="0"/>
                <w:sz w:val="18"/>
                <w:szCs w:val="18"/>
                <w:u w:val="single"/>
              </w:rPr>
            </w:pPr>
          </w:p>
        </w:tc>
      </w:tr>
      <w:tr w:rsidR="00BE0F3A" w:rsidRPr="00C8504B" w:rsidTr="00D31F8A">
        <w:trPr>
          <w:trHeight w:val="255"/>
        </w:trPr>
        <w:tc>
          <w:tcPr>
            <w:tcW w:w="2977" w:type="dxa"/>
            <w:vAlign w:val="center"/>
          </w:tcPr>
          <w:p w:rsidR="00BE0F3A" w:rsidRPr="00C8504B" w:rsidRDefault="00BE0F3A" w:rsidP="00BE0F3A">
            <w:pPr>
              <w:spacing w:before="40" w:after="20"/>
              <w:rPr>
                <w:rFonts w:ascii="Arial Narrow" w:hAnsi="Arial Narrow" w:cs="Arial"/>
                <w:sz w:val="18"/>
                <w:szCs w:val="18"/>
              </w:rPr>
            </w:pPr>
            <w:r w:rsidRPr="00C8504B">
              <w:rPr>
                <w:rFonts w:ascii="Arial Narrow" w:hAnsi="Arial Narrow" w:cs="Arial"/>
                <w:sz w:val="18"/>
                <w:szCs w:val="18"/>
              </w:rPr>
              <w:t>Prodotti alimentari e bevande analcoliche</w:t>
            </w:r>
          </w:p>
        </w:tc>
        <w:tc>
          <w:tcPr>
            <w:tcW w:w="737" w:type="dxa"/>
            <w:shd w:val="clear" w:color="auto" w:fill="D9D9D9" w:themeFill="background1" w:themeFillShade="D9"/>
            <w:vAlign w:val="center"/>
          </w:tcPr>
          <w:p w:rsidR="00BE0F3A" w:rsidRPr="00A376E5" w:rsidRDefault="00BE0F3A" w:rsidP="00BE0F3A">
            <w:pPr>
              <w:spacing w:before="40" w:after="20"/>
              <w:ind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9,3</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+13,1</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+11,8</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+10,0</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+6,2</w:t>
            </w:r>
          </w:p>
        </w:tc>
        <w:tc>
          <w:tcPr>
            <w:tcW w:w="710" w:type="dxa"/>
            <w:shd w:val="clear" w:color="auto" w:fill="auto"/>
            <w:vAlign w:val="center"/>
          </w:tcPr>
          <w:p w:rsidR="00BE0F3A" w:rsidRPr="002D7A43" w:rsidRDefault="00BE0F3A" w:rsidP="00BE0F3A">
            <w:pPr>
              <w:spacing w:before="40" w:after="20"/>
              <w:ind w:right="57"/>
              <w:jc w:val="right"/>
              <w:rPr>
                <w:rFonts w:ascii="Arial Narrow" w:hAnsi="Arial Narrow" w:cs="Arial"/>
                <w:sz w:val="18"/>
                <w:szCs w:val="18"/>
              </w:rPr>
            </w:pPr>
            <w:r w:rsidRPr="002D7A43">
              <w:rPr>
                <w:rFonts w:ascii="Arial Narrow" w:hAnsi="Arial Narrow" w:cs="Arial"/>
                <w:sz w:val="18"/>
                <w:szCs w:val="18"/>
              </w:rPr>
              <w:t>+10,2</w:t>
            </w:r>
          </w:p>
        </w:tc>
        <w:tc>
          <w:tcPr>
            <w:tcW w:w="992" w:type="dxa"/>
            <w:shd w:val="clear" w:color="auto" w:fill="D9D9D9" w:themeFill="background1" w:themeFillShade="D9"/>
            <w:vAlign w:val="center"/>
          </w:tcPr>
          <w:p w:rsidR="00BE0F3A" w:rsidRPr="00BE0F3A" w:rsidRDefault="00BE0F3A" w:rsidP="00BE0F3A">
            <w:pPr>
              <w:widowControl/>
              <w:overflowPunct/>
              <w:autoSpaceDE/>
              <w:autoSpaceDN/>
              <w:adjustRightInd/>
              <w:spacing w:before="40" w:after="20"/>
              <w:ind w:left="-57" w:right="57"/>
              <w:jc w:val="right"/>
              <w:rPr>
                <w:rFonts w:ascii="Arial Narrow" w:hAnsi="Arial Narrow" w:cs="Arial"/>
                <w:sz w:val="18"/>
                <w:szCs w:val="18"/>
              </w:rPr>
            </w:pPr>
            <w:r w:rsidRPr="00BE0F3A">
              <w:rPr>
                <w:rFonts w:ascii="Arial Narrow" w:hAnsi="Arial Narrow" w:cs="Arial"/>
                <w:sz w:val="18"/>
                <w:szCs w:val="18"/>
              </w:rPr>
              <w:t>+5,3</w:t>
            </w:r>
          </w:p>
        </w:tc>
        <w:tc>
          <w:tcPr>
            <w:tcW w:w="851" w:type="dxa"/>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+4,6</w:t>
            </w:r>
          </w:p>
        </w:tc>
        <w:tc>
          <w:tcPr>
            <w:tcW w:w="851" w:type="dxa"/>
            <w:shd w:val="clear" w:color="auto" w:fill="D9D9D9" w:themeFill="background1" w:themeFillShade="D9"/>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+1,4</w:t>
            </w:r>
          </w:p>
        </w:tc>
      </w:tr>
      <w:tr w:rsidR="00BE0F3A" w:rsidRPr="00C8504B" w:rsidTr="00D31F8A">
        <w:trPr>
          <w:trHeight w:val="255"/>
        </w:trPr>
        <w:tc>
          <w:tcPr>
            <w:tcW w:w="2977" w:type="dxa"/>
            <w:vAlign w:val="center"/>
          </w:tcPr>
          <w:p w:rsidR="00BE0F3A" w:rsidRPr="00C8504B" w:rsidRDefault="00BE0F3A" w:rsidP="00BE0F3A">
            <w:pPr>
              <w:spacing w:before="40" w:after="20"/>
              <w:rPr>
                <w:rFonts w:ascii="Arial Narrow" w:hAnsi="Arial Narrow" w:cs="Arial"/>
                <w:sz w:val="18"/>
                <w:szCs w:val="18"/>
              </w:rPr>
            </w:pPr>
            <w:r w:rsidRPr="00C8504B">
              <w:rPr>
                <w:rFonts w:ascii="Arial Narrow" w:hAnsi="Arial Narrow" w:cs="Arial"/>
                <w:sz w:val="18"/>
                <w:szCs w:val="18"/>
              </w:rPr>
              <w:t>Bevande alcoliche e tabacchi</w:t>
            </w:r>
          </w:p>
        </w:tc>
        <w:tc>
          <w:tcPr>
            <w:tcW w:w="737" w:type="dxa"/>
            <w:shd w:val="clear" w:color="auto" w:fill="D9D9D9" w:themeFill="background1" w:themeFillShade="D9"/>
            <w:vAlign w:val="center"/>
          </w:tcPr>
          <w:p w:rsidR="00BE0F3A" w:rsidRPr="00A376E5" w:rsidRDefault="00BE0F3A" w:rsidP="00BE0F3A">
            <w:pPr>
              <w:spacing w:before="40" w:after="20"/>
              <w:ind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1,3</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+3,4</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+4,2</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+3,4</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+2,9</w:t>
            </w:r>
          </w:p>
        </w:tc>
        <w:tc>
          <w:tcPr>
            <w:tcW w:w="710" w:type="dxa"/>
            <w:shd w:val="clear" w:color="auto" w:fill="auto"/>
            <w:vAlign w:val="center"/>
          </w:tcPr>
          <w:p w:rsidR="00BE0F3A" w:rsidRPr="002D7A43" w:rsidRDefault="00BE0F3A" w:rsidP="00BE0F3A">
            <w:pPr>
              <w:spacing w:before="40" w:after="20"/>
              <w:ind w:right="57"/>
              <w:jc w:val="right"/>
              <w:rPr>
                <w:rFonts w:ascii="Arial Narrow" w:hAnsi="Arial Narrow" w:cs="Arial"/>
                <w:sz w:val="18"/>
                <w:szCs w:val="18"/>
              </w:rPr>
            </w:pPr>
            <w:r w:rsidRPr="002D7A43">
              <w:rPr>
                <w:rFonts w:ascii="Arial Narrow" w:hAnsi="Arial Narrow" w:cs="Arial"/>
                <w:sz w:val="18"/>
                <w:szCs w:val="18"/>
              </w:rPr>
              <w:t>+3,5</w:t>
            </w:r>
          </w:p>
        </w:tc>
        <w:tc>
          <w:tcPr>
            <w:tcW w:w="992" w:type="dxa"/>
            <w:shd w:val="clear" w:color="auto" w:fill="D9D9D9" w:themeFill="background1" w:themeFillShade="D9"/>
            <w:vAlign w:val="center"/>
          </w:tcPr>
          <w:p w:rsidR="00BE0F3A" w:rsidRPr="00BE0F3A" w:rsidRDefault="00BE0F3A" w:rsidP="00BE0F3A">
            <w:pPr>
              <w:widowControl/>
              <w:overflowPunct/>
              <w:autoSpaceDE/>
              <w:autoSpaceDN/>
              <w:adjustRightInd/>
              <w:spacing w:before="40" w:after="20"/>
              <w:ind w:left="-57" w:right="57"/>
              <w:jc w:val="right"/>
              <w:rPr>
                <w:rFonts w:ascii="Arial Narrow" w:hAnsi="Arial Narrow" w:cs="Arial"/>
                <w:sz w:val="18"/>
                <w:szCs w:val="18"/>
              </w:rPr>
            </w:pPr>
            <w:r w:rsidRPr="00BE0F3A">
              <w:rPr>
                <w:rFonts w:ascii="Arial Narrow" w:hAnsi="Arial Narrow" w:cs="Arial"/>
                <w:sz w:val="18"/>
                <w:szCs w:val="18"/>
              </w:rPr>
              <w:t>+0,5</w:t>
            </w:r>
          </w:p>
        </w:tc>
        <w:tc>
          <w:tcPr>
            <w:tcW w:w="851" w:type="dxa"/>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+3,0</w:t>
            </w:r>
          </w:p>
        </w:tc>
        <w:tc>
          <w:tcPr>
            <w:tcW w:w="851" w:type="dxa"/>
            <w:shd w:val="clear" w:color="auto" w:fill="D9D9D9" w:themeFill="background1" w:themeFillShade="D9"/>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-0,3</w:t>
            </w:r>
          </w:p>
        </w:tc>
      </w:tr>
      <w:tr w:rsidR="00BE0F3A" w:rsidRPr="00C8504B" w:rsidTr="00D31F8A">
        <w:trPr>
          <w:trHeight w:val="255"/>
        </w:trPr>
        <w:tc>
          <w:tcPr>
            <w:tcW w:w="2977" w:type="dxa"/>
            <w:vAlign w:val="center"/>
          </w:tcPr>
          <w:p w:rsidR="00BE0F3A" w:rsidRPr="00C8504B" w:rsidRDefault="00BE0F3A" w:rsidP="00BE0F3A">
            <w:pPr>
              <w:spacing w:before="40" w:after="20"/>
              <w:rPr>
                <w:rFonts w:ascii="Arial Narrow" w:hAnsi="Arial Narrow" w:cs="Arial"/>
                <w:sz w:val="18"/>
                <w:szCs w:val="18"/>
              </w:rPr>
            </w:pPr>
            <w:r w:rsidRPr="00C8504B">
              <w:rPr>
                <w:rFonts w:ascii="Arial Narrow" w:hAnsi="Arial Narrow" w:cs="Arial"/>
                <w:sz w:val="18"/>
                <w:szCs w:val="18"/>
              </w:rPr>
              <w:t>Abbigliamento e calzature</w:t>
            </w:r>
          </w:p>
        </w:tc>
        <w:tc>
          <w:tcPr>
            <w:tcW w:w="737" w:type="dxa"/>
            <w:shd w:val="clear" w:color="auto" w:fill="D9D9D9" w:themeFill="background1" w:themeFillShade="D9"/>
            <w:vAlign w:val="center"/>
          </w:tcPr>
          <w:p w:rsidR="00BE0F3A" w:rsidRPr="00A376E5" w:rsidRDefault="00BE0F3A" w:rsidP="00BE0F3A">
            <w:pPr>
              <w:spacing w:before="40" w:after="20"/>
              <w:ind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1,5</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+5,8</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+3,3</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+3,3</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+2,1</w:t>
            </w:r>
          </w:p>
        </w:tc>
        <w:tc>
          <w:tcPr>
            <w:tcW w:w="710" w:type="dxa"/>
            <w:shd w:val="clear" w:color="auto" w:fill="auto"/>
            <w:vAlign w:val="center"/>
          </w:tcPr>
          <w:p w:rsidR="00BE0F3A" w:rsidRPr="002D7A43" w:rsidRDefault="00BE0F3A" w:rsidP="00BE0F3A">
            <w:pPr>
              <w:spacing w:before="40" w:after="20"/>
              <w:ind w:right="57"/>
              <w:jc w:val="right"/>
              <w:rPr>
                <w:rFonts w:ascii="Arial Narrow" w:hAnsi="Arial Narrow" w:cs="Arial"/>
                <w:sz w:val="18"/>
                <w:szCs w:val="18"/>
              </w:rPr>
            </w:pPr>
            <w:r w:rsidRPr="002D7A43">
              <w:rPr>
                <w:rFonts w:ascii="Arial Narrow" w:hAnsi="Arial Narrow" w:cs="Arial"/>
                <w:sz w:val="18"/>
                <w:szCs w:val="18"/>
              </w:rPr>
              <w:t>+3,5</w:t>
            </w:r>
          </w:p>
        </w:tc>
        <w:tc>
          <w:tcPr>
            <w:tcW w:w="992" w:type="dxa"/>
            <w:shd w:val="clear" w:color="auto" w:fill="D9D9D9" w:themeFill="background1" w:themeFillShade="D9"/>
            <w:vAlign w:val="center"/>
          </w:tcPr>
          <w:p w:rsidR="00BE0F3A" w:rsidRPr="00BE0F3A" w:rsidRDefault="00BE0F3A" w:rsidP="00BE0F3A">
            <w:pPr>
              <w:widowControl/>
              <w:overflowPunct/>
              <w:autoSpaceDE/>
              <w:autoSpaceDN/>
              <w:adjustRightInd/>
              <w:spacing w:before="40" w:after="20"/>
              <w:ind w:left="-57" w:right="57"/>
              <w:jc w:val="right"/>
              <w:rPr>
                <w:rFonts w:ascii="Arial Narrow" w:hAnsi="Arial Narrow" w:cs="Arial"/>
                <w:sz w:val="18"/>
                <w:szCs w:val="18"/>
              </w:rPr>
            </w:pPr>
            <w:r w:rsidRPr="00BE0F3A">
              <w:rPr>
                <w:rFonts w:ascii="Arial Narrow" w:hAnsi="Arial Narrow" w:cs="Arial"/>
                <w:sz w:val="18"/>
                <w:szCs w:val="18"/>
              </w:rPr>
              <w:t>+10,6</w:t>
            </w:r>
          </w:p>
        </w:tc>
        <w:tc>
          <w:tcPr>
            <w:tcW w:w="851" w:type="dxa"/>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-6,4</w:t>
            </w:r>
          </w:p>
        </w:tc>
        <w:tc>
          <w:tcPr>
            <w:tcW w:w="851" w:type="dxa"/>
            <w:shd w:val="clear" w:color="auto" w:fill="D9D9D9" w:themeFill="background1" w:themeFillShade="D9"/>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+9,0</w:t>
            </w:r>
          </w:p>
        </w:tc>
      </w:tr>
      <w:tr w:rsidR="00BE0F3A" w:rsidRPr="00C8504B" w:rsidTr="00D31F8A">
        <w:trPr>
          <w:trHeight w:val="255"/>
        </w:trPr>
        <w:tc>
          <w:tcPr>
            <w:tcW w:w="2977" w:type="dxa"/>
            <w:vAlign w:val="center"/>
          </w:tcPr>
          <w:p w:rsidR="00BE0F3A" w:rsidRPr="00C8504B" w:rsidRDefault="00BE0F3A" w:rsidP="00BE0F3A">
            <w:pPr>
              <w:spacing w:before="40" w:after="20"/>
              <w:rPr>
                <w:rFonts w:ascii="Arial Narrow" w:hAnsi="Arial Narrow" w:cs="Arial"/>
                <w:sz w:val="18"/>
                <w:szCs w:val="18"/>
              </w:rPr>
            </w:pPr>
            <w:r w:rsidRPr="00C8504B">
              <w:rPr>
                <w:rFonts w:ascii="Arial Narrow" w:hAnsi="Arial Narrow" w:cs="Arial"/>
                <w:sz w:val="18"/>
                <w:szCs w:val="18"/>
              </w:rPr>
              <w:t>Abitazione, acqua, elettricità e combustibili</w:t>
            </w:r>
          </w:p>
        </w:tc>
        <w:tc>
          <w:tcPr>
            <w:tcW w:w="737" w:type="dxa"/>
            <w:shd w:val="clear" w:color="auto" w:fill="D9D9D9" w:themeFill="background1" w:themeFillShade="D9"/>
            <w:vAlign w:val="center"/>
          </w:tcPr>
          <w:p w:rsidR="00BE0F3A" w:rsidRPr="00A376E5" w:rsidRDefault="00BE0F3A" w:rsidP="00BE0F3A">
            <w:pPr>
              <w:spacing w:before="40" w:after="20"/>
              <w:ind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35</w:t>
            </w:r>
            <w:r w:rsidR="00DD0F00">
              <w:rPr>
                <w:rFonts w:ascii="Arial Narrow" w:hAnsi="Arial Narrow" w:cs="Arial"/>
                <w:sz w:val="18"/>
                <w:szCs w:val="18"/>
              </w:rPr>
              <w:t>,0</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+24,6</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+14,0</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+4,2</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-18,9</w:t>
            </w:r>
          </w:p>
        </w:tc>
        <w:tc>
          <w:tcPr>
            <w:tcW w:w="710" w:type="dxa"/>
            <w:shd w:val="clear" w:color="auto" w:fill="auto"/>
            <w:vAlign w:val="center"/>
          </w:tcPr>
          <w:p w:rsidR="00BE0F3A" w:rsidRPr="002D7A43" w:rsidRDefault="00BE0F3A" w:rsidP="00BE0F3A">
            <w:pPr>
              <w:spacing w:before="40" w:after="20"/>
              <w:ind w:right="57"/>
              <w:jc w:val="right"/>
              <w:rPr>
                <w:rFonts w:ascii="Arial Narrow" w:hAnsi="Arial Narrow" w:cs="Arial"/>
                <w:sz w:val="18"/>
                <w:szCs w:val="18"/>
              </w:rPr>
            </w:pPr>
            <w:r w:rsidRPr="002D7A43">
              <w:rPr>
                <w:rFonts w:ascii="Arial Narrow" w:hAnsi="Arial Narrow" w:cs="Arial"/>
                <w:sz w:val="18"/>
                <w:szCs w:val="18"/>
              </w:rPr>
              <w:t>+3,9</w:t>
            </w:r>
          </w:p>
        </w:tc>
        <w:tc>
          <w:tcPr>
            <w:tcW w:w="992" w:type="dxa"/>
            <w:shd w:val="clear" w:color="auto" w:fill="D9D9D9" w:themeFill="background1" w:themeFillShade="D9"/>
            <w:vAlign w:val="center"/>
          </w:tcPr>
          <w:p w:rsidR="00BE0F3A" w:rsidRPr="00BE0F3A" w:rsidRDefault="00BE0F3A" w:rsidP="00BE0F3A">
            <w:pPr>
              <w:widowControl/>
              <w:overflowPunct/>
              <w:autoSpaceDE/>
              <w:autoSpaceDN/>
              <w:adjustRightInd/>
              <w:spacing w:before="40" w:after="20"/>
              <w:ind w:left="-57" w:right="57"/>
              <w:jc w:val="right"/>
              <w:rPr>
                <w:rFonts w:ascii="Arial Narrow" w:hAnsi="Arial Narrow" w:cs="Arial"/>
                <w:sz w:val="18"/>
                <w:szCs w:val="18"/>
              </w:rPr>
            </w:pPr>
            <w:r w:rsidRPr="00BE0F3A">
              <w:rPr>
                <w:rFonts w:ascii="Arial Narrow" w:hAnsi="Arial Narrow" w:cs="Arial"/>
                <w:sz w:val="18"/>
                <w:szCs w:val="18"/>
              </w:rPr>
              <w:t>+23,5</w:t>
            </w:r>
          </w:p>
        </w:tc>
        <w:tc>
          <w:tcPr>
            <w:tcW w:w="851" w:type="dxa"/>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-15,9</w:t>
            </w:r>
          </w:p>
        </w:tc>
        <w:tc>
          <w:tcPr>
            <w:tcW w:w="851" w:type="dxa"/>
            <w:shd w:val="clear" w:color="auto" w:fill="D9D9D9" w:themeFill="background1" w:themeFillShade="D9"/>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-4,1</w:t>
            </w:r>
          </w:p>
        </w:tc>
      </w:tr>
      <w:tr w:rsidR="00BE0F3A" w:rsidRPr="00C8504B" w:rsidTr="00D31F8A">
        <w:trPr>
          <w:trHeight w:val="255"/>
        </w:trPr>
        <w:tc>
          <w:tcPr>
            <w:tcW w:w="2977" w:type="dxa"/>
            <w:vAlign w:val="center"/>
          </w:tcPr>
          <w:p w:rsidR="00BE0F3A" w:rsidRPr="00C8504B" w:rsidRDefault="00BE0F3A" w:rsidP="00BE0F3A">
            <w:pPr>
              <w:spacing w:before="40" w:after="20"/>
              <w:rPr>
                <w:rFonts w:ascii="Arial Narrow" w:hAnsi="Arial Narrow" w:cs="Arial"/>
                <w:sz w:val="18"/>
                <w:szCs w:val="18"/>
              </w:rPr>
            </w:pPr>
            <w:r w:rsidRPr="00C8504B">
              <w:rPr>
                <w:rFonts w:ascii="Arial Narrow" w:hAnsi="Arial Narrow" w:cs="Arial"/>
                <w:sz w:val="18"/>
                <w:szCs w:val="18"/>
              </w:rPr>
              <w:t>Mobili, articoli e servizi per la casa</w:t>
            </w:r>
          </w:p>
        </w:tc>
        <w:tc>
          <w:tcPr>
            <w:tcW w:w="737" w:type="dxa"/>
            <w:shd w:val="clear" w:color="auto" w:fill="D9D9D9" w:themeFill="background1" w:themeFillShade="D9"/>
            <w:vAlign w:val="center"/>
          </w:tcPr>
          <w:p w:rsidR="00BE0F3A" w:rsidRPr="00A376E5" w:rsidRDefault="00BE0F3A" w:rsidP="00BE0F3A">
            <w:pPr>
              <w:spacing w:before="40" w:after="20"/>
              <w:ind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5,2</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+7,9</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+6,7</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+5,3</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+3,3</w:t>
            </w:r>
          </w:p>
        </w:tc>
        <w:tc>
          <w:tcPr>
            <w:tcW w:w="710" w:type="dxa"/>
            <w:shd w:val="clear" w:color="auto" w:fill="auto"/>
            <w:vAlign w:val="center"/>
          </w:tcPr>
          <w:p w:rsidR="00BE0F3A" w:rsidRPr="002D7A43" w:rsidRDefault="00BE0F3A" w:rsidP="00BE0F3A">
            <w:pPr>
              <w:spacing w:before="40" w:after="20"/>
              <w:ind w:right="57"/>
              <w:jc w:val="right"/>
              <w:rPr>
                <w:rFonts w:ascii="Arial Narrow" w:hAnsi="Arial Narrow" w:cs="Arial"/>
                <w:sz w:val="18"/>
                <w:szCs w:val="18"/>
              </w:rPr>
            </w:pPr>
            <w:r w:rsidRPr="002D7A43">
              <w:rPr>
                <w:rFonts w:ascii="Arial Narrow" w:hAnsi="Arial Narrow" w:cs="Arial"/>
                <w:sz w:val="18"/>
                <w:szCs w:val="18"/>
              </w:rPr>
              <w:t>+5,7</w:t>
            </w:r>
          </w:p>
        </w:tc>
        <w:tc>
          <w:tcPr>
            <w:tcW w:w="992" w:type="dxa"/>
            <w:shd w:val="clear" w:color="auto" w:fill="D9D9D9" w:themeFill="background1" w:themeFillShade="D9"/>
            <w:vAlign w:val="center"/>
          </w:tcPr>
          <w:p w:rsidR="00BE0F3A" w:rsidRPr="00BE0F3A" w:rsidRDefault="00BE0F3A" w:rsidP="00BE0F3A">
            <w:pPr>
              <w:widowControl/>
              <w:overflowPunct/>
              <w:autoSpaceDE/>
              <w:autoSpaceDN/>
              <w:adjustRightInd/>
              <w:spacing w:before="40" w:after="20"/>
              <w:ind w:left="-57" w:right="57"/>
              <w:jc w:val="right"/>
              <w:rPr>
                <w:rFonts w:ascii="Arial Narrow" w:hAnsi="Arial Narrow" w:cs="Arial"/>
                <w:sz w:val="18"/>
                <w:szCs w:val="18"/>
              </w:rPr>
            </w:pPr>
            <w:r w:rsidRPr="00BE0F3A">
              <w:rPr>
                <w:rFonts w:ascii="Arial Narrow" w:hAnsi="Arial Narrow" w:cs="Arial"/>
                <w:sz w:val="18"/>
                <w:szCs w:val="18"/>
              </w:rPr>
              <w:t>+3,7</w:t>
            </w:r>
          </w:p>
        </w:tc>
        <w:tc>
          <w:tcPr>
            <w:tcW w:w="851" w:type="dxa"/>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+2,0</w:t>
            </w:r>
          </w:p>
        </w:tc>
        <w:tc>
          <w:tcPr>
            <w:tcW w:w="851" w:type="dxa"/>
            <w:shd w:val="clear" w:color="auto" w:fill="D9D9D9" w:themeFill="background1" w:themeFillShade="D9"/>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+0,8</w:t>
            </w:r>
          </w:p>
        </w:tc>
      </w:tr>
      <w:tr w:rsidR="00BE0F3A" w:rsidRPr="00C8504B" w:rsidTr="00D31F8A">
        <w:trPr>
          <w:trHeight w:val="255"/>
        </w:trPr>
        <w:tc>
          <w:tcPr>
            <w:tcW w:w="2977" w:type="dxa"/>
            <w:vAlign w:val="center"/>
          </w:tcPr>
          <w:p w:rsidR="00BE0F3A" w:rsidRPr="00C8504B" w:rsidRDefault="00BE0F3A" w:rsidP="00BE0F3A">
            <w:pPr>
              <w:spacing w:before="40" w:after="20"/>
              <w:rPr>
                <w:rFonts w:ascii="Arial Narrow" w:hAnsi="Arial Narrow" w:cs="Arial"/>
                <w:sz w:val="18"/>
                <w:szCs w:val="18"/>
              </w:rPr>
            </w:pPr>
            <w:r w:rsidRPr="00C8504B">
              <w:rPr>
                <w:rFonts w:ascii="Arial Narrow" w:hAnsi="Arial Narrow" w:cs="Arial"/>
                <w:sz w:val="18"/>
                <w:szCs w:val="18"/>
              </w:rPr>
              <w:t>Servizi sanitari e spese per la salute</w:t>
            </w:r>
          </w:p>
        </w:tc>
        <w:tc>
          <w:tcPr>
            <w:tcW w:w="737" w:type="dxa"/>
            <w:shd w:val="clear" w:color="auto" w:fill="D9D9D9" w:themeFill="background1" w:themeFillShade="D9"/>
            <w:vAlign w:val="center"/>
          </w:tcPr>
          <w:p w:rsidR="00BE0F3A" w:rsidRPr="00A376E5" w:rsidRDefault="00BE0F3A" w:rsidP="00BE0F3A">
            <w:pPr>
              <w:spacing w:before="40" w:after="20"/>
              <w:ind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0,9</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+2,4</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+2,5</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+2,6</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+2,6</w:t>
            </w:r>
          </w:p>
        </w:tc>
        <w:tc>
          <w:tcPr>
            <w:tcW w:w="710" w:type="dxa"/>
            <w:shd w:val="clear" w:color="auto" w:fill="auto"/>
            <w:vAlign w:val="center"/>
          </w:tcPr>
          <w:p w:rsidR="00BE0F3A" w:rsidRPr="002D7A43" w:rsidRDefault="00BE0F3A" w:rsidP="00BE0F3A">
            <w:pPr>
              <w:spacing w:before="40" w:after="20"/>
              <w:ind w:right="57"/>
              <w:jc w:val="right"/>
              <w:rPr>
                <w:rFonts w:ascii="Arial Narrow" w:hAnsi="Arial Narrow" w:cs="Arial"/>
                <w:sz w:val="18"/>
                <w:szCs w:val="18"/>
              </w:rPr>
            </w:pPr>
            <w:r w:rsidRPr="002D7A43">
              <w:rPr>
                <w:rFonts w:ascii="Arial Narrow" w:hAnsi="Arial Narrow" w:cs="Arial"/>
                <w:sz w:val="18"/>
                <w:szCs w:val="18"/>
              </w:rPr>
              <w:t>+2,5</w:t>
            </w:r>
          </w:p>
        </w:tc>
        <w:tc>
          <w:tcPr>
            <w:tcW w:w="992" w:type="dxa"/>
            <w:shd w:val="clear" w:color="auto" w:fill="D9D9D9" w:themeFill="background1" w:themeFillShade="D9"/>
            <w:vAlign w:val="center"/>
          </w:tcPr>
          <w:p w:rsidR="00BE0F3A" w:rsidRPr="00BE0F3A" w:rsidRDefault="00BE0F3A" w:rsidP="00BE0F3A">
            <w:pPr>
              <w:widowControl/>
              <w:overflowPunct/>
              <w:autoSpaceDE/>
              <w:autoSpaceDN/>
              <w:adjustRightInd/>
              <w:spacing w:before="40" w:after="20"/>
              <w:ind w:left="-57" w:right="57"/>
              <w:jc w:val="right"/>
              <w:rPr>
                <w:rFonts w:ascii="Arial Narrow" w:hAnsi="Arial Narrow" w:cs="Arial"/>
                <w:sz w:val="18"/>
                <w:szCs w:val="18"/>
              </w:rPr>
            </w:pPr>
            <w:r w:rsidRPr="00BE0F3A">
              <w:rPr>
                <w:rFonts w:ascii="Arial Narrow" w:hAnsi="Arial Narrow" w:cs="Arial"/>
                <w:sz w:val="18"/>
                <w:szCs w:val="18"/>
              </w:rPr>
              <w:t>+0,7</w:t>
            </w:r>
          </w:p>
        </w:tc>
        <w:tc>
          <w:tcPr>
            <w:tcW w:w="851" w:type="dxa"/>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+1,9</w:t>
            </w:r>
          </w:p>
        </w:tc>
        <w:tc>
          <w:tcPr>
            <w:tcW w:w="851" w:type="dxa"/>
            <w:shd w:val="clear" w:color="auto" w:fill="D9D9D9" w:themeFill="background1" w:themeFillShade="D9"/>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+0,7</w:t>
            </w:r>
          </w:p>
        </w:tc>
      </w:tr>
      <w:tr w:rsidR="00BE0F3A" w:rsidRPr="00C8504B" w:rsidTr="00D31F8A">
        <w:trPr>
          <w:trHeight w:val="255"/>
        </w:trPr>
        <w:tc>
          <w:tcPr>
            <w:tcW w:w="2977" w:type="dxa"/>
            <w:vAlign w:val="center"/>
          </w:tcPr>
          <w:p w:rsidR="00BE0F3A" w:rsidRPr="00C8504B" w:rsidRDefault="00BE0F3A" w:rsidP="00BE0F3A">
            <w:pPr>
              <w:spacing w:before="40" w:after="20"/>
              <w:rPr>
                <w:rFonts w:ascii="Arial Narrow" w:hAnsi="Arial Narrow" w:cs="Arial"/>
                <w:sz w:val="18"/>
                <w:szCs w:val="18"/>
              </w:rPr>
            </w:pPr>
            <w:r w:rsidRPr="00C8504B">
              <w:rPr>
                <w:rFonts w:ascii="Arial Narrow" w:hAnsi="Arial Narrow" w:cs="Arial"/>
                <w:sz w:val="18"/>
                <w:szCs w:val="18"/>
              </w:rPr>
              <w:t>Trasporti</w:t>
            </w:r>
          </w:p>
        </w:tc>
        <w:tc>
          <w:tcPr>
            <w:tcW w:w="737" w:type="dxa"/>
            <w:shd w:val="clear" w:color="auto" w:fill="D9D9D9" w:themeFill="background1" w:themeFillShade="D9"/>
            <w:vAlign w:val="center"/>
          </w:tcPr>
          <w:p w:rsidR="00BE0F3A" w:rsidRPr="00A376E5" w:rsidRDefault="00BE0F3A" w:rsidP="00BE0F3A">
            <w:pPr>
              <w:spacing w:before="40" w:after="20"/>
              <w:ind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9,7</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+5,6</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+2,8</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+2,3</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+3,9</w:t>
            </w:r>
          </w:p>
        </w:tc>
        <w:tc>
          <w:tcPr>
            <w:tcW w:w="710" w:type="dxa"/>
            <w:shd w:val="clear" w:color="auto" w:fill="auto"/>
            <w:vAlign w:val="center"/>
          </w:tcPr>
          <w:p w:rsidR="00BE0F3A" w:rsidRPr="002D7A43" w:rsidRDefault="00BE0F3A" w:rsidP="00BE0F3A">
            <w:pPr>
              <w:spacing w:before="40" w:after="20"/>
              <w:ind w:right="57"/>
              <w:jc w:val="right"/>
              <w:rPr>
                <w:rFonts w:ascii="Arial Narrow" w:hAnsi="Arial Narrow" w:cs="Arial"/>
                <w:sz w:val="18"/>
                <w:szCs w:val="18"/>
              </w:rPr>
            </w:pPr>
            <w:r w:rsidRPr="002D7A43">
              <w:rPr>
                <w:rFonts w:ascii="Arial Narrow" w:hAnsi="Arial Narrow" w:cs="Arial"/>
                <w:sz w:val="18"/>
                <w:szCs w:val="18"/>
              </w:rPr>
              <w:t>+3,6</w:t>
            </w:r>
          </w:p>
        </w:tc>
        <w:tc>
          <w:tcPr>
            <w:tcW w:w="992" w:type="dxa"/>
            <w:shd w:val="clear" w:color="auto" w:fill="D9D9D9" w:themeFill="background1" w:themeFillShade="D9"/>
            <w:vAlign w:val="center"/>
          </w:tcPr>
          <w:p w:rsidR="00BE0F3A" w:rsidRPr="00BE0F3A" w:rsidRDefault="00BE0F3A" w:rsidP="00BE0F3A">
            <w:pPr>
              <w:widowControl/>
              <w:overflowPunct/>
              <w:autoSpaceDE/>
              <w:autoSpaceDN/>
              <w:adjustRightInd/>
              <w:spacing w:before="40" w:after="20"/>
              <w:ind w:left="-57" w:right="57"/>
              <w:jc w:val="right"/>
              <w:rPr>
                <w:rFonts w:ascii="Arial Narrow" w:hAnsi="Arial Narrow" w:cs="Arial"/>
                <w:sz w:val="18"/>
                <w:szCs w:val="18"/>
              </w:rPr>
            </w:pPr>
            <w:r w:rsidRPr="00BE0F3A">
              <w:rPr>
                <w:rFonts w:ascii="Arial Narrow" w:hAnsi="Arial Narrow" w:cs="Arial"/>
                <w:sz w:val="18"/>
                <w:szCs w:val="18"/>
              </w:rPr>
              <w:t>+0,4</w:t>
            </w:r>
          </w:p>
        </w:tc>
        <w:tc>
          <w:tcPr>
            <w:tcW w:w="851" w:type="dxa"/>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+3,1</w:t>
            </w:r>
          </w:p>
        </w:tc>
        <w:tc>
          <w:tcPr>
            <w:tcW w:w="851" w:type="dxa"/>
            <w:shd w:val="clear" w:color="auto" w:fill="D9D9D9" w:themeFill="background1" w:themeFillShade="D9"/>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-0,2</w:t>
            </w:r>
          </w:p>
        </w:tc>
      </w:tr>
      <w:tr w:rsidR="00BE0F3A" w:rsidRPr="00C8504B" w:rsidTr="00D31F8A">
        <w:trPr>
          <w:trHeight w:val="255"/>
        </w:trPr>
        <w:tc>
          <w:tcPr>
            <w:tcW w:w="2977" w:type="dxa"/>
            <w:vAlign w:val="center"/>
          </w:tcPr>
          <w:p w:rsidR="00BE0F3A" w:rsidRPr="00C8504B" w:rsidRDefault="00BE0F3A" w:rsidP="00BE0F3A">
            <w:pPr>
              <w:spacing w:before="40" w:after="20"/>
              <w:rPr>
                <w:rFonts w:ascii="Arial Narrow" w:hAnsi="Arial Narrow" w:cs="Arial"/>
                <w:sz w:val="18"/>
                <w:szCs w:val="18"/>
              </w:rPr>
            </w:pPr>
            <w:r w:rsidRPr="00C8504B">
              <w:rPr>
                <w:rFonts w:ascii="Arial Narrow" w:hAnsi="Arial Narrow" w:cs="Arial"/>
                <w:sz w:val="18"/>
                <w:szCs w:val="18"/>
              </w:rPr>
              <w:t>Comunicazioni</w:t>
            </w:r>
          </w:p>
        </w:tc>
        <w:tc>
          <w:tcPr>
            <w:tcW w:w="737" w:type="dxa"/>
            <w:shd w:val="clear" w:color="auto" w:fill="D9D9D9" w:themeFill="background1" w:themeFillShade="D9"/>
            <w:vAlign w:val="center"/>
          </w:tcPr>
          <w:p w:rsidR="00BE0F3A" w:rsidRPr="00A376E5" w:rsidRDefault="00BE0F3A" w:rsidP="00BE0F3A">
            <w:pPr>
              <w:spacing w:before="40" w:after="20"/>
              <w:ind w:right="57"/>
              <w:jc w:val="right"/>
              <w:rPr>
                <w:rFonts w:ascii="Arial Narrow" w:hAnsi="Arial Narrow" w:cs="Arial"/>
                <w:sz w:val="18"/>
                <w:szCs w:val="18"/>
              </w:rPr>
            </w:pPr>
            <w:r w:rsidRPr="00A376E5">
              <w:rPr>
                <w:rFonts w:ascii="Arial Narrow" w:hAnsi="Arial Narrow" w:cs="Arial"/>
                <w:sz w:val="18"/>
                <w:szCs w:val="18"/>
              </w:rPr>
              <w:t>-3,1</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+0,8</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+0,3</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+0,5</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-1,4</w:t>
            </w:r>
          </w:p>
        </w:tc>
        <w:tc>
          <w:tcPr>
            <w:tcW w:w="710" w:type="dxa"/>
            <w:shd w:val="clear" w:color="auto" w:fill="auto"/>
            <w:vAlign w:val="center"/>
          </w:tcPr>
          <w:p w:rsidR="00BE0F3A" w:rsidRPr="002D7A43" w:rsidRDefault="00BE0F3A" w:rsidP="00BE0F3A">
            <w:pPr>
              <w:spacing w:before="40" w:after="20"/>
              <w:ind w:right="57"/>
              <w:jc w:val="right"/>
              <w:rPr>
                <w:rFonts w:ascii="Arial Narrow" w:hAnsi="Arial Narrow" w:cs="Arial"/>
                <w:sz w:val="18"/>
                <w:szCs w:val="18"/>
              </w:rPr>
            </w:pPr>
            <w:r w:rsidRPr="002D7A43">
              <w:rPr>
                <w:rFonts w:ascii="Arial Narrow" w:hAnsi="Arial Narrow" w:cs="Arial"/>
                <w:sz w:val="18"/>
                <w:szCs w:val="18"/>
              </w:rPr>
              <w:t>0,0</w:t>
            </w:r>
          </w:p>
        </w:tc>
        <w:tc>
          <w:tcPr>
            <w:tcW w:w="992" w:type="dxa"/>
            <w:shd w:val="clear" w:color="auto" w:fill="D9D9D9" w:themeFill="background1" w:themeFillShade="D9"/>
            <w:vAlign w:val="center"/>
          </w:tcPr>
          <w:p w:rsidR="00BE0F3A" w:rsidRPr="00BE0F3A" w:rsidRDefault="00BE0F3A" w:rsidP="00BE0F3A">
            <w:pPr>
              <w:widowControl/>
              <w:overflowPunct/>
              <w:autoSpaceDE/>
              <w:autoSpaceDN/>
              <w:adjustRightInd/>
              <w:spacing w:before="40" w:after="20"/>
              <w:ind w:left="-57" w:right="57"/>
              <w:jc w:val="right"/>
              <w:rPr>
                <w:rFonts w:ascii="Arial Narrow" w:hAnsi="Arial Narrow" w:cs="Arial"/>
                <w:sz w:val="18"/>
                <w:szCs w:val="18"/>
              </w:rPr>
            </w:pPr>
            <w:r w:rsidRPr="00BE0F3A">
              <w:rPr>
                <w:rFonts w:ascii="Arial Narrow" w:hAnsi="Arial Narrow" w:cs="Arial"/>
                <w:sz w:val="18"/>
                <w:szCs w:val="18"/>
              </w:rPr>
              <w:t>-0,4</w:t>
            </w:r>
          </w:p>
        </w:tc>
        <w:tc>
          <w:tcPr>
            <w:tcW w:w="851" w:type="dxa"/>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+0,4</w:t>
            </w:r>
          </w:p>
        </w:tc>
        <w:tc>
          <w:tcPr>
            <w:tcW w:w="851" w:type="dxa"/>
            <w:shd w:val="clear" w:color="auto" w:fill="D9D9D9" w:themeFill="background1" w:themeFillShade="D9"/>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-2,6</w:t>
            </w:r>
          </w:p>
        </w:tc>
      </w:tr>
      <w:tr w:rsidR="00BE0F3A" w:rsidRPr="00C8504B" w:rsidTr="00D31F8A">
        <w:trPr>
          <w:trHeight w:val="255"/>
        </w:trPr>
        <w:tc>
          <w:tcPr>
            <w:tcW w:w="2977" w:type="dxa"/>
            <w:vAlign w:val="center"/>
          </w:tcPr>
          <w:p w:rsidR="00BE0F3A" w:rsidRPr="00C8504B" w:rsidRDefault="00BE0F3A" w:rsidP="00BE0F3A">
            <w:pPr>
              <w:spacing w:before="40" w:after="20"/>
              <w:rPr>
                <w:rFonts w:ascii="Arial Narrow" w:hAnsi="Arial Narrow" w:cs="Arial"/>
                <w:sz w:val="18"/>
                <w:szCs w:val="18"/>
              </w:rPr>
            </w:pPr>
            <w:r w:rsidRPr="00C8504B">
              <w:rPr>
                <w:rFonts w:ascii="Arial Narrow" w:hAnsi="Arial Narrow" w:cs="Arial"/>
                <w:sz w:val="18"/>
                <w:szCs w:val="18"/>
              </w:rPr>
              <w:t>Ricreazione, spettacoli e cultura</w:t>
            </w:r>
          </w:p>
        </w:tc>
        <w:tc>
          <w:tcPr>
            <w:tcW w:w="737" w:type="dxa"/>
            <w:shd w:val="clear" w:color="auto" w:fill="D9D9D9" w:themeFill="background1" w:themeFillShade="D9"/>
            <w:vAlign w:val="center"/>
          </w:tcPr>
          <w:p w:rsidR="00BE0F3A" w:rsidRPr="00A376E5" w:rsidRDefault="00BE0F3A" w:rsidP="00BE0F3A">
            <w:pPr>
              <w:spacing w:before="40" w:after="20"/>
              <w:ind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1,8</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+4,5</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+6,5</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+5,1</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+2,8</w:t>
            </w:r>
          </w:p>
        </w:tc>
        <w:tc>
          <w:tcPr>
            <w:tcW w:w="710" w:type="dxa"/>
            <w:shd w:val="clear" w:color="auto" w:fill="auto"/>
            <w:vAlign w:val="center"/>
          </w:tcPr>
          <w:p w:rsidR="00BE0F3A" w:rsidRPr="002D7A43" w:rsidRDefault="00BE0F3A" w:rsidP="00BE0F3A">
            <w:pPr>
              <w:spacing w:before="40" w:after="20"/>
              <w:ind w:right="57"/>
              <w:jc w:val="right"/>
              <w:rPr>
                <w:rFonts w:ascii="Arial Narrow" w:hAnsi="Arial Narrow" w:cs="Arial"/>
                <w:sz w:val="18"/>
                <w:szCs w:val="18"/>
              </w:rPr>
            </w:pPr>
            <w:r w:rsidRPr="002D7A43">
              <w:rPr>
                <w:rFonts w:ascii="Arial Narrow" w:hAnsi="Arial Narrow" w:cs="Arial"/>
                <w:sz w:val="18"/>
                <w:szCs w:val="18"/>
              </w:rPr>
              <w:t>+4,7</w:t>
            </w:r>
          </w:p>
        </w:tc>
        <w:tc>
          <w:tcPr>
            <w:tcW w:w="992" w:type="dxa"/>
            <w:shd w:val="clear" w:color="auto" w:fill="D9D9D9" w:themeFill="background1" w:themeFillShade="D9"/>
            <w:vAlign w:val="center"/>
          </w:tcPr>
          <w:p w:rsidR="00BE0F3A" w:rsidRPr="00BE0F3A" w:rsidRDefault="00BE0F3A" w:rsidP="00BE0F3A">
            <w:pPr>
              <w:widowControl/>
              <w:overflowPunct/>
              <w:autoSpaceDE/>
              <w:autoSpaceDN/>
              <w:adjustRightInd/>
              <w:spacing w:before="40" w:after="20"/>
              <w:ind w:left="-57" w:right="57"/>
              <w:jc w:val="right"/>
              <w:rPr>
                <w:rFonts w:ascii="Arial Narrow" w:hAnsi="Arial Narrow" w:cs="Arial"/>
                <w:sz w:val="18"/>
                <w:szCs w:val="18"/>
              </w:rPr>
            </w:pPr>
            <w:r w:rsidRPr="00BE0F3A">
              <w:rPr>
                <w:rFonts w:ascii="Arial Narrow" w:hAnsi="Arial Narrow" w:cs="Arial"/>
                <w:sz w:val="18"/>
                <w:szCs w:val="18"/>
              </w:rPr>
              <w:t>+3,8</w:t>
            </w:r>
          </w:p>
        </w:tc>
        <w:tc>
          <w:tcPr>
            <w:tcW w:w="851" w:type="dxa"/>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+0,8</w:t>
            </w:r>
          </w:p>
        </w:tc>
        <w:tc>
          <w:tcPr>
            <w:tcW w:w="851" w:type="dxa"/>
            <w:shd w:val="clear" w:color="auto" w:fill="D9D9D9" w:themeFill="background1" w:themeFillShade="D9"/>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+0,7</w:t>
            </w:r>
          </w:p>
        </w:tc>
      </w:tr>
      <w:tr w:rsidR="00BE0F3A" w:rsidRPr="00C8504B" w:rsidTr="00D31F8A">
        <w:trPr>
          <w:trHeight w:val="255"/>
        </w:trPr>
        <w:tc>
          <w:tcPr>
            <w:tcW w:w="2977" w:type="dxa"/>
            <w:vAlign w:val="center"/>
          </w:tcPr>
          <w:p w:rsidR="00BE0F3A" w:rsidRPr="00C8504B" w:rsidRDefault="00BE0F3A" w:rsidP="00BE0F3A">
            <w:pPr>
              <w:spacing w:before="40" w:after="20"/>
              <w:rPr>
                <w:rFonts w:ascii="Arial Narrow" w:hAnsi="Arial Narrow" w:cs="Arial"/>
                <w:sz w:val="18"/>
                <w:szCs w:val="18"/>
              </w:rPr>
            </w:pPr>
            <w:r w:rsidRPr="00C8504B">
              <w:rPr>
                <w:rFonts w:ascii="Arial Narrow" w:hAnsi="Arial Narrow" w:cs="Arial"/>
                <w:sz w:val="18"/>
                <w:szCs w:val="18"/>
              </w:rPr>
              <w:t>Istruzione</w:t>
            </w:r>
          </w:p>
        </w:tc>
        <w:tc>
          <w:tcPr>
            <w:tcW w:w="737" w:type="dxa"/>
            <w:shd w:val="clear" w:color="auto" w:fill="D9D9D9" w:themeFill="background1" w:themeFillShade="D9"/>
            <w:vAlign w:val="center"/>
          </w:tcPr>
          <w:p w:rsidR="00BE0F3A" w:rsidRPr="00A376E5" w:rsidRDefault="00BE0F3A" w:rsidP="00BE0F3A">
            <w:pPr>
              <w:spacing w:before="40" w:after="20"/>
              <w:ind w:right="57"/>
              <w:jc w:val="right"/>
              <w:rPr>
                <w:rFonts w:ascii="Arial Narrow" w:hAnsi="Arial Narrow" w:cs="Arial"/>
                <w:sz w:val="18"/>
                <w:szCs w:val="18"/>
              </w:rPr>
            </w:pPr>
            <w:r w:rsidRPr="00A376E5">
              <w:rPr>
                <w:rFonts w:ascii="Arial Narrow" w:hAnsi="Arial Narrow" w:cs="Arial"/>
                <w:sz w:val="18"/>
                <w:szCs w:val="18"/>
              </w:rPr>
              <w:t>-0,1</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+0,7</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+0,9</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+1,0</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+2,0</w:t>
            </w:r>
          </w:p>
        </w:tc>
        <w:tc>
          <w:tcPr>
            <w:tcW w:w="710" w:type="dxa"/>
            <w:shd w:val="clear" w:color="auto" w:fill="auto"/>
            <w:vAlign w:val="center"/>
          </w:tcPr>
          <w:p w:rsidR="00BE0F3A" w:rsidRPr="002D7A43" w:rsidRDefault="00BE0F3A" w:rsidP="00BE0F3A">
            <w:pPr>
              <w:spacing w:before="40" w:after="20"/>
              <w:ind w:right="57"/>
              <w:jc w:val="right"/>
              <w:rPr>
                <w:rFonts w:ascii="Arial Narrow" w:hAnsi="Arial Narrow" w:cs="Arial"/>
                <w:sz w:val="18"/>
                <w:szCs w:val="18"/>
              </w:rPr>
            </w:pPr>
            <w:r w:rsidRPr="002D7A43">
              <w:rPr>
                <w:rFonts w:ascii="Arial Narrow" w:hAnsi="Arial Narrow" w:cs="Arial"/>
                <w:sz w:val="18"/>
                <w:szCs w:val="18"/>
              </w:rPr>
              <w:t>+1,1</w:t>
            </w:r>
          </w:p>
        </w:tc>
        <w:tc>
          <w:tcPr>
            <w:tcW w:w="992" w:type="dxa"/>
            <w:shd w:val="clear" w:color="auto" w:fill="D9D9D9" w:themeFill="background1" w:themeFillShade="D9"/>
            <w:vAlign w:val="center"/>
          </w:tcPr>
          <w:p w:rsidR="00BE0F3A" w:rsidRPr="00BE0F3A" w:rsidRDefault="00BE0F3A" w:rsidP="00BE0F3A">
            <w:pPr>
              <w:widowControl/>
              <w:overflowPunct/>
              <w:autoSpaceDE/>
              <w:autoSpaceDN/>
              <w:adjustRightInd/>
              <w:spacing w:before="40" w:after="20"/>
              <w:ind w:left="-57" w:right="57"/>
              <w:jc w:val="right"/>
              <w:rPr>
                <w:rFonts w:ascii="Arial Narrow" w:hAnsi="Arial Narrow" w:cs="Arial"/>
                <w:sz w:val="18"/>
                <w:szCs w:val="18"/>
              </w:rPr>
            </w:pPr>
            <w:r w:rsidRPr="00BE0F3A">
              <w:rPr>
                <w:rFonts w:ascii="Arial Narrow" w:hAnsi="Arial Narrow" w:cs="Arial"/>
                <w:sz w:val="18"/>
                <w:szCs w:val="18"/>
              </w:rPr>
              <w:t>+0,5</w:t>
            </w:r>
          </w:p>
        </w:tc>
        <w:tc>
          <w:tcPr>
            <w:tcW w:w="851" w:type="dxa"/>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+0,6</w:t>
            </w:r>
          </w:p>
        </w:tc>
        <w:tc>
          <w:tcPr>
            <w:tcW w:w="851" w:type="dxa"/>
            <w:shd w:val="clear" w:color="auto" w:fill="D9D9D9" w:themeFill="background1" w:themeFillShade="D9"/>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+1,3</w:t>
            </w:r>
          </w:p>
        </w:tc>
      </w:tr>
      <w:tr w:rsidR="00BE0F3A" w:rsidRPr="00C8504B" w:rsidTr="00D31F8A">
        <w:trPr>
          <w:trHeight w:val="255"/>
        </w:trPr>
        <w:tc>
          <w:tcPr>
            <w:tcW w:w="2977" w:type="dxa"/>
            <w:vAlign w:val="center"/>
          </w:tcPr>
          <w:p w:rsidR="00BE0F3A" w:rsidRPr="00C8504B" w:rsidRDefault="00BE0F3A" w:rsidP="00BE0F3A">
            <w:pPr>
              <w:spacing w:before="40" w:after="20"/>
              <w:rPr>
                <w:rFonts w:ascii="Arial Narrow" w:hAnsi="Arial Narrow" w:cs="Arial"/>
                <w:sz w:val="18"/>
                <w:szCs w:val="18"/>
              </w:rPr>
            </w:pPr>
            <w:r w:rsidRPr="00C8504B">
              <w:rPr>
                <w:rFonts w:ascii="Arial Narrow" w:hAnsi="Arial Narrow" w:cs="Arial"/>
                <w:sz w:val="18"/>
                <w:szCs w:val="18"/>
              </w:rPr>
              <w:t>Servizi ricettivi e di ristorazione</w:t>
            </w:r>
          </w:p>
        </w:tc>
        <w:tc>
          <w:tcPr>
            <w:tcW w:w="737" w:type="dxa"/>
            <w:shd w:val="clear" w:color="auto" w:fill="D9D9D9" w:themeFill="background1" w:themeFillShade="D9"/>
            <w:vAlign w:val="center"/>
          </w:tcPr>
          <w:p w:rsidR="00BE0F3A" w:rsidRPr="00A376E5" w:rsidRDefault="00BE0F3A" w:rsidP="00BE0F3A">
            <w:pPr>
              <w:spacing w:before="40" w:after="20"/>
              <w:ind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6,2</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+7,8</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+7,9</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+7,0</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+5,3</w:t>
            </w:r>
          </w:p>
        </w:tc>
        <w:tc>
          <w:tcPr>
            <w:tcW w:w="710" w:type="dxa"/>
            <w:shd w:val="clear" w:color="auto" w:fill="auto"/>
            <w:vAlign w:val="center"/>
          </w:tcPr>
          <w:p w:rsidR="00BE0F3A" w:rsidRPr="002D7A43" w:rsidRDefault="00BE0F3A" w:rsidP="00BE0F3A">
            <w:pPr>
              <w:spacing w:before="40" w:after="20"/>
              <w:ind w:right="57"/>
              <w:jc w:val="right"/>
              <w:rPr>
                <w:rFonts w:ascii="Arial Narrow" w:hAnsi="Arial Narrow" w:cs="Arial"/>
                <w:sz w:val="18"/>
                <w:szCs w:val="18"/>
              </w:rPr>
            </w:pPr>
            <w:r w:rsidRPr="002D7A43">
              <w:rPr>
                <w:rFonts w:ascii="Arial Narrow" w:hAnsi="Arial Narrow" w:cs="Arial"/>
                <w:sz w:val="18"/>
                <w:szCs w:val="18"/>
              </w:rPr>
              <w:t>+7,0</w:t>
            </w:r>
          </w:p>
        </w:tc>
        <w:tc>
          <w:tcPr>
            <w:tcW w:w="992" w:type="dxa"/>
            <w:shd w:val="clear" w:color="auto" w:fill="D9D9D9" w:themeFill="background1" w:themeFillShade="D9"/>
            <w:vAlign w:val="center"/>
          </w:tcPr>
          <w:p w:rsidR="00BE0F3A" w:rsidRPr="00BE0F3A" w:rsidRDefault="00BE0F3A" w:rsidP="00BE0F3A">
            <w:pPr>
              <w:widowControl/>
              <w:overflowPunct/>
              <w:autoSpaceDE/>
              <w:autoSpaceDN/>
              <w:adjustRightInd/>
              <w:spacing w:before="40" w:after="20"/>
              <w:ind w:left="-57" w:right="57"/>
              <w:jc w:val="right"/>
              <w:rPr>
                <w:rFonts w:ascii="Arial Narrow" w:hAnsi="Arial Narrow" w:cs="Arial"/>
                <w:sz w:val="18"/>
                <w:szCs w:val="18"/>
              </w:rPr>
            </w:pPr>
            <w:r w:rsidRPr="00BE0F3A">
              <w:rPr>
                <w:rFonts w:ascii="Arial Narrow" w:hAnsi="Arial Narrow" w:cs="Arial"/>
                <w:sz w:val="18"/>
                <w:szCs w:val="18"/>
              </w:rPr>
              <w:t>+2,3</w:t>
            </w:r>
          </w:p>
        </w:tc>
        <w:tc>
          <w:tcPr>
            <w:tcW w:w="851" w:type="dxa"/>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+4,5</w:t>
            </w:r>
          </w:p>
        </w:tc>
        <w:tc>
          <w:tcPr>
            <w:tcW w:w="851" w:type="dxa"/>
            <w:shd w:val="clear" w:color="auto" w:fill="D9D9D9" w:themeFill="background1" w:themeFillShade="D9"/>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+0,1</w:t>
            </w:r>
          </w:p>
        </w:tc>
      </w:tr>
      <w:tr w:rsidR="00BE0F3A" w:rsidRPr="00C8504B" w:rsidTr="00D31F8A">
        <w:trPr>
          <w:trHeight w:val="255"/>
        </w:trPr>
        <w:tc>
          <w:tcPr>
            <w:tcW w:w="2977" w:type="dxa"/>
            <w:vAlign w:val="center"/>
          </w:tcPr>
          <w:p w:rsidR="00BE0F3A" w:rsidRPr="00C8504B" w:rsidRDefault="00BE0F3A" w:rsidP="00BE0F3A">
            <w:pPr>
              <w:spacing w:before="40" w:after="20"/>
              <w:rPr>
                <w:rFonts w:ascii="Arial Narrow" w:hAnsi="Arial Narrow" w:cs="Arial"/>
                <w:sz w:val="18"/>
                <w:szCs w:val="18"/>
              </w:rPr>
            </w:pPr>
            <w:r w:rsidRPr="00C8504B">
              <w:rPr>
                <w:rFonts w:ascii="Arial Narrow" w:hAnsi="Arial Narrow" w:cs="Arial"/>
                <w:sz w:val="18"/>
                <w:szCs w:val="18"/>
              </w:rPr>
              <w:t>Altri beni e servizi</w:t>
            </w:r>
          </w:p>
        </w:tc>
        <w:tc>
          <w:tcPr>
            <w:tcW w:w="737" w:type="dxa"/>
            <w:shd w:val="clear" w:color="auto" w:fill="D9D9D9" w:themeFill="background1" w:themeFillShade="D9"/>
            <w:vAlign w:val="center"/>
          </w:tcPr>
          <w:p w:rsidR="00BE0F3A" w:rsidRPr="00A376E5" w:rsidRDefault="00BE0F3A" w:rsidP="00BE0F3A">
            <w:pPr>
              <w:spacing w:before="40" w:after="20"/>
              <w:ind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2,1</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+4,0</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+4,5</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+4,1</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+3,7</w:t>
            </w:r>
          </w:p>
        </w:tc>
        <w:tc>
          <w:tcPr>
            <w:tcW w:w="710" w:type="dxa"/>
            <w:shd w:val="clear" w:color="auto" w:fill="auto"/>
            <w:vAlign w:val="center"/>
          </w:tcPr>
          <w:p w:rsidR="00BE0F3A" w:rsidRPr="002D7A43" w:rsidRDefault="00BE0F3A" w:rsidP="00BE0F3A">
            <w:pPr>
              <w:spacing w:before="40" w:after="20"/>
              <w:ind w:right="57"/>
              <w:jc w:val="right"/>
              <w:rPr>
                <w:rFonts w:ascii="Arial Narrow" w:hAnsi="Arial Narrow" w:cs="Arial"/>
                <w:sz w:val="18"/>
                <w:szCs w:val="18"/>
              </w:rPr>
            </w:pPr>
            <w:r w:rsidRPr="002D7A43">
              <w:rPr>
                <w:rFonts w:ascii="Arial Narrow" w:hAnsi="Arial Narrow" w:cs="Arial"/>
                <w:sz w:val="18"/>
                <w:szCs w:val="18"/>
              </w:rPr>
              <w:t>+4,1</w:t>
            </w:r>
          </w:p>
        </w:tc>
        <w:tc>
          <w:tcPr>
            <w:tcW w:w="992" w:type="dxa"/>
            <w:shd w:val="clear" w:color="auto" w:fill="D9D9D9" w:themeFill="background1" w:themeFillShade="D9"/>
            <w:vAlign w:val="center"/>
          </w:tcPr>
          <w:p w:rsidR="00BE0F3A" w:rsidRPr="00BE0F3A" w:rsidRDefault="00BE0F3A" w:rsidP="00BE0F3A">
            <w:pPr>
              <w:widowControl/>
              <w:overflowPunct/>
              <w:autoSpaceDE/>
              <w:autoSpaceDN/>
              <w:adjustRightInd/>
              <w:spacing w:before="40" w:after="20"/>
              <w:ind w:left="-57" w:right="57"/>
              <w:jc w:val="right"/>
              <w:rPr>
                <w:rFonts w:ascii="Arial Narrow" w:hAnsi="Arial Narrow" w:cs="Arial"/>
                <w:sz w:val="18"/>
                <w:szCs w:val="18"/>
              </w:rPr>
            </w:pPr>
            <w:r w:rsidRPr="00BE0F3A">
              <w:rPr>
                <w:rFonts w:ascii="Arial Narrow" w:hAnsi="Arial Narrow" w:cs="Arial"/>
                <w:sz w:val="18"/>
                <w:szCs w:val="18"/>
              </w:rPr>
              <w:t>+1,9</w:t>
            </w:r>
          </w:p>
        </w:tc>
        <w:tc>
          <w:tcPr>
            <w:tcW w:w="851" w:type="dxa"/>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+2,1</w:t>
            </w:r>
          </w:p>
        </w:tc>
        <w:tc>
          <w:tcPr>
            <w:tcW w:w="851" w:type="dxa"/>
            <w:shd w:val="clear" w:color="auto" w:fill="D9D9D9" w:themeFill="background1" w:themeFillShade="D9"/>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+1,3</w:t>
            </w:r>
          </w:p>
        </w:tc>
      </w:tr>
      <w:tr w:rsidR="00BE0F3A" w:rsidRPr="00A60080" w:rsidTr="00D31F8A">
        <w:trPr>
          <w:trHeight w:val="255"/>
        </w:trPr>
        <w:tc>
          <w:tcPr>
            <w:tcW w:w="2977" w:type="dxa"/>
            <w:shd w:val="clear" w:color="auto" w:fill="E42618"/>
            <w:vAlign w:val="center"/>
          </w:tcPr>
          <w:p w:rsidR="00BE0F3A" w:rsidRPr="00A60080" w:rsidRDefault="00BE0F3A" w:rsidP="00BE0F3A">
            <w:pPr>
              <w:spacing w:before="40" w:after="20"/>
              <w:rPr>
                <w:rFonts w:ascii="Arial Narrow" w:hAnsi="Arial Narrow" w:cs="Arial"/>
                <w:b/>
                <w:bCs/>
                <w:color w:val="FFFFFF" w:themeColor="background1"/>
                <w:sz w:val="18"/>
                <w:szCs w:val="18"/>
              </w:rPr>
            </w:pPr>
            <w:r w:rsidRPr="00A60080">
              <w:rPr>
                <w:rFonts w:ascii="Arial Narrow" w:hAnsi="Arial Narrow" w:cs="Arial"/>
                <w:b/>
                <w:bCs/>
                <w:color w:val="FFFFFF" w:themeColor="background1"/>
                <w:sz w:val="18"/>
                <w:szCs w:val="18"/>
              </w:rPr>
              <w:t>Indice generale</w:t>
            </w:r>
          </w:p>
        </w:tc>
        <w:tc>
          <w:tcPr>
            <w:tcW w:w="737" w:type="dxa"/>
            <w:shd w:val="clear" w:color="auto" w:fill="E42618"/>
            <w:vAlign w:val="center"/>
          </w:tcPr>
          <w:p w:rsidR="00BE0F3A" w:rsidRPr="00880F63" w:rsidRDefault="00BE0F3A" w:rsidP="00BE0F3A">
            <w:pPr>
              <w:spacing w:before="40" w:after="20"/>
              <w:ind w:right="57"/>
              <w:jc w:val="right"/>
              <w:rPr>
                <w:rFonts w:ascii="Arial Narrow" w:hAnsi="Arial Narrow" w:cs="Arial"/>
                <w:b/>
                <w:color w:val="FFFFFF" w:themeColor="background1"/>
                <w:sz w:val="18"/>
                <w:szCs w:val="18"/>
              </w:rPr>
            </w:pPr>
            <w:r>
              <w:rPr>
                <w:rFonts w:ascii="Arial Narrow" w:hAnsi="Arial Narrow" w:cs="Arial"/>
                <w:b/>
                <w:color w:val="FFFFFF" w:themeColor="background1"/>
                <w:sz w:val="18"/>
                <w:szCs w:val="18"/>
              </w:rPr>
              <w:t>+</w:t>
            </w:r>
            <w:r w:rsidRPr="00A376E5">
              <w:rPr>
                <w:rFonts w:ascii="Arial Narrow" w:hAnsi="Arial Narrow" w:cs="Arial"/>
                <w:b/>
                <w:color w:val="FFFFFF" w:themeColor="background1"/>
                <w:sz w:val="18"/>
                <w:szCs w:val="18"/>
              </w:rPr>
              <w:t>8,7</w:t>
            </w:r>
          </w:p>
        </w:tc>
        <w:tc>
          <w:tcPr>
            <w:tcW w:w="737" w:type="dxa"/>
            <w:shd w:val="clear" w:color="auto" w:fill="E42618"/>
            <w:vAlign w:val="center"/>
          </w:tcPr>
          <w:p w:rsidR="00BE0F3A" w:rsidRPr="006467B3" w:rsidRDefault="00BE0F3A" w:rsidP="00BE0F3A">
            <w:pPr>
              <w:spacing w:before="40" w:after="20"/>
              <w:ind w:left="-57" w:right="57"/>
              <w:jc w:val="right"/>
              <w:rPr>
                <w:rFonts w:ascii="Arial Narrow" w:hAnsi="Arial Narrow" w:cs="Arial"/>
                <w:b/>
                <w:color w:val="FFFFFF" w:themeColor="background1"/>
                <w:sz w:val="18"/>
                <w:szCs w:val="18"/>
              </w:rPr>
            </w:pPr>
            <w:r w:rsidRPr="006467B3">
              <w:rPr>
                <w:rFonts w:ascii="Arial Narrow" w:hAnsi="Arial Narrow" w:cs="Arial"/>
                <w:b/>
                <w:color w:val="FFFFFF" w:themeColor="background1"/>
                <w:sz w:val="18"/>
                <w:szCs w:val="18"/>
              </w:rPr>
              <w:t>+9,5</w:t>
            </w:r>
          </w:p>
        </w:tc>
        <w:tc>
          <w:tcPr>
            <w:tcW w:w="737" w:type="dxa"/>
            <w:shd w:val="clear" w:color="auto" w:fill="E42618"/>
            <w:vAlign w:val="center"/>
          </w:tcPr>
          <w:p w:rsidR="00BE0F3A" w:rsidRPr="006467B3" w:rsidRDefault="00BE0F3A" w:rsidP="00BE0F3A">
            <w:pPr>
              <w:spacing w:before="40" w:after="20"/>
              <w:ind w:left="-57" w:right="57"/>
              <w:jc w:val="right"/>
              <w:rPr>
                <w:rFonts w:ascii="Arial Narrow" w:hAnsi="Arial Narrow" w:cs="Arial"/>
                <w:b/>
                <w:color w:val="FFFFFF" w:themeColor="background1"/>
                <w:sz w:val="18"/>
                <w:szCs w:val="18"/>
              </w:rPr>
            </w:pPr>
            <w:r w:rsidRPr="006467B3">
              <w:rPr>
                <w:rFonts w:ascii="Arial Narrow" w:hAnsi="Arial Narrow" w:cs="Arial"/>
                <w:b/>
                <w:color w:val="FFFFFF" w:themeColor="background1"/>
                <w:sz w:val="18"/>
                <w:szCs w:val="18"/>
              </w:rPr>
              <w:t>+7,8</w:t>
            </w:r>
          </w:p>
        </w:tc>
        <w:tc>
          <w:tcPr>
            <w:tcW w:w="737" w:type="dxa"/>
            <w:shd w:val="clear" w:color="auto" w:fill="E42618"/>
            <w:vAlign w:val="center"/>
          </w:tcPr>
          <w:p w:rsidR="00BE0F3A" w:rsidRPr="006467B3" w:rsidRDefault="00BE0F3A" w:rsidP="00BE0F3A">
            <w:pPr>
              <w:spacing w:before="40" w:after="20"/>
              <w:ind w:left="-57" w:right="57"/>
              <w:jc w:val="right"/>
              <w:rPr>
                <w:rFonts w:ascii="Arial Narrow" w:hAnsi="Arial Narrow" w:cs="Arial"/>
                <w:b/>
                <w:color w:val="FFFFFF" w:themeColor="background1"/>
                <w:sz w:val="18"/>
                <w:szCs w:val="18"/>
              </w:rPr>
            </w:pPr>
            <w:r w:rsidRPr="006467B3">
              <w:rPr>
                <w:rFonts w:ascii="Arial Narrow" w:hAnsi="Arial Narrow" w:cs="Arial"/>
                <w:b/>
                <w:color w:val="FFFFFF" w:themeColor="background1"/>
                <w:sz w:val="18"/>
                <w:szCs w:val="18"/>
              </w:rPr>
              <w:t>+5,8</w:t>
            </w:r>
          </w:p>
        </w:tc>
        <w:tc>
          <w:tcPr>
            <w:tcW w:w="737" w:type="dxa"/>
            <w:shd w:val="clear" w:color="auto" w:fill="E42618"/>
            <w:vAlign w:val="center"/>
          </w:tcPr>
          <w:p w:rsidR="00BE0F3A" w:rsidRPr="006467B3" w:rsidRDefault="00BE0F3A" w:rsidP="00BE0F3A">
            <w:pPr>
              <w:spacing w:before="40" w:after="20"/>
              <w:ind w:left="-57" w:right="57"/>
              <w:jc w:val="right"/>
              <w:rPr>
                <w:rFonts w:ascii="Arial Narrow" w:hAnsi="Arial Narrow" w:cs="Arial"/>
                <w:b/>
                <w:color w:val="FFFFFF" w:themeColor="background1"/>
                <w:sz w:val="18"/>
                <w:szCs w:val="18"/>
              </w:rPr>
            </w:pPr>
            <w:r w:rsidRPr="006467B3">
              <w:rPr>
                <w:rFonts w:ascii="Arial Narrow" w:hAnsi="Arial Narrow" w:cs="Arial"/>
                <w:b/>
                <w:color w:val="FFFFFF" w:themeColor="background1"/>
                <w:sz w:val="18"/>
                <w:szCs w:val="18"/>
              </w:rPr>
              <w:t>+1,0</w:t>
            </w:r>
          </w:p>
        </w:tc>
        <w:tc>
          <w:tcPr>
            <w:tcW w:w="710" w:type="dxa"/>
            <w:shd w:val="clear" w:color="auto" w:fill="E42618"/>
            <w:vAlign w:val="center"/>
          </w:tcPr>
          <w:p w:rsidR="00BE0F3A" w:rsidRPr="002D7A43" w:rsidRDefault="00BE0F3A" w:rsidP="00BE0F3A">
            <w:pPr>
              <w:spacing w:before="40" w:after="20"/>
              <w:ind w:right="57"/>
              <w:jc w:val="right"/>
              <w:rPr>
                <w:rFonts w:ascii="Arial Narrow" w:hAnsi="Arial Narrow" w:cs="Arial"/>
                <w:b/>
                <w:color w:val="FFFFFF" w:themeColor="background1"/>
                <w:sz w:val="18"/>
                <w:szCs w:val="18"/>
              </w:rPr>
            </w:pPr>
            <w:r w:rsidRPr="002D7A43">
              <w:rPr>
                <w:rFonts w:ascii="Arial Narrow" w:hAnsi="Arial Narrow" w:cs="Arial"/>
                <w:b/>
                <w:color w:val="FFFFFF" w:themeColor="background1"/>
                <w:sz w:val="18"/>
                <w:szCs w:val="18"/>
              </w:rPr>
              <w:t>+5,9</w:t>
            </w:r>
          </w:p>
        </w:tc>
        <w:tc>
          <w:tcPr>
            <w:tcW w:w="992" w:type="dxa"/>
            <w:shd w:val="clear" w:color="auto" w:fill="E42618"/>
            <w:vAlign w:val="center"/>
          </w:tcPr>
          <w:p w:rsidR="00BE0F3A" w:rsidRPr="00BE0F3A" w:rsidRDefault="00BE0F3A" w:rsidP="00BE0F3A">
            <w:pPr>
              <w:widowControl/>
              <w:overflowPunct/>
              <w:autoSpaceDE/>
              <w:autoSpaceDN/>
              <w:adjustRightInd/>
              <w:spacing w:before="40" w:after="20"/>
              <w:ind w:left="-57" w:right="57"/>
              <w:jc w:val="right"/>
              <w:rPr>
                <w:rFonts w:ascii="Arial Narrow" w:hAnsi="Arial Narrow" w:cs="Arial"/>
                <w:b/>
                <w:color w:val="FFFFFF" w:themeColor="background1"/>
                <w:sz w:val="18"/>
                <w:szCs w:val="18"/>
              </w:rPr>
            </w:pPr>
            <w:r w:rsidRPr="00BE0F3A">
              <w:rPr>
                <w:rFonts w:ascii="Arial Narrow" w:hAnsi="Arial Narrow" w:cs="Arial"/>
                <w:b/>
                <w:color w:val="FFFFFF" w:themeColor="background1"/>
                <w:sz w:val="18"/>
                <w:szCs w:val="18"/>
              </w:rPr>
              <w:t>+6,0</w:t>
            </w:r>
          </w:p>
        </w:tc>
        <w:tc>
          <w:tcPr>
            <w:tcW w:w="851" w:type="dxa"/>
            <w:shd w:val="clear" w:color="auto" w:fill="E42618"/>
            <w:vAlign w:val="center"/>
          </w:tcPr>
          <w:p w:rsidR="00BE0F3A" w:rsidRPr="00BE0F3A" w:rsidRDefault="00BE0F3A" w:rsidP="00BE0F3A">
            <w:pPr>
              <w:spacing w:before="40" w:after="20"/>
              <w:ind w:left="-57" w:right="57"/>
              <w:jc w:val="right"/>
              <w:rPr>
                <w:rFonts w:ascii="Arial Narrow" w:hAnsi="Arial Narrow" w:cs="Arial"/>
                <w:b/>
                <w:color w:val="FFFFFF" w:themeColor="background1"/>
                <w:sz w:val="18"/>
                <w:szCs w:val="18"/>
              </w:rPr>
            </w:pPr>
            <w:r w:rsidRPr="00BE0F3A">
              <w:rPr>
                <w:rFonts w:ascii="Arial Narrow" w:hAnsi="Arial Narrow" w:cs="Arial"/>
                <w:b/>
                <w:color w:val="FFFFFF" w:themeColor="background1"/>
                <w:sz w:val="18"/>
                <w:szCs w:val="18"/>
              </w:rPr>
              <w:t>-0,2</w:t>
            </w:r>
          </w:p>
        </w:tc>
        <w:tc>
          <w:tcPr>
            <w:tcW w:w="851" w:type="dxa"/>
            <w:shd w:val="clear" w:color="auto" w:fill="E42618"/>
            <w:vAlign w:val="center"/>
          </w:tcPr>
          <w:p w:rsidR="00BE0F3A" w:rsidRPr="00BE0F3A" w:rsidRDefault="00BE0F3A" w:rsidP="00BE0F3A">
            <w:pPr>
              <w:spacing w:before="40" w:after="20"/>
              <w:ind w:left="-57" w:right="57"/>
              <w:jc w:val="right"/>
              <w:rPr>
                <w:rFonts w:ascii="Arial Narrow" w:hAnsi="Arial Narrow" w:cs="Arial"/>
                <w:b/>
                <w:color w:val="FFFFFF" w:themeColor="background1"/>
                <w:sz w:val="18"/>
                <w:szCs w:val="18"/>
              </w:rPr>
            </w:pPr>
            <w:r w:rsidRPr="00BE0F3A">
              <w:rPr>
                <w:rFonts w:ascii="Arial Narrow" w:hAnsi="Arial Narrow" w:cs="Arial"/>
                <w:b/>
                <w:color w:val="FFFFFF" w:themeColor="background1"/>
                <w:sz w:val="18"/>
                <w:szCs w:val="18"/>
              </w:rPr>
              <w:t>+0,7</w:t>
            </w:r>
          </w:p>
        </w:tc>
      </w:tr>
      <w:tr w:rsidR="00BE0F3A" w:rsidRPr="00C8504B" w:rsidTr="00D31F8A">
        <w:trPr>
          <w:trHeight w:val="255"/>
        </w:trPr>
        <w:tc>
          <w:tcPr>
            <w:tcW w:w="2977" w:type="dxa"/>
            <w:vAlign w:val="center"/>
          </w:tcPr>
          <w:p w:rsidR="00BE0F3A" w:rsidRPr="00C8504B" w:rsidRDefault="00BE0F3A" w:rsidP="00BE0F3A">
            <w:pPr>
              <w:spacing w:before="40" w:after="20"/>
              <w:rPr>
                <w:rFonts w:ascii="Arial Narrow" w:hAnsi="Arial Narrow" w:cs="Arial"/>
                <w:sz w:val="18"/>
                <w:szCs w:val="18"/>
              </w:rPr>
            </w:pPr>
            <w:r w:rsidRPr="00C8504B">
              <w:rPr>
                <w:rFonts w:ascii="Arial Narrow" w:hAnsi="Arial Narrow" w:cs="Arial"/>
                <w:sz w:val="18"/>
                <w:szCs w:val="18"/>
              </w:rPr>
              <w:t>Indice generale a tassazione costante</w:t>
            </w:r>
          </w:p>
        </w:tc>
        <w:tc>
          <w:tcPr>
            <w:tcW w:w="737" w:type="dxa"/>
            <w:shd w:val="clear" w:color="auto" w:fill="D9D9D9" w:themeFill="background1" w:themeFillShade="D9"/>
            <w:vAlign w:val="center"/>
          </w:tcPr>
          <w:p w:rsidR="00BE0F3A" w:rsidRPr="00880F63" w:rsidRDefault="00BE0F3A" w:rsidP="00BE0F3A">
            <w:pPr>
              <w:spacing w:before="40" w:after="20"/>
              <w:ind w:left="-57"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9,6</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+9,5</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+6,9</w:t>
            </w:r>
          </w:p>
        </w:tc>
        <w:tc>
          <w:tcPr>
            <w:tcW w:w="737" w:type="dxa"/>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+5,0</w:t>
            </w:r>
          </w:p>
        </w:tc>
        <w:tc>
          <w:tcPr>
            <w:tcW w:w="737" w:type="dxa"/>
            <w:shd w:val="clear" w:color="auto" w:fill="D9D9D9" w:themeFill="background1" w:themeFillShade="D9"/>
            <w:vAlign w:val="center"/>
          </w:tcPr>
          <w:p w:rsidR="00BE0F3A" w:rsidRPr="006467B3" w:rsidRDefault="00BE0F3A" w:rsidP="00BE0F3A">
            <w:pPr>
              <w:spacing w:before="40" w:after="20"/>
              <w:ind w:left="-57" w:right="57"/>
              <w:jc w:val="right"/>
              <w:rPr>
                <w:rFonts w:ascii="Arial Narrow" w:hAnsi="Arial Narrow" w:cs="Arial"/>
                <w:sz w:val="18"/>
                <w:szCs w:val="18"/>
              </w:rPr>
            </w:pPr>
            <w:r w:rsidRPr="006467B3">
              <w:rPr>
                <w:rFonts w:ascii="Arial Narrow" w:hAnsi="Arial Narrow" w:cs="Arial"/>
                <w:sz w:val="18"/>
                <w:szCs w:val="18"/>
              </w:rPr>
              <w:t>+0,4</w:t>
            </w:r>
          </w:p>
        </w:tc>
        <w:tc>
          <w:tcPr>
            <w:tcW w:w="710" w:type="dxa"/>
            <w:shd w:val="clear" w:color="auto" w:fill="auto"/>
            <w:vAlign w:val="center"/>
          </w:tcPr>
          <w:p w:rsidR="00BE0F3A" w:rsidRPr="002D7A43" w:rsidRDefault="00BE0F3A" w:rsidP="00BE0F3A">
            <w:pPr>
              <w:spacing w:before="40" w:after="20"/>
              <w:ind w:right="57"/>
              <w:jc w:val="right"/>
              <w:rPr>
                <w:rFonts w:ascii="Arial Narrow" w:hAnsi="Arial Narrow" w:cs="Arial"/>
                <w:sz w:val="18"/>
                <w:szCs w:val="18"/>
              </w:rPr>
            </w:pPr>
            <w:r w:rsidRPr="002D7A43">
              <w:rPr>
                <w:rFonts w:ascii="Arial Narrow" w:hAnsi="Arial Narrow" w:cs="Arial"/>
                <w:sz w:val="18"/>
                <w:szCs w:val="18"/>
              </w:rPr>
              <w:t>+5,3</w:t>
            </w:r>
          </w:p>
        </w:tc>
        <w:tc>
          <w:tcPr>
            <w:tcW w:w="992" w:type="dxa"/>
            <w:shd w:val="clear" w:color="auto" w:fill="D9D9D9" w:themeFill="background1" w:themeFillShade="D9"/>
            <w:vAlign w:val="center"/>
          </w:tcPr>
          <w:p w:rsidR="00BE0F3A" w:rsidRPr="00BE0F3A" w:rsidRDefault="00BE0F3A" w:rsidP="00BE0F3A">
            <w:pPr>
              <w:widowControl/>
              <w:overflowPunct/>
              <w:autoSpaceDE/>
              <w:autoSpaceDN/>
              <w:adjustRightInd/>
              <w:spacing w:before="40" w:after="20"/>
              <w:ind w:left="-57" w:right="57"/>
              <w:jc w:val="right"/>
              <w:rPr>
                <w:rFonts w:ascii="Arial Narrow" w:hAnsi="Arial Narrow" w:cs="Arial"/>
                <w:sz w:val="18"/>
                <w:szCs w:val="18"/>
              </w:rPr>
            </w:pPr>
            <w:r w:rsidRPr="00BE0F3A">
              <w:rPr>
                <w:rFonts w:ascii="Arial Narrow" w:hAnsi="Arial Narrow" w:cs="Arial"/>
                <w:sz w:val="18"/>
                <w:szCs w:val="18"/>
              </w:rPr>
              <w:t>+5,9</w:t>
            </w:r>
          </w:p>
        </w:tc>
        <w:tc>
          <w:tcPr>
            <w:tcW w:w="851" w:type="dxa"/>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-0,5</w:t>
            </w:r>
          </w:p>
        </w:tc>
        <w:tc>
          <w:tcPr>
            <w:tcW w:w="851" w:type="dxa"/>
            <w:shd w:val="clear" w:color="auto" w:fill="D9D9D9" w:themeFill="background1" w:themeFillShade="D9"/>
            <w:vAlign w:val="center"/>
          </w:tcPr>
          <w:p w:rsidR="00BE0F3A" w:rsidRPr="00BE0F3A" w:rsidRDefault="00BE0F3A" w:rsidP="00BE0F3A">
            <w:pPr>
              <w:spacing w:before="40" w:after="20"/>
              <w:ind w:left="-57" w:right="57"/>
              <w:jc w:val="right"/>
              <w:rPr>
                <w:rFonts w:ascii="Arial Narrow" w:hAnsi="Arial Narrow" w:cs="Arial"/>
                <w:sz w:val="18"/>
                <w:szCs w:val="18"/>
              </w:rPr>
            </w:pPr>
            <w:r w:rsidRPr="00BE0F3A">
              <w:rPr>
                <w:rFonts w:ascii="Arial Narrow" w:hAnsi="Arial Narrow" w:cs="Arial"/>
                <w:sz w:val="18"/>
                <w:szCs w:val="18"/>
              </w:rPr>
              <w:t>+0,7</w:t>
            </w:r>
          </w:p>
        </w:tc>
      </w:tr>
    </w:tbl>
    <w:p w:rsidR="00AA0C22" w:rsidRPr="00F5293A" w:rsidRDefault="00AA0C22" w:rsidP="00911F21">
      <w:pPr>
        <w:pStyle w:val="Corpotesto"/>
        <w:spacing w:after="120" w:line="240" w:lineRule="auto"/>
        <w:jc w:val="both"/>
        <w:rPr>
          <w:rFonts w:ascii="Arial" w:hAnsi="Arial" w:cs="Arial"/>
          <w:iCs/>
          <w:sz w:val="18"/>
          <w:szCs w:val="18"/>
        </w:rPr>
      </w:pPr>
    </w:p>
    <w:p w:rsidR="00911F21" w:rsidRDefault="00911F21" w:rsidP="00911F21">
      <w:pPr>
        <w:spacing w:before="0" w:after="120"/>
        <w:jc w:val="both"/>
        <w:rPr>
          <w:rFonts w:ascii="Arial" w:hAnsi="Arial" w:cs="Arial"/>
          <w:b/>
        </w:rPr>
      </w:pPr>
      <w:r>
        <w:rPr>
          <w:rFonts w:ascii="Arial" w:hAnsi="Arial" w:cs="Arial"/>
          <w:b/>
        </w:rPr>
        <w:t>Gli aggregati speciali</w:t>
      </w:r>
      <w:r w:rsidRPr="001D29FC">
        <w:rPr>
          <w:rFonts w:ascii="Arial" w:hAnsi="Arial" w:cs="Arial"/>
          <w:b/>
        </w:rPr>
        <w:t xml:space="preserve"> </w:t>
      </w:r>
    </w:p>
    <w:p w:rsidR="003346B6" w:rsidRPr="008A1A57" w:rsidRDefault="00DC440F" w:rsidP="00DC440F">
      <w:pPr>
        <w:tabs>
          <w:tab w:val="left" w:pos="2940"/>
        </w:tabs>
        <w:spacing w:before="0" w:after="120"/>
        <w:jc w:val="both"/>
        <w:rPr>
          <w:rFonts w:ascii="Arial" w:hAnsi="Arial" w:cs="Arial"/>
          <w:iCs/>
          <w:sz w:val="21"/>
          <w:szCs w:val="21"/>
        </w:rPr>
      </w:pPr>
      <w:r w:rsidRPr="008A1A57">
        <w:rPr>
          <w:rFonts w:ascii="Arial" w:hAnsi="Arial" w:cs="Arial"/>
          <w:iCs/>
          <w:sz w:val="21"/>
          <w:szCs w:val="21"/>
        </w:rPr>
        <w:t>Analogamente al NIC</w:t>
      </w:r>
      <w:r w:rsidR="00C5221F">
        <w:rPr>
          <w:rFonts w:ascii="Arial" w:hAnsi="Arial" w:cs="Arial"/>
          <w:iCs/>
          <w:sz w:val="21"/>
          <w:szCs w:val="21"/>
        </w:rPr>
        <w:t>,</w:t>
      </w:r>
      <w:r w:rsidRPr="008A1A57">
        <w:rPr>
          <w:rFonts w:ascii="Arial" w:hAnsi="Arial" w:cs="Arial"/>
          <w:iCs/>
          <w:sz w:val="21"/>
          <w:szCs w:val="21"/>
        </w:rPr>
        <w:t xml:space="preserve"> anche per l</w:t>
      </w:r>
      <w:r w:rsidR="00C5221F">
        <w:rPr>
          <w:rFonts w:ascii="Arial" w:hAnsi="Arial" w:cs="Arial"/>
          <w:iCs/>
          <w:sz w:val="21"/>
          <w:szCs w:val="21"/>
        </w:rPr>
        <w:t>’IPCA si registra in media d’anno, nel 2023</w:t>
      </w:r>
      <w:r w:rsidRPr="008A1A57">
        <w:rPr>
          <w:rFonts w:ascii="Arial" w:hAnsi="Arial" w:cs="Arial"/>
          <w:iCs/>
          <w:sz w:val="21"/>
          <w:szCs w:val="21"/>
        </w:rPr>
        <w:t xml:space="preserve">, </w:t>
      </w:r>
      <w:r w:rsidR="00C5221F">
        <w:rPr>
          <w:rFonts w:ascii="Arial" w:hAnsi="Arial" w:cs="Arial"/>
          <w:iCs/>
          <w:sz w:val="21"/>
          <w:szCs w:val="21"/>
        </w:rPr>
        <w:t>la decelerazione dei prezzi d</w:t>
      </w:r>
      <w:r w:rsidRPr="008A1A57">
        <w:rPr>
          <w:rFonts w:ascii="Arial" w:hAnsi="Arial" w:cs="Arial"/>
          <w:iCs/>
          <w:sz w:val="21"/>
          <w:szCs w:val="21"/>
        </w:rPr>
        <w:t xml:space="preserve">ei beni (da </w:t>
      </w:r>
      <w:r w:rsidR="00AF1EA6">
        <w:rPr>
          <w:rFonts w:ascii="Arial" w:hAnsi="Arial" w:cs="Arial"/>
          <w:iCs/>
          <w:sz w:val="21"/>
          <w:szCs w:val="21"/>
        </w:rPr>
        <w:t>+12,1</w:t>
      </w:r>
      <w:r>
        <w:rPr>
          <w:rFonts w:ascii="Arial" w:hAnsi="Arial" w:cs="Arial"/>
          <w:iCs/>
          <w:sz w:val="21"/>
          <w:szCs w:val="21"/>
        </w:rPr>
        <w:t>% del 202</w:t>
      </w:r>
      <w:r w:rsidR="00AF1EA6">
        <w:rPr>
          <w:rFonts w:ascii="Arial" w:hAnsi="Arial" w:cs="Arial"/>
          <w:iCs/>
          <w:sz w:val="21"/>
          <w:szCs w:val="21"/>
        </w:rPr>
        <w:t>2</w:t>
      </w:r>
      <w:r w:rsidRPr="008A1A57">
        <w:rPr>
          <w:rFonts w:ascii="Arial" w:hAnsi="Arial" w:cs="Arial"/>
          <w:iCs/>
          <w:sz w:val="21"/>
          <w:szCs w:val="21"/>
        </w:rPr>
        <w:t xml:space="preserve"> a +</w:t>
      </w:r>
      <w:r w:rsidR="00AF1EA6">
        <w:rPr>
          <w:rFonts w:ascii="Arial" w:hAnsi="Arial" w:cs="Arial"/>
          <w:iCs/>
          <w:sz w:val="21"/>
          <w:szCs w:val="21"/>
        </w:rPr>
        <w:t>6,5</w:t>
      </w:r>
      <w:r w:rsidRPr="008A1A57">
        <w:rPr>
          <w:rFonts w:ascii="Arial" w:hAnsi="Arial" w:cs="Arial"/>
          <w:iCs/>
          <w:sz w:val="21"/>
          <w:szCs w:val="21"/>
        </w:rPr>
        <w:t xml:space="preserve">%) e </w:t>
      </w:r>
      <w:r w:rsidR="00C5221F">
        <w:rPr>
          <w:rFonts w:ascii="Arial" w:hAnsi="Arial" w:cs="Arial"/>
          <w:iCs/>
          <w:sz w:val="21"/>
          <w:szCs w:val="21"/>
        </w:rPr>
        <w:t>l’accelerazione</w:t>
      </w:r>
      <w:r w:rsidR="001405F7">
        <w:rPr>
          <w:rFonts w:ascii="Arial" w:hAnsi="Arial" w:cs="Arial"/>
          <w:iCs/>
          <w:sz w:val="21"/>
          <w:szCs w:val="21"/>
        </w:rPr>
        <w:t xml:space="preserve"> </w:t>
      </w:r>
      <w:r w:rsidR="00AF1EA6">
        <w:rPr>
          <w:rFonts w:ascii="Arial" w:hAnsi="Arial" w:cs="Arial"/>
          <w:iCs/>
          <w:sz w:val="21"/>
          <w:szCs w:val="21"/>
        </w:rPr>
        <w:t>di quelli dei servizi (da +3,4</w:t>
      </w:r>
      <w:r w:rsidRPr="008A1A57">
        <w:rPr>
          <w:rFonts w:ascii="Arial" w:hAnsi="Arial" w:cs="Arial"/>
          <w:iCs/>
          <w:sz w:val="21"/>
          <w:szCs w:val="21"/>
        </w:rPr>
        <w:t>% a +</w:t>
      </w:r>
      <w:r w:rsidR="00AF1EA6">
        <w:rPr>
          <w:rFonts w:ascii="Arial" w:hAnsi="Arial" w:cs="Arial"/>
          <w:iCs/>
          <w:sz w:val="21"/>
          <w:szCs w:val="21"/>
        </w:rPr>
        <w:t>4,5</w:t>
      </w:r>
      <w:r>
        <w:rPr>
          <w:rFonts w:ascii="Arial" w:hAnsi="Arial" w:cs="Arial"/>
          <w:iCs/>
          <w:sz w:val="21"/>
          <w:szCs w:val="21"/>
        </w:rPr>
        <w:t>%)</w:t>
      </w:r>
      <w:r w:rsidRPr="008A1A57">
        <w:rPr>
          <w:rFonts w:ascii="Arial" w:hAnsi="Arial" w:cs="Arial"/>
          <w:iCs/>
          <w:sz w:val="21"/>
          <w:szCs w:val="21"/>
        </w:rPr>
        <w:t xml:space="preserve"> (Prospetto 13).</w:t>
      </w:r>
    </w:p>
    <w:p w:rsidR="003346B6" w:rsidRDefault="003346B6" w:rsidP="003346B6">
      <w:pPr>
        <w:tabs>
          <w:tab w:val="left" w:pos="2940"/>
        </w:tabs>
        <w:spacing w:before="0" w:after="120"/>
        <w:jc w:val="both"/>
        <w:rPr>
          <w:rFonts w:ascii="Arial" w:hAnsi="Arial" w:cs="Arial"/>
          <w:iCs/>
          <w:sz w:val="21"/>
          <w:szCs w:val="21"/>
        </w:rPr>
      </w:pPr>
      <w:r w:rsidRPr="008A1A57">
        <w:rPr>
          <w:rFonts w:ascii="Arial" w:hAnsi="Arial" w:cs="Arial"/>
          <w:iCs/>
          <w:sz w:val="21"/>
          <w:szCs w:val="21"/>
        </w:rPr>
        <w:t xml:space="preserve">La </w:t>
      </w:r>
      <w:r w:rsidR="00295F72">
        <w:rPr>
          <w:rFonts w:ascii="Arial" w:hAnsi="Arial" w:cs="Arial"/>
          <w:iCs/>
          <w:sz w:val="21"/>
          <w:szCs w:val="21"/>
        </w:rPr>
        <w:t xml:space="preserve">frenata </w:t>
      </w:r>
      <w:r w:rsidRPr="008A1A57">
        <w:rPr>
          <w:rFonts w:ascii="Arial" w:hAnsi="Arial" w:cs="Arial"/>
          <w:iCs/>
          <w:sz w:val="21"/>
          <w:szCs w:val="21"/>
        </w:rPr>
        <w:t>dei prezzi dei beni è dovuta principalmente alla dinamica de</w:t>
      </w:r>
      <w:r w:rsidR="00D0682E">
        <w:rPr>
          <w:rFonts w:ascii="Arial" w:hAnsi="Arial" w:cs="Arial"/>
          <w:iCs/>
          <w:sz w:val="21"/>
          <w:szCs w:val="21"/>
        </w:rPr>
        <w:t>ll’</w:t>
      </w:r>
      <w:r w:rsidRPr="008A1A57">
        <w:rPr>
          <w:rFonts w:ascii="Arial" w:hAnsi="Arial" w:cs="Arial"/>
          <w:iCs/>
          <w:sz w:val="21"/>
          <w:szCs w:val="21"/>
        </w:rPr>
        <w:t>Energia (da +</w:t>
      </w:r>
      <w:r w:rsidR="00295F72">
        <w:rPr>
          <w:rFonts w:ascii="Arial" w:hAnsi="Arial" w:cs="Arial"/>
          <w:iCs/>
          <w:sz w:val="21"/>
          <w:szCs w:val="21"/>
        </w:rPr>
        <w:t>51</w:t>
      </w:r>
      <w:r w:rsidRPr="008A1A57">
        <w:rPr>
          <w:rFonts w:ascii="Arial" w:hAnsi="Arial" w:cs="Arial"/>
          <w:iCs/>
          <w:sz w:val="21"/>
          <w:szCs w:val="21"/>
        </w:rPr>
        <w:t>,3</w:t>
      </w:r>
      <w:r>
        <w:rPr>
          <w:rFonts w:ascii="Arial" w:hAnsi="Arial" w:cs="Arial"/>
          <w:iCs/>
          <w:sz w:val="21"/>
          <w:szCs w:val="21"/>
        </w:rPr>
        <w:t>% a +</w:t>
      </w:r>
      <w:r w:rsidR="00295F72">
        <w:rPr>
          <w:rFonts w:ascii="Arial" w:hAnsi="Arial" w:cs="Arial"/>
          <w:iCs/>
          <w:sz w:val="21"/>
          <w:szCs w:val="21"/>
        </w:rPr>
        <w:t>1,1</w:t>
      </w:r>
      <w:r w:rsidRPr="008A1A57">
        <w:rPr>
          <w:rFonts w:ascii="Arial" w:hAnsi="Arial" w:cs="Arial"/>
          <w:iCs/>
          <w:sz w:val="21"/>
          <w:szCs w:val="21"/>
        </w:rPr>
        <w:t xml:space="preserve">%), </w:t>
      </w:r>
      <w:r w:rsidR="00295F72">
        <w:rPr>
          <w:rFonts w:ascii="Arial" w:hAnsi="Arial" w:cs="Arial"/>
          <w:iCs/>
          <w:sz w:val="21"/>
          <w:szCs w:val="21"/>
        </w:rPr>
        <w:t xml:space="preserve">per </w:t>
      </w:r>
      <w:r w:rsidR="00295F72">
        <w:rPr>
          <w:rFonts w:ascii="Arial" w:hAnsi="Arial" w:cs="Arial"/>
          <w:iCs/>
          <w:sz w:val="21"/>
          <w:szCs w:val="21"/>
        </w:rPr>
        <w:lastRenderedPageBreak/>
        <w:t>effetto del forte rallentamento di entrambe le sue componenti</w:t>
      </w:r>
      <w:r w:rsidR="00D0682E">
        <w:rPr>
          <w:rFonts w:ascii="Arial" w:hAnsi="Arial" w:cs="Arial"/>
          <w:iCs/>
          <w:sz w:val="21"/>
          <w:szCs w:val="21"/>
        </w:rPr>
        <w:t>,</w:t>
      </w:r>
      <w:r w:rsidR="00295F72">
        <w:rPr>
          <w:rFonts w:ascii="Arial" w:hAnsi="Arial" w:cs="Arial"/>
          <w:iCs/>
          <w:sz w:val="21"/>
          <w:szCs w:val="21"/>
        </w:rPr>
        <w:t xml:space="preserve"> c</w:t>
      </w:r>
      <w:r w:rsidR="00D0682E">
        <w:rPr>
          <w:rFonts w:ascii="Arial" w:hAnsi="Arial" w:cs="Arial"/>
          <w:iCs/>
          <w:sz w:val="21"/>
          <w:szCs w:val="21"/>
        </w:rPr>
        <w:t>h</w:t>
      </w:r>
      <w:r w:rsidR="00295F72">
        <w:rPr>
          <w:rFonts w:ascii="Arial" w:hAnsi="Arial" w:cs="Arial"/>
          <w:iCs/>
          <w:sz w:val="21"/>
          <w:szCs w:val="21"/>
        </w:rPr>
        <w:t xml:space="preserve">e invertono la tendenza: </w:t>
      </w:r>
      <w:r w:rsidRPr="008A1A57">
        <w:rPr>
          <w:rFonts w:ascii="Arial" w:hAnsi="Arial" w:cs="Arial"/>
          <w:iCs/>
          <w:sz w:val="21"/>
          <w:szCs w:val="21"/>
        </w:rPr>
        <w:t xml:space="preserve">Elettricità, gas e combustibili solidi </w:t>
      </w:r>
      <w:r>
        <w:rPr>
          <w:rFonts w:ascii="Arial" w:hAnsi="Arial" w:cs="Arial"/>
          <w:iCs/>
          <w:sz w:val="21"/>
          <w:szCs w:val="21"/>
        </w:rPr>
        <w:t>(</w:t>
      </w:r>
      <w:r w:rsidRPr="008A1A57">
        <w:rPr>
          <w:rFonts w:ascii="Arial" w:hAnsi="Arial" w:cs="Arial"/>
          <w:iCs/>
          <w:sz w:val="21"/>
          <w:szCs w:val="21"/>
        </w:rPr>
        <w:t>da +</w:t>
      </w:r>
      <w:r w:rsidR="00295F72">
        <w:rPr>
          <w:rFonts w:ascii="Arial" w:hAnsi="Arial" w:cs="Arial"/>
          <w:iCs/>
          <w:sz w:val="21"/>
          <w:szCs w:val="21"/>
        </w:rPr>
        <w:t>8</w:t>
      </w:r>
      <w:r w:rsidRPr="008A1A57">
        <w:rPr>
          <w:rFonts w:ascii="Arial" w:hAnsi="Arial" w:cs="Arial"/>
          <w:iCs/>
          <w:sz w:val="21"/>
          <w:szCs w:val="21"/>
        </w:rPr>
        <w:t>6,</w:t>
      </w:r>
      <w:r w:rsidR="00295F72">
        <w:rPr>
          <w:rFonts w:ascii="Arial" w:hAnsi="Arial" w:cs="Arial"/>
          <w:iCs/>
          <w:sz w:val="21"/>
          <w:szCs w:val="21"/>
        </w:rPr>
        <w:t>1% a -5,0</w:t>
      </w:r>
      <w:r w:rsidRPr="008A1A57">
        <w:rPr>
          <w:rFonts w:ascii="Arial" w:hAnsi="Arial" w:cs="Arial"/>
          <w:iCs/>
          <w:sz w:val="21"/>
          <w:szCs w:val="21"/>
        </w:rPr>
        <w:t>%</w:t>
      </w:r>
      <w:r>
        <w:rPr>
          <w:rFonts w:ascii="Arial" w:hAnsi="Arial" w:cs="Arial"/>
          <w:iCs/>
          <w:sz w:val="21"/>
          <w:szCs w:val="21"/>
        </w:rPr>
        <w:t>)</w:t>
      </w:r>
      <w:r w:rsidR="0061421C">
        <w:rPr>
          <w:rFonts w:ascii="Arial" w:hAnsi="Arial" w:cs="Arial"/>
          <w:iCs/>
          <w:sz w:val="21"/>
          <w:szCs w:val="21"/>
        </w:rPr>
        <w:t xml:space="preserve"> e</w:t>
      </w:r>
      <w:r w:rsidR="00295F72">
        <w:rPr>
          <w:rFonts w:ascii="Arial" w:hAnsi="Arial" w:cs="Arial"/>
          <w:iCs/>
          <w:sz w:val="21"/>
          <w:szCs w:val="21"/>
        </w:rPr>
        <w:t xml:space="preserve"> </w:t>
      </w:r>
      <w:r w:rsidRPr="008A1A57">
        <w:rPr>
          <w:rFonts w:ascii="Arial" w:hAnsi="Arial" w:cs="Arial"/>
          <w:iCs/>
          <w:sz w:val="21"/>
          <w:szCs w:val="21"/>
        </w:rPr>
        <w:t xml:space="preserve">Combustibili liquidi, carburanti e lubrificanti </w:t>
      </w:r>
      <w:r>
        <w:rPr>
          <w:rFonts w:ascii="Arial" w:hAnsi="Arial" w:cs="Arial"/>
          <w:iCs/>
          <w:sz w:val="21"/>
          <w:szCs w:val="21"/>
        </w:rPr>
        <w:t>(</w:t>
      </w:r>
      <w:r w:rsidRPr="008A1A57">
        <w:rPr>
          <w:rFonts w:ascii="Arial" w:hAnsi="Arial" w:cs="Arial"/>
          <w:iCs/>
          <w:sz w:val="21"/>
          <w:szCs w:val="21"/>
        </w:rPr>
        <w:t>da +</w:t>
      </w:r>
      <w:r w:rsidR="00295F72">
        <w:rPr>
          <w:rFonts w:ascii="Arial" w:hAnsi="Arial" w:cs="Arial"/>
          <w:iCs/>
          <w:sz w:val="21"/>
          <w:szCs w:val="21"/>
        </w:rPr>
        <w:t>17,7</w:t>
      </w:r>
      <w:r>
        <w:rPr>
          <w:rFonts w:ascii="Arial" w:hAnsi="Arial" w:cs="Arial"/>
          <w:iCs/>
          <w:sz w:val="21"/>
          <w:szCs w:val="21"/>
        </w:rPr>
        <w:t xml:space="preserve">% a </w:t>
      </w:r>
      <w:r w:rsidR="00295F72">
        <w:rPr>
          <w:rFonts w:ascii="Arial" w:hAnsi="Arial" w:cs="Arial"/>
          <w:iCs/>
          <w:sz w:val="21"/>
          <w:szCs w:val="21"/>
        </w:rPr>
        <w:t>-0,5</w:t>
      </w:r>
      <w:r w:rsidRPr="008A1A57">
        <w:rPr>
          <w:rFonts w:ascii="Arial" w:hAnsi="Arial" w:cs="Arial"/>
          <w:iCs/>
          <w:sz w:val="21"/>
          <w:szCs w:val="21"/>
        </w:rPr>
        <w:t>%).</w:t>
      </w:r>
      <w:r w:rsidR="009D21F8">
        <w:rPr>
          <w:rFonts w:ascii="Arial" w:hAnsi="Arial" w:cs="Arial"/>
          <w:iCs/>
          <w:sz w:val="21"/>
          <w:szCs w:val="21"/>
        </w:rPr>
        <w:t xml:space="preserve"> </w:t>
      </w:r>
    </w:p>
    <w:p w:rsidR="003346B6" w:rsidRPr="003213C8" w:rsidRDefault="003346B6" w:rsidP="003346B6">
      <w:pPr>
        <w:tabs>
          <w:tab w:val="left" w:pos="2940"/>
        </w:tabs>
        <w:spacing w:before="0" w:after="120"/>
        <w:jc w:val="both"/>
        <w:rPr>
          <w:rFonts w:ascii="Arial" w:hAnsi="Arial" w:cs="Arial"/>
          <w:iCs/>
          <w:sz w:val="21"/>
          <w:szCs w:val="21"/>
          <w:highlight w:val="yellow"/>
        </w:rPr>
      </w:pPr>
      <w:r w:rsidRPr="008A1A57">
        <w:rPr>
          <w:rFonts w:ascii="Arial" w:hAnsi="Arial" w:cs="Arial"/>
          <w:iCs/>
          <w:sz w:val="21"/>
          <w:szCs w:val="21"/>
        </w:rPr>
        <w:t xml:space="preserve">Come nel NIC, </w:t>
      </w:r>
      <w:r>
        <w:rPr>
          <w:rFonts w:ascii="Arial" w:hAnsi="Arial" w:cs="Arial"/>
          <w:iCs/>
          <w:sz w:val="21"/>
          <w:szCs w:val="21"/>
        </w:rPr>
        <w:t>inoltre</w:t>
      </w:r>
      <w:r w:rsidR="009D21F8">
        <w:rPr>
          <w:rFonts w:ascii="Arial" w:hAnsi="Arial" w:cs="Arial"/>
          <w:iCs/>
          <w:sz w:val="21"/>
          <w:szCs w:val="21"/>
        </w:rPr>
        <w:t>, decelerano</w:t>
      </w:r>
      <w:r w:rsidRPr="008A1A57">
        <w:rPr>
          <w:rFonts w:ascii="Arial" w:hAnsi="Arial" w:cs="Arial"/>
          <w:iCs/>
          <w:sz w:val="21"/>
          <w:szCs w:val="21"/>
        </w:rPr>
        <w:t xml:space="preserve"> in media d’anno i prezzi degli Alimentari </w:t>
      </w:r>
      <w:r w:rsidR="009D21F8">
        <w:rPr>
          <w:rFonts w:ascii="Arial" w:hAnsi="Arial" w:cs="Arial"/>
          <w:iCs/>
          <w:sz w:val="21"/>
          <w:szCs w:val="21"/>
        </w:rPr>
        <w:t xml:space="preserve">non </w:t>
      </w:r>
      <w:r w:rsidRPr="008A1A57">
        <w:rPr>
          <w:rFonts w:ascii="Arial" w:hAnsi="Arial" w:cs="Arial"/>
          <w:iCs/>
          <w:sz w:val="21"/>
          <w:szCs w:val="21"/>
        </w:rPr>
        <w:t>lavorati (da +</w:t>
      </w:r>
      <w:r w:rsidR="009D21F8">
        <w:rPr>
          <w:rFonts w:ascii="Arial" w:hAnsi="Arial" w:cs="Arial"/>
          <w:iCs/>
          <w:sz w:val="21"/>
          <w:szCs w:val="21"/>
        </w:rPr>
        <w:t>9,6</w:t>
      </w:r>
      <w:r>
        <w:rPr>
          <w:rFonts w:ascii="Arial" w:hAnsi="Arial" w:cs="Arial"/>
          <w:iCs/>
          <w:sz w:val="21"/>
          <w:szCs w:val="21"/>
        </w:rPr>
        <w:t>% a +</w:t>
      </w:r>
      <w:r w:rsidR="009D21F8">
        <w:rPr>
          <w:rFonts w:ascii="Arial" w:hAnsi="Arial" w:cs="Arial"/>
          <w:iCs/>
          <w:sz w:val="21"/>
          <w:szCs w:val="21"/>
        </w:rPr>
        <w:t>8,2</w:t>
      </w:r>
      <w:r w:rsidR="00585FF6">
        <w:rPr>
          <w:rFonts w:ascii="Arial" w:hAnsi="Arial" w:cs="Arial"/>
          <w:iCs/>
          <w:sz w:val="21"/>
          <w:szCs w:val="21"/>
        </w:rPr>
        <w:t xml:space="preserve">%), mentre i prezzi degli Alimentari lavorati (incluse bevande alcoliche) e tabacchi aumentano più velocemente (da +7,3% a +9,6%). </w:t>
      </w:r>
    </w:p>
    <w:p w:rsidR="003346B6" w:rsidRDefault="003346B6" w:rsidP="003346B6">
      <w:pPr>
        <w:pStyle w:val="Corpotesto"/>
        <w:spacing w:before="120" w:after="60" w:line="240" w:lineRule="auto"/>
        <w:jc w:val="both"/>
        <w:rPr>
          <w:rFonts w:ascii="Arial" w:hAnsi="Arial" w:cs="Arial"/>
          <w:iCs/>
          <w:sz w:val="21"/>
          <w:szCs w:val="21"/>
        </w:rPr>
      </w:pPr>
      <w:r>
        <w:rPr>
          <w:rFonts w:ascii="Arial" w:hAnsi="Arial" w:cs="Arial"/>
          <w:iCs/>
          <w:sz w:val="21"/>
          <w:szCs w:val="21"/>
        </w:rPr>
        <w:t>Per quanto riguarda i servizi, l</w:t>
      </w:r>
      <w:r w:rsidRPr="00E46C1C">
        <w:rPr>
          <w:rFonts w:ascii="Arial" w:hAnsi="Arial" w:cs="Arial"/>
          <w:iCs/>
          <w:sz w:val="21"/>
          <w:szCs w:val="21"/>
        </w:rPr>
        <w:t xml:space="preserve">’accelerazione dei prezzi si deve ai </w:t>
      </w:r>
      <w:r w:rsidR="00B31015" w:rsidRPr="00E46C1C">
        <w:rPr>
          <w:rFonts w:ascii="Arial" w:hAnsi="Arial" w:cs="Arial"/>
          <w:iCs/>
          <w:sz w:val="21"/>
          <w:szCs w:val="21"/>
        </w:rPr>
        <w:t xml:space="preserve">Servizi relativi all’abitazione </w:t>
      </w:r>
      <w:r w:rsidR="00B31015">
        <w:rPr>
          <w:rFonts w:ascii="Arial" w:hAnsi="Arial" w:cs="Arial"/>
          <w:iCs/>
          <w:sz w:val="21"/>
          <w:szCs w:val="21"/>
        </w:rPr>
        <w:t>(da +1,4</w:t>
      </w:r>
      <w:r w:rsidR="00B31015" w:rsidRPr="00E46C1C">
        <w:rPr>
          <w:rFonts w:ascii="Arial" w:hAnsi="Arial" w:cs="Arial"/>
          <w:iCs/>
          <w:sz w:val="21"/>
          <w:szCs w:val="21"/>
        </w:rPr>
        <w:t>% a +</w:t>
      </w:r>
      <w:r w:rsidR="00B31015">
        <w:rPr>
          <w:rFonts w:ascii="Arial" w:hAnsi="Arial" w:cs="Arial"/>
          <w:iCs/>
          <w:sz w:val="21"/>
          <w:szCs w:val="21"/>
        </w:rPr>
        <w:t>3,1</w:t>
      </w:r>
      <w:r w:rsidR="00B31015" w:rsidRPr="00E46C1C">
        <w:rPr>
          <w:rFonts w:ascii="Arial" w:hAnsi="Arial" w:cs="Arial"/>
          <w:iCs/>
          <w:sz w:val="21"/>
          <w:szCs w:val="21"/>
        </w:rPr>
        <w:t>%)</w:t>
      </w:r>
      <w:r w:rsidR="00B31015">
        <w:rPr>
          <w:rFonts w:ascii="Arial" w:hAnsi="Arial" w:cs="Arial"/>
          <w:iCs/>
          <w:sz w:val="21"/>
          <w:szCs w:val="21"/>
        </w:rPr>
        <w:t xml:space="preserve">, ai </w:t>
      </w:r>
      <w:r w:rsidR="00B31015" w:rsidRPr="00E46C1C">
        <w:rPr>
          <w:rFonts w:ascii="Arial" w:hAnsi="Arial" w:cs="Arial"/>
          <w:iCs/>
          <w:sz w:val="21"/>
          <w:szCs w:val="21"/>
        </w:rPr>
        <w:t xml:space="preserve">Servizi </w:t>
      </w:r>
      <w:r w:rsidR="00B31015">
        <w:rPr>
          <w:rFonts w:ascii="Arial" w:hAnsi="Arial" w:cs="Arial"/>
          <w:iCs/>
          <w:sz w:val="21"/>
          <w:szCs w:val="21"/>
        </w:rPr>
        <w:t xml:space="preserve">vari (da +1,7% a +3,2%), </w:t>
      </w:r>
      <w:r w:rsidR="000252DB">
        <w:rPr>
          <w:rFonts w:ascii="Arial" w:hAnsi="Arial" w:cs="Arial"/>
          <w:iCs/>
          <w:sz w:val="21"/>
          <w:szCs w:val="21"/>
        </w:rPr>
        <w:t>a</w:t>
      </w:r>
      <w:r w:rsidR="000252DB" w:rsidRPr="00E46C1C">
        <w:rPr>
          <w:rFonts w:ascii="Arial" w:hAnsi="Arial" w:cs="Arial"/>
          <w:iCs/>
          <w:sz w:val="21"/>
          <w:szCs w:val="21"/>
        </w:rPr>
        <w:t>i Servizi ricreativi, culturali e per la cura della persona (da +</w:t>
      </w:r>
      <w:r w:rsidR="000252DB">
        <w:rPr>
          <w:rFonts w:ascii="Arial" w:hAnsi="Arial" w:cs="Arial"/>
          <w:iCs/>
          <w:sz w:val="21"/>
          <w:szCs w:val="21"/>
        </w:rPr>
        <w:t>5,1</w:t>
      </w:r>
      <w:r w:rsidR="000252DB" w:rsidRPr="00E46C1C">
        <w:rPr>
          <w:rFonts w:ascii="Arial" w:hAnsi="Arial" w:cs="Arial"/>
          <w:iCs/>
          <w:sz w:val="21"/>
          <w:szCs w:val="21"/>
        </w:rPr>
        <w:t>% a +</w:t>
      </w:r>
      <w:r w:rsidR="000252DB">
        <w:rPr>
          <w:rFonts w:ascii="Arial" w:hAnsi="Arial" w:cs="Arial"/>
          <w:iCs/>
          <w:sz w:val="21"/>
          <w:szCs w:val="21"/>
        </w:rPr>
        <w:t>6,5</w:t>
      </w:r>
      <w:r w:rsidR="000252DB" w:rsidRPr="00E46C1C">
        <w:rPr>
          <w:rFonts w:ascii="Arial" w:hAnsi="Arial" w:cs="Arial"/>
          <w:iCs/>
          <w:sz w:val="21"/>
          <w:szCs w:val="21"/>
        </w:rPr>
        <w:t>%)</w:t>
      </w:r>
      <w:r w:rsidR="000252DB">
        <w:rPr>
          <w:rFonts w:ascii="Arial" w:hAnsi="Arial" w:cs="Arial"/>
          <w:iCs/>
          <w:sz w:val="21"/>
          <w:szCs w:val="21"/>
        </w:rPr>
        <w:t xml:space="preserve"> e ai </w:t>
      </w:r>
      <w:r w:rsidR="000252DB" w:rsidRPr="00E46C1C">
        <w:rPr>
          <w:rFonts w:ascii="Arial" w:hAnsi="Arial" w:cs="Arial"/>
          <w:iCs/>
          <w:sz w:val="21"/>
          <w:szCs w:val="21"/>
        </w:rPr>
        <w:t>Servizi</w:t>
      </w:r>
      <w:r w:rsidR="000252DB">
        <w:rPr>
          <w:rFonts w:ascii="Arial" w:hAnsi="Arial" w:cs="Arial"/>
          <w:iCs/>
          <w:sz w:val="21"/>
          <w:szCs w:val="21"/>
        </w:rPr>
        <w:t xml:space="preserve"> </w:t>
      </w:r>
      <w:r w:rsidR="000252DB" w:rsidRPr="00E46C1C">
        <w:rPr>
          <w:rFonts w:ascii="Arial" w:hAnsi="Arial" w:cs="Arial"/>
          <w:iCs/>
          <w:sz w:val="21"/>
          <w:szCs w:val="21"/>
        </w:rPr>
        <w:t>relativi alle Comunicazioni (da +</w:t>
      </w:r>
      <w:r w:rsidR="000252DB">
        <w:rPr>
          <w:rFonts w:ascii="Arial" w:hAnsi="Arial" w:cs="Arial"/>
          <w:iCs/>
          <w:sz w:val="21"/>
          <w:szCs w:val="21"/>
        </w:rPr>
        <w:t>0,1</w:t>
      </w:r>
      <w:r w:rsidR="000252DB" w:rsidRPr="00E46C1C">
        <w:rPr>
          <w:rFonts w:ascii="Arial" w:hAnsi="Arial" w:cs="Arial"/>
          <w:iCs/>
          <w:sz w:val="21"/>
          <w:szCs w:val="21"/>
        </w:rPr>
        <w:t xml:space="preserve">% </w:t>
      </w:r>
      <w:r w:rsidR="000252DB">
        <w:rPr>
          <w:rFonts w:ascii="Arial" w:hAnsi="Arial" w:cs="Arial"/>
          <w:iCs/>
          <w:sz w:val="21"/>
          <w:szCs w:val="21"/>
        </w:rPr>
        <w:t>a +0,5</w:t>
      </w:r>
      <w:r w:rsidR="000252DB" w:rsidRPr="00E46C1C">
        <w:rPr>
          <w:rFonts w:ascii="Arial" w:hAnsi="Arial" w:cs="Arial"/>
          <w:iCs/>
          <w:sz w:val="21"/>
          <w:szCs w:val="21"/>
        </w:rPr>
        <w:t>%)</w:t>
      </w:r>
      <w:r w:rsidR="000252DB">
        <w:rPr>
          <w:rFonts w:ascii="Arial" w:hAnsi="Arial" w:cs="Arial"/>
          <w:iCs/>
          <w:sz w:val="21"/>
          <w:szCs w:val="21"/>
        </w:rPr>
        <w:t>. Di contro, rallentano in media d’anno i prezzi dei</w:t>
      </w:r>
      <w:r w:rsidR="000252DB" w:rsidRPr="00E46C1C">
        <w:rPr>
          <w:rFonts w:ascii="Arial" w:hAnsi="Arial" w:cs="Arial"/>
          <w:iCs/>
          <w:sz w:val="21"/>
          <w:szCs w:val="21"/>
        </w:rPr>
        <w:t xml:space="preserve"> </w:t>
      </w:r>
      <w:r w:rsidR="000252DB">
        <w:rPr>
          <w:rFonts w:ascii="Arial" w:hAnsi="Arial" w:cs="Arial"/>
          <w:iCs/>
          <w:sz w:val="21"/>
          <w:szCs w:val="21"/>
        </w:rPr>
        <w:t>Servizi relativi ai trasporti (da +5,5% a +4,5%)</w:t>
      </w:r>
      <w:r w:rsidRPr="00E46C1C">
        <w:rPr>
          <w:rFonts w:ascii="Arial" w:hAnsi="Arial" w:cs="Arial"/>
          <w:iCs/>
          <w:sz w:val="21"/>
          <w:szCs w:val="21"/>
        </w:rPr>
        <w:t>.</w:t>
      </w:r>
      <w:r>
        <w:rPr>
          <w:rFonts w:ascii="Arial" w:hAnsi="Arial" w:cs="Arial"/>
          <w:iCs/>
          <w:sz w:val="21"/>
          <w:szCs w:val="21"/>
        </w:rPr>
        <w:t xml:space="preserve"> </w:t>
      </w:r>
    </w:p>
    <w:p w:rsidR="003346B6" w:rsidRDefault="003346B6" w:rsidP="003346B6">
      <w:pPr>
        <w:pStyle w:val="Corpotesto"/>
        <w:spacing w:before="120" w:after="60" w:line="240" w:lineRule="auto"/>
        <w:jc w:val="both"/>
        <w:rPr>
          <w:rFonts w:ascii="Arial" w:hAnsi="Arial" w:cs="Arial"/>
          <w:iCs/>
          <w:sz w:val="21"/>
          <w:szCs w:val="21"/>
        </w:rPr>
      </w:pPr>
    </w:p>
    <w:p w:rsidR="007B5179" w:rsidRPr="00C8504B" w:rsidRDefault="007B5179" w:rsidP="007B5179">
      <w:pPr>
        <w:pStyle w:val="Corpotesto"/>
        <w:tabs>
          <w:tab w:val="left" w:pos="6237"/>
        </w:tabs>
        <w:spacing w:after="120" w:line="240" w:lineRule="exact"/>
        <w:jc w:val="both"/>
        <w:rPr>
          <w:rFonts w:ascii="Arial Narrow" w:hAnsi="Arial Narrow" w:cs="Arial"/>
          <w:color w:val="5F5F5F"/>
        </w:rPr>
      </w:pPr>
      <w:r>
        <w:rPr>
          <w:rFonts w:ascii="Arial Narrow" w:hAnsi="Arial Narrow" w:cs="Arial"/>
          <w:b/>
          <w:color w:val="E42618"/>
          <w:sz w:val="22"/>
          <w:szCs w:val="22"/>
        </w:rPr>
        <w:t xml:space="preserve">PROSPETTO </w:t>
      </w:r>
      <w:r w:rsidR="00376CE0">
        <w:rPr>
          <w:rFonts w:ascii="Arial Narrow" w:hAnsi="Arial Narrow" w:cs="Arial"/>
          <w:b/>
          <w:color w:val="E42618"/>
          <w:sz w:val="22"/>
          <w:szCs w:val="22"/>
        </w:rPr>
        <w:t>13</w:t>
      </w:r>
      <w:r w:rsidRPr="00C8504B">
        <w:rPr>
          <w:rFonts w:ascii="Arial Narrow" w:hAnsi="Arial Narrow" w:cs="Arial"/>
          <w:b/>
          <w:color w:val="E42618"/>
          <w:sz w:val="22"/>
          <w:szCs w:val="22"/>
        </w:rPr>
        <w:t>.</w:t>
      </w:r>
      <w:r w:rsidRPr="00C8504B">
        <w:rPr>
          <w:rFonts w:ascii="Arial Narrow" w:hAnsi="Arial Narrow" w:cs="Arial"/>
          <w:b/>
          <w:color w:val="2298D1"/>
          <w:sz w:val="22"/>
          <w:szCs w:val="22"/>
        </w:rPr>
        <w:t xml:space="preserve"> </w:t>
      </w:r>
      <w:r w:rsidRPr="00C8504B">
        <w:rPr>
          <w:rFonts w:ascii="Arial Narrow" w:hAnsi="Arial Narrow" w:cs="Calibri"/>
          <w:b/>
          <w:bCs/>
          <w:color w:val="5F5F5F"/>
          <w:kern w:val="0"/>
          <w:sz w:val="22"/>
          <w:szCs w:val="22"/>
        </w:rPr>
        <w:t xml:space="preserve">INDICE DEI PREZZI AL CONSUMO </w:t>
      </w:r>
      <w:r w:rsidR="005A71FC" w:rsidRPr="00C8504B">
        <w:rPr>
          <w:rFonts w:ascii="Arial Narrow" w:hAnsi="Arial Narrow" w:cs="Calibri"/>
          <w:b/>
          <w:bCs/>
          <w:color w:val="5F5F5F"/>
          <w:kern w:val="0"/>
          <w:sz w:val="22"/>
          <w:szCs w:val="22"/>
        </w:rPr>
        <w:t>IPCA PER AGGREGATI SPECIALI</w:t>
      </w:r>
      <w:r w:rsidRPr="00C8504B">
        <w:rPr>
          <w:rFonts w:ascii="Arial Narrow" w:hAnsi="Arial Narrow" w:cs="Arial"/>
          <w:b/>
          <w:caps/>
          <w:color w:val="5F5F5F"/>
        </w:rPr>
        <w:br/>
      </w:r>
      <w:r w:rsidR="0008166F">
        <w:rPr>
          <w:rFonts w:ascii="Arial Narrow" w:hAnsi="Arial Narrow" w:cs="Arial"/>
          <w:color w:val="5F5F5F"/>
        </w:rPr>
        <w:t>Anno 20</w:t>
      </w:r>
      <w:r w:rsidR="00D512B8">
        <w:rPr>
          <w:rFonts w:ascii="Arial Narrow" w:hAnsi="Arial Narrow" w:cs="Arial"/>
          <w:color w:val="5F5F5F"/>
        </w:rPr>
        <w:t>2</w:t>
      </w:r>
      <w:r w:rsidR="004075CE">
        <w:rPr>
          <w:rFonts w:ascii="Arial Narrow" w:hAnsi="Arial Narrow" w:cs="Arial"/>
          <w:color w:val="5F5F5F"/>
        </w:rPr>
        <w:t>3</w:t>
      </w:r>
      <w:r w:rsidRPr="001A7A55">
        <w:rPr>
          <w:rFonts w:ascii="Arial Narrow" w:hAnsi="Arial Narrow" w:cs="Arial"/>
          <w:color w:val="5F5F5F"/>
        </w:rPr>
        <w:t>, variazioni percentuali tendenziali e contributi alla variazione tendenziale dell’indice generale (base 2015=100)</w:t>
      </w:r>
      <w:r w:rsidRPr="00C8504B">
        <w:rPr>
          <w:rFonts w:ascii="Arial Narrow" w:hAnsi="Arial Narrow" w:cs="Arial"/>
          <w:color w:val="5F5F5F"/>
        </w:rPr>
        <w:t xml:space="preserve"> </w:t>
      </w:r>
    </w:p>
    <w:tbl>
      <w:tblPr>
        <w:tblW w:w="10319" w:type="dxa"/>
        <w:tblInd w:w="70" w:type="dxa"/>
        <w:tblBorders>
          <w:top w:val="single" w:sz="4" w:space="0" w:color="000000"/>
          <w:bottom w:val="single" w:sz="4" w:space="0" w:color="000000"/>
          <w:insideH w:val="single" w:sz="4" w:space="0" w:color="000000"/>
        </w:tblBorders>
        <w:tblLayout w:type="fixed"/>
        <w:tblCellMar>
          <w:left w:w="70" w:type="dxa"/>
          <w:right w:w="0" w:type="dxa"/>
        </w:tblCellMar>
        <w:tblLook w:val="0000" w:firstRow="0" w:lastRow="0" w:firstColumn="0" w:lastColumn="0" w:noHBand="0" w:noVBand="0"/>
      </w:tblPr>
      <w:tblGrid>
        <w:gridCol w:w="4183"/>
        <w:gridCol w:w="567"/>
        <w:gridCol w:w="567"/>
        <w:gridCol w:w="709"/>
        <w:gridCol w:w="709"/>
        <w:gridCol w:w="567"/>
        <w:gridCol w:w="496"/>
        <w:gridCol w:w="845"/>
        <w:gridCol w:w="825"/>
        <w:gridCol w:w="851"/>
      </w:tblGrid>
      <w:tr w:rsidR="0008166F" w:rsidRPr="00C8504B" w:rsidTr="00186274">
        <w:trPr>
          <w:trHeight w:val="311"/>
        </w:trPr>
        <w:tc>
          <w:tcPr>
            <w:tcW w:w="4183" w:type="dxa"/>
            <w:vMerge w:val="restart"/>
            <w:vAlign w:val="center"/>
          </w:tcPr>
          <w:p w:rsidR="0008166F" w:rsidRPr="00C8504B" w:rsidRDefault="0008166F" w:rsidP="0008166F">
            <w:pPr>
              <w:spacing w:before="40" w:after="20"/>
              <w:rPr>
                <w:rFonts w:ascii="Arial Narrow" w:hAnsi="Arial Narrow" w:cs="Arial"/>
                <w:bCs/>
                <w:sz w:val="18"/>
                <w:szCs w:val="18"/>
              </w:rPr>
            </w:pPr>
            <w:r w:rsidRPr="00C8504B">
              <w:rPr>
                <w:rFonts w:ascii="Arial Narrow" w:hAnsi="Arial Narrow" w:cs="Arial"/>
                <w:b/>
                <w:bCs/>
                <w:sz w:val="18"/>
                <w:szCs w:val="18"/>
              </w:rPr>
              <w:t>AGGREGATI SPECIALI</w:t>
            </w:r>
          </w:p>
        </w:tc>
        <w:tc>
          <w:tcPr>
            <w:tcW w:w="3615" w:type="dxa"/>
            <w:gridSpan w:val="6"/>
            <w:shd w:val="clear" w:color="auto" w:fill="auto"/>
            <w:vAlign w:val="center"/>
          </w:tcPr>
          <w:p w:rsidR="0008166F" w:rsidRPr="008814F3" w:rsidRDefault="0008166F" w:rsidP="0008166F">
            <w:pPr>
              <w:spacing w:before="40" w:after="20"/>
              <w:ind w:right="57"/>
              <w:jc w:val="center"/>
              <w:rPr>
                <w:rFonts w:ascii="Arial Narrow" w:hAnsi="Arial Narrow" w:cs="Arial"/>
                <w:b/>
                <w:bCs/>
                <w:kern w:val="0"/>
                <w:sz w:val="18"/>
                <w:szCs w:val="18"/>
              </w:rPr>
            </w:pPr>
            <w:r>
              <w:rPr>
                <w:rFonts w:ascii="Arial Narrow" w:hAnsi="Arial Narrow" w:cs="Arial"/>
                <w:b/>
                <w:bCs/>
                <w:kern w:val="0"/>
                <w:sz w:val="18"/>
                <w:szCs w:val="18"/>
              </w:rPr>
              <w:t>V</w:t>
            </w:r>
            <w:r w:rsidRPr="00E35895">
              <w:rPr>
                <w:rFonts w:ascii="Arial Narrow" w:hAnsi="Arial Narrow" w:cs="Arial"/>
                <w:b/>
                <w:bCs/>
                <w:kern w:val="0"/>
                <w:sz w:val="18"/>
                <w:szCs w:val="18"/>
              </w:rPr>
              <w:t>ariazioni medi</w:t>
            </w:r>
            <w:r>
              <w:rPr>
                <w:rFonts w:ascii="Arial Narrow" w:hAnsi="Arial Narrow" w:cs="Arial"/>
                <w:b/>
                <w:bCs/>
                <w:kern w:val="0"/>
                <w:sz w:val="18"/>
                <w:szCs w:val="18"/>
              </w:rPr>
              <w:t>e</w:t>
            </w:r>
          </w:p>
        </w:tc>
        <w:tc>
          <w:tcPr>
            <w:tcW w:w="845" w:type="dxa"/>
            <w:vMerge w:val="restart"/>
            <w:shd w:val="clear" w:color="auto" w:fill="D9D9D9" w:themeFill="background1" w:themeFillShade="D9"/>
            <w:vAlign w:val="center"/>
          </w:tcPr>
          <w:p w:rsidR="0008166F" w:rsidRPr="00FD599C" w:rsidRDefault="0008166F" w:rsidP="0008166F">
            <w:pPr>
              <w:spacing w:before="40" w:after="20"/>
              <w:ind w:right="57"/>
              <w:jc w:val="right"/>
              <w:rPr>
                <w:rFonts w:ascii="Arial Narrow" w:hAnsi="Arial Narrow" w:cs="Arial"/>
                <w:b/>
                <w:bCs/>
                <w:kern w:val="0"/>
                <w:sz w:val="18"/>
                <w:szCs w:val="18"/>
              </w:rPr>
            </w:pPr>
            <w:r w:rsidRPr="00FD599C">
              <w:rPr>
                <w:rFonts w:ascii="Arial Narrow" w:hAnsi="Arial Narrow" w:cs="Arial"/>
                <w:b/>
                <w:bCs/>
                <w:kern w:val="0"/>
                <w:sz w:val="18"/>
                <w:szCs w:val="18"/>
              </w:rPr>
              <w:t xml:space="preserve">Inflazione ereditata </w:t>
            </w:r>
            <w:r w:rsidR="00BD14CF">
              <w:rPr>
                <w:rFonts w:ascii="Arial Narrow" w:hAnsi="Arial Narrow" w:cs="Arial"/>
                <w:b/>
                <w:bCs/>
                <w:kern w:val="0"/>
                <w:sz w:val="18"/>
                <w:szCs w:val="18"/>
              </w:rPr>
              <w:t xml:space="preserve">          dal 202</w:t>
            </w:r>
            <w:r w:rsidR="004075CE">
              <w:rPr>
                <w:rFonts w:ascii="Arial Narrow" w:hAnsi="Arial Narrow" w:cs="Arial"/>
                <w:b/>
                <w:bCs/>
                <w:kern w:val="0"/>
                <w:sz w:val="18"/>
                <w:szCs w:val="18"/>
              </w:rPr>
              <w:t>2</w:t>
            </w:r>
          </w:p>
        </w:tc>
        <w:tc>
          <w:tcPr>
            <w:tcW w:w="825" w:type="dxa"/>
            <w:vMerge w:val="restart"/>
            <w:vAlign w:val="center"/>
          </w:tcPr>
          <w:p w:rsidR="0008166F" w:rsidRPr="00FD599C" w:rsidRDefault="0008166F" w:rsidP="00186274">
            <w:pPr>
              <w:spacing w:before="40" w:after="20"/>
              <w:ind w:left="-89" w:right="57"/>
              <w:jc w:val="right"/>
              <w:rPr>
                <w:rFonts w:ascii="Arial Narrow" w:hAnsi="Arial Narrow" w:cs="Arial"/>
                <w:b/>
                <w:bCs/>
                <w:kern w:val="0"/>
                <w:sz w:val="18"/>
                <w:szCs w:val="18"/>
              </w:rPr>
            </w:pPr>
            <w:r>
              <w:rPr>
                <w:rFonts w:ascii="Arial Narrow" w:hAnsi="Arial Narrow" w:cs="Arial"/>
                <w:b/>
                <w:bCs/>
                <w:kern w:val="0"/>
                <w:sz w:val="18"/>
                <w:szCs w:val="18"/>
              </w:rPr>
              <w:t>Inflazio</w:t>
            </w:r>
            <w:r w:rsidRPr="00FD599C">
              <w:rPr>
                <w:rFonts w:ascii="Arial Narrow" w:hAnsi="Arial Narrow" w:cs="Arial"/>
                <w:b/>
                <w:bCs/>
                <w:kern w:val="0"/>
                <w:sz w:val="18"/>
                <w:szCs w:val="18"/>
              </w:rPr>
              <w:t>ne propria</w:t>
            </w:r>
          </w:p>
        </w:tc>
        <w:tc>
          <w:tcPr>
            <w:tcW w:w="851" w:type="dxa"/>
            <w:vMerge w:val="restart"/>
            <w:shd w:val="clear" w:color="auto" w:fill="D9D9D9" w:themeFill="background1" w:themeFillShade="D9"/>
            <w:vAlign w:val="center"/>
          </w:tcPr>
          <w:p w:rsidR="0008166F" w:rsidRPr="00FD599C" w:rsidRDefault="0008166F" w:rsidP="004075CE">
            <w:pPr>
              <w:spacing w:before="40" w:after="20"/>
              <w:ind w:left="-27" w:right="57"/>
              <w:jc w:val="right"/>
              <w:rPr>
                <w:rFonts w:ascii="Arial Narrow" w:hAnsi="Arial Narrow" w:cs="Arial"/>
                <w:b/>
                <w:bCs/>
                <w:kern w:val="0"/>
                <w:sz w:val="18"/>
                <w:szCs w:val="18"/>
              </w:rPr>
            </w:pPr>
            <w:r>
              <w:rPr>
                <w:rFonts w:ascii="Arial Narrow" w:hAnsi="Arial Narrow" w:cs="Arial"/>
                <w:b/>
                <w:bCs/>
                <w:kern w:val="0"/>
                <w:sz w:val="18"/>
                <w:szCs w:val="18"/>
              </w:rPr>
              <w:t>Trascina-mento                  al 202</w:t>
            </w:r>
            <w:r w:rsidR="004075CE">
              <w:rPr>
                <w:rFonts w:ascii="Arial Narrow" w:hAnsi="Arial Narrow" w:cs="Arial"/>
                <w:b/>
                <w:bCs/>
                <w:kern w:val="0"/>
                <w:sz w:val="18"/>
                <w:szCs w:val="18"/>
              </w:rPr>
              <w:t>4</w:t>
            </w:r>
          </w:p>
        </w:tc>
      </w:tr>
      <w:tr w:rsidR="003B3E1E" w:rsidRPr="00C8504B" w:rsidTr="00186274">
        <w:trPr>
          <w:trHeight w:val="522"/>
        </w:trPr>
        <w:tc>
          <w:tcPr>
            <w:tcW w:w="4183" w:type="dxa"/>
            <w:vMerge/>
            <w:vAlign w:val="center"/>
          </w:tcPr>
          <w:p w:rsidR="003B3E1E" w:rsidRPr="00C8504B" w:rsidRDefault="003B3E1E" w:rsidP="003B3E1E">
            <w:pPr>
              <w:spacing w:before="40" w:after="20"/>
              <w:rPr>
                <w:rFonts w:ascii="Arial Narrow" w:hAnsi="Arial Narrow" w:cs="Arial"/>
                <w:b/>
                <w:bCs/>
                <w:sz w:val="18"/>
                <w:szCs w:val="18"/>
              </w:rPr>
            </w:pPr>
          </w:p>
        </w:tc>
        <w:tc>
          <w:tcPr>
            <w:tcW w:w="567" w:type="dxa"/>
            <w:shd w:val="clear" w:color="auto" w:fill="D9D9D9" w:themeFill="background1" w:themeFillShade="D9"/>
            <w:vAlign w:val="center"/>
          </w:tcPr>
          <w:p w:rsidR="003B3E1E" w:rsidRDefault="003B3E1E" w:rsidP="003B3E1E">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202</w:t>
            </w:r>
            <w:r w:rsidR="004075CE">
              <w:rPr>
                <w:rFonts w:ascii="Arial Narrow" w:hAnsi="Arial Narrow" w:cs="Arial"/>
                <w:kern w:val="0"/>
                <w:sz w:val="18"/>
                <w:szCs w:val="18"/>
                <w:u w:val="single"/>
              </w:rPr>
              <w:t>2</w:t>
            </w:r>
          </w:p>
          <w:p w:rsidR="003B3E1E" w:rsidRPr="008814F3" w:rsidRDefault="003B3E1E" w:rsidP="003B3E1E">
            <w:pPr>
              <w:widowControl/>
              <w:overflowPunct/>
              <w:autoSpaceDE/>
              <w:autoSpaceDN/>
              <w:adjustRightInd/>
              <w:spacing w:before="40" w:after="20"/>
              <w:ind w:right="57"/>
              <w:jc w:val="right"/>
              <w:rPr>
                <w:rFonts w:ascii="Arial Narrow" w:hAnsi="Arial Narrow" w:cs="Arial"/>
                <w:b/>
                <w:bCs/>
                <w:kern w:val="0"/>
                <w:sz w:val="18"/>
                <w:szCs w:val="18"/>
              </w:rPr>
            </w:pPr>
            <w:r>
              <w:rPr>
                <w:rFonts w:ascii="Arial Narrow" w:hAnsi="Arial Narrow" w:cs="Arial"/>
                <w:kern w:val="0"/>
                <w:sz w:val="18"/>
                <w:szCs w:val="18"/>
              </w:rPr>
              <w:t>202</w:t>
            </w:r>
            <w:r w:rsidR="004075CE">
              <w:rPr>
                <w:rFonts w:ascii="Arial Narrow" w:hAnsi="Arial Narrow" w:cs="Arial"/>
                <w:kern w:val="0"/>
                <w:sz w:val="18"/>
                <w:szCs w:val="18"/>
              </w:rPr>
              <w:t>1</w:t>
            </w:r>
          </w:p>
        </w:tc>
        <w:tc>
          <w:tcPr>
            <w:tcW w:w="567" w:type="dxa"/>
            <w:vAlign w:val="center"/>
          </w:tcPr>
          <w:p w:rsidR="003B3E1E" w:rsidRDefault="003B3E1E" w:rsidP="003B3E1E">
            <w:pPr>
              <w:spacing w:before="40" w:after="20"/>
              <w:jc w:val="center"/>
              <w:rPr>
                <w:rFonts w:ascii="Arial Narrow" w:hAnsi="Arial Narrow" w:cs="Arial"/>
                <w:bCs/>
                <w:sz w:val="18"/>
                <w:szCs w:val="18"/>
              </w:rPr>
            </w:pPr>
            <w:r w:rsidRPr="00FD599C">
              <w:rPr>
                <w:rFonts w:ascii="Arial Narrow" w:hAnsi="Arial Narrow" w:cs="Arial"/>
                <w:bCs/>
                <w:sz w:val="18"/>
                <w:szCs w:val="18"/>
              </w:rPr>
              <w:t>I trim</w:t>
            </w:r>
          </w:p>
          <w:p w:rsidR="003B3E1E" w:rsidRPr="00FD599C" w:rsidRDefault="003B3E1E" w:rsidP="003B3E1E">
            <w:pPr>
              <w:spacing w:before="40" w:after="20"/>
              <w:jc w:val="center"/>
              <w:rPr>
                <w:rFonts w:ascii="Arial Narrow" w:hAnsi="Arial Narrow" w:cs="Arial"/>
                <w:bCs/>
                <w:sz w:val="18"/>
                <w:szCs w:val="18"/>
              </w:rPr>
            </w:pPr>
            <w:r>
              <w:rPr>
                <w:rFonts w:ascii="Arial Narrow" w:hAnsi="Arial Narrow" w:cs="Arial"/>
                <w:bCs/>
                <w:sz w:val="18"/>
                <w:szCs w:val="18"/>
              </w:rPr>
              <w:t>202</w:t>
            </w:r>
            <w:r w:rsidR="004075CE">
              <w:rPr>
                <w:rFonts w:ascii="Arial Narrow" w:hAnsi="Arial Narrow" w:cs="Arial"/>
                <w:bCs/>
                <w:sz w:val="18"/>
                <w:szCs w:val="18"/>
              </w:rPr>
              <w:t>3</w:t>
            </w:r>
          </w:p>
        </w:tc>
        <w:tc>
          <w:tcPr>
            <w:tcW w:w="709" w:type="dxa"/>
            <w:shd w:val="clear" w:color="auto" w:fill="D9D9D9" w:themeFill="background1" w:themeFillShade="D9"/>
            <w:vAlign w:val="center"/>
          </w:tcPr>
          <w:p w:rsidR="003B3E1E" w:rsidRDefault="003B3E1E" w:rsidP="003B3E1E">
            <w:pPr>
              <w:spacing w:before="40" w:after="20"/>
              <w:jc w:val="center"/>
              <w:rPr>
                <w:rFonts w:ascii="Arial Narrow" w:hAnsi="Arial Narrow" w:cs="Arial"/>
                <w:bCs/>
                <w:sz w:val="18"/>
                <w:szCs w:val="18"/>
              </w:rPr>
            </w:pPr>
            <w:r>
              <w:rPr>
                <w:rFonts w:ascii="Arial Narrow" w:hAnsi="Arial Narrow" w:cs="Arial"/>
                <w:bCs/>
                <w:sz w:val="18"/>
                <w:szCs w:val="18"/>
              </w:rPr>
              <w:t>II</w:t>
            </w:r>
            <w:r w:rsidRPr="00FD599C">
              <w:rPr>
                <w:rFonts w:ascii="Arial Narrow" w:hAnsi="Arial Narrow" w:cs="Arial"/>
                <w:bCs/>
                <w:sz w:val="18"/>
                <w:szCs w:val="18"/>
              </w:rPr>
              <w:t xml:space="preserve"> trim</w:t>
            </w:r>
          </w:p>
          <w:p w:rsidR="003B3E1E" w:rsidRPr="00FD599C" w:rsidRDefault="003B3E1E" w:rsidP="004075CE">
            <w:pPr>
              <w:spacing w:before="40" w:after="20"/>
              <w:jc w:val="center"/>
              <w:rPr>
                <w:rFonts w:ascii="Arial Narrow" w:hAnsi="Arial Narrow" w:cs="Arial"/>
                <w:bCs/>
                <w:sz w:val="18"/>
                <w:szCs w:val="18"/>
              </w:rPr>
            </w:pPr>
            <w:r>
              <w:rPr>
                <w:rFonts w:ascii="Arial Narrow" w:hAnsi="Arial Narrow" w:cs="Arial"/>
                <w:bCs/>
                <w:sz w:val="18"/>
                <w:szCs w:val="18"/>
              </w:rPr>
              <w:t>202</w:t>
            </w:r>
            <w:r w:rsidR="004075CE">
              <w:rPr>
                <w:rFonts w:ascii="Arial Narrow" w:hAnsi="Arial Narrow" w:cs="Arial"/>
                <w:bCs/>
                <w:sz w:val="18"/>
                <w:szCs w:val="18"/>
              </w:rPr>
              <w:t>3</w:t>
            </w:r>
          </w:p>
        </w:tc>
        <w:tc>
          <w:tcPr>
            <w:tcW w:w="709" w:type="dxa"/>
            <w:vAlign w:val="center"/>
          </w:tcPr>
          <w:p w:rsidR="003B3E1E" w:rsidRDefault="003B3E1E" w:rsidP="003B3E1E">
            <w:pPr>
              <w:spacing w:before="40" w:after="20"/>
              <w:jc w:val="center"/>
              <w:rPr>
                <w:rFonts w:ascii="Arial Narrow" w:hAnsi="Arial Narrow" w:cs="Arial"/>
                <w:bCs/>
                <w:sz w:val="18"/>
                <w:szCs w:val="18"/>
              </w:rPr>
            </w:pPr>
            <w:r w:rsidRPr="00FD599C">
              <w:rPr>
                <w:rFonts w:ascii="Arial Narrow" w:hAnsi="Arial Narrow" w:cs="Arial"/>
                <w:bCs/>
                <w:sz w:val="18"/>
                <w:szCs w:val="18"/>
              </w:rPr>
              <w:t>III trim</w:t>
            </w:r>
          </w:p>
          <w:p w:rsidR="003B3E1E" w:rsidRPr="00FD599C" w:rsidRDefault="003B3E1E" w:rsidP="003B3E1E">
            <w:pPr>
              <w:spacing w:before="40" w:after="20"/>
              <w:jc w:val="center"/>
              <w:rPr>
                <w:rFonts w:ascii="Arial Narrow" w:hAnsi="Arial Narrow" w:cs="Arial"/>
                <w:bCs/>
                <w:sz w:val="18"/>
                <w:szCs w:val="18"/>
              </w:rPr>
            </w:pPr>
            <w:r>
              <w:rPr>
                <w:rFonts w:ascii="Arial Narrow" w:hAnsi="Arial Narrow" w:cs="Arial"/>
                <w:bCs/>
                <w:sz w:val="18"/>
                <w:szCs w:val="18"/>
              </w:rPr>
              <w:t>202</w:t>
            </w:r>
            <w:r w:rsidR="004075CE">
              <w:rPr>
                <w:rFonts w:ascii="Arial Narrow" w:hAnsi="Arial Narrow" w:cs="Arial"/>
                <w:bCs/>
                <w:sz w:val="18"/>
                <w:szCs w:val="18"/>
              </w:rPr>
              <w:t>3</w:t>
            </w:r>
          </w:p>
        </w:tc>
        <w:tc>
          <w:tcPr>
            <w:tcW w:w="567" w:type="dxa"/>
            <w:shd w:val="clear" w:color="auto" w:fill="D9D9D9" w:themeFill="background1" w:themeFillShade="D9"/>
            <w:vAlign w:val="center"/>
          </w:tcPr>
          <w:p w:rsidR="003B3E1E" w:rsidRDefault="003B3E1E" w:rsidP="003B3E1E">
            <w:pPr>
              <w:spacing w:before="40" w:after="20"/>
              <w:jc w:val="center"/>
              <w:rPr>
                <w:rFonts w:ascii="Arial Narrow" w:hAnsi="Arial Narrow" w:cs="Arial"/>
                <w:bCs/>
                <w:sz w:val="18"/>
                <w:szCs w:val="18"/>
              </w:rPr>
            </w:pPr>
            <w:r w:rsidRPr="00FD599C">
              <w:rPr>
                <w:rFonts w:ascii="Arial Narrow" w:hAnsi="Arial Narrow" w:cs="Arial"/>
                <w:bCs/>
                <w:sz w:val="18"/>
                <w:szCs w:val="18"/>
              </w:rPr>
              <w:t>IV trim</w:t>
            </w:r>
          </w:p>
          <w:p w:rsidR="003B3E1E" w:rsidRPr="00FD599C" w:rsidRDefault="003B3E1E" w:rsidP="004075CE">
            <w:pPr>
              <w:spacing w:before="40" w:after="20"/>
              <w:jc w:val="center"/>
              <w:rPr>
                <w:rFonts w:ascii="Arial Narrow" w:hAnsi="Arial Narrow" w:cs="Arial"/>
                <w:bCs/>
                <w:sz w:val="18"/>
                <w:szCs w:val="18"/>
              </w:rPr>
            </w:pPr>
            <w:r>
              <w:rPr>
                <w:rFonts w:ascii="Arial Narrow" w:hAnsi="Arial Narrow" w:cs="Arial"/>
                <w:bCs/>
                <w:sz w:val="18"/>
                <w:szCs w:val="18"/>
              </w:rPr>
              <w:t>202</w:t>
            </w:r>
            <w:r w:rsidR="004075CE">
              <w:rPr>
                <w:rFonts w:ascii="Arial Narrow" w:hAnsi="Arial Narrow" w:cs="Arial"/>
                <w:bCs/>
                <w:sz w:val="18"/>
                <w:szCs w:val="18"/>
              </w:rPr>
              <w:t>3</w:t>
            </w:r>
          </w:p>
        </w:tc>
        <w:tc>
          <w:tcPr>
            <w:tcW w:w="496" w:type="dxa"/>
            <w:shd w:val="clear" w:color="auto" w:fill="auto"/>
            <w:vAlign w:val="center"/>
          </w:tcPr>
          <w:p w:rsidR="003B3E1E" w:rsidRDefault="003B3E1E" w:rsidP="003B3E1E">
            <w:pPr>
              <w:widowControl/>
              <w:overflowPunct/>
              <w:autoSpaceDE/>
              <w:autoSpaceDN/>
              <w:adjustRightInd/>
              <w:spacing w:before="40" w:after="20"/>
              <w:ind w:right="57"/>
              <w:jc w:val="right"/>
              <w:rPr>
                <w:rFonts w:ascii="Arial Narrow" w:hAnsi="Arial Narrow" w:cs="Arial"/>
                <w:kern w:val="0"/>
                <w:sz w:val="18"/>
                <w:szCs w:val="18"/>
                <w:u w:val="single"/>
              </w:rPr>
            </w:pPr>
            <w:r>
              <w:rPr>
                <w:rFonts w:ascii="Arial Narrow" w:hAnsi="Arial Narrow" w:cs="Arial"/>
                <w:kern w:val="0"/>
                <w:sz w:val="18"/>
                <w:szCs w:val="18"/>
                <w:u w:val="single"/>
              </w:rPr>
              <w:t>202</w:t>
            </w:r>
            <w:r w:rsidR="004075CE">
              <w:rPr>
                <w:rFonts w:ascii="Arial Narrow" w:hAnsi="Arial Narrow" w:cs="Arial"/>
                <w:kern w:val="0"/>
                <w:sz w:val="18"/>
                <w:szCs w:val="18"/>
                <w:u w:val="single"/>
              </w:rPr>
              <w:t>3</w:t>
            </w:r>
          </w:p>
          <w:p w:rsidR="003B3E1E" w:rsidRPr="008814F3" w:rsidRDefault="003B3E1E" w:rsidP="004075CE">
            <w:pPr>
              <w:widowControl/>
              <w:overflowPunct/>
              <w:autoSpaceDE/>
              <w:autoSpaceDN/>
              <w:adjustRightInd/>
              <w:spacing w:before="0" w:after="0"/>
              <w:ind w:right="57"/>
              <w:jc w:val="right"/>
              <w:rPr>
                <w:rFonts w:ascii="Arial Narrow" w:hAnsi="Arial Narrow" w:cs="Arial"/>
                <w:b/>
                <w:bCs/>
                <w:kern w:val="0"/>
                <w:sz w:val="18"/>
                <w:szCs w:val="18"/>
              </w:rPr>
            </w:pPr>
            <w:r>
              <w:rPr>
                <w:rFonts w:ascii="Arial Narrow" w:hAnsi="Arial Narrow" w:cs="Arial"/>
                <w:kern w:val="0"/>
                <w:sz w:val="18"/>
                <w:szCs w:val="18"/>
              </w:rPr>
              <w:t>202</w:t>
            </w:r>
            <w:r w:rsidR="004075CE">
              <w:rPr>
                <w:rFonts w:ascii="Arial Narrow" w:hAnsi="Arial Narrow" w:cs="Arial"/>
                <w:kern w:val="0"/>
                <w:sz w:val="18"/>
                <w:szCs w:val="18"/>
              </w:rPr>
              <w:t>2</w:t>
            </w:r>
          </w:p>
        </w:tc>
        <w:tc>
          <w:tcPr>
            <w:tcW w:w="845" w:type="dxa"/>
            <w:vMerge/>
            <w:shd w:val="clear" w:color="auto" w:fill="D9D9D9" w:themeFill="background1" w:themeFillShade="D9"/>
            <w:vAlign w:val="center"/>
          </w:tcPr>
          <w:p w:rsidR="003B3E1E" w:rsidRDefault="003B3E1E" w:rsidP="003B3E1E">
            <w:pPr>
              <w:widowControl/>
              <w:overflowPunct/>
              <w:autoSpaceDE/>
              <w:autoSpaceDN/>
              <w:adjustRightInd/>
              <w:spacing w:before="0" w:after="0"/>
              <w:jc w:val="right"/>
              <w:rPr>
                <w:rFonts w:ascii="Arial Narrow" w:hAnsi="Arial Narrow" w:cs="Arial"/>
                <w:kern w:val="0"/>
                <w:sz w:val="18"/>
                <w:szCs w:val="18"/>
                <w:u w:val="single"/>
              </w:rPr>
            </w:pPr>
          </w:p>
        </w:tc>
        <w:tc>
          <w:tcPr>
            <w:tcW w:w="825" w:type="dxa"/>
            <w:vMerge/>
            <w:vAlign w:val="center"/>
          </w:tcPr>
          <w:p w:rsidR="003B3E1E" w:rsidRDefault="003B3E1E" w:rsidP="003B3E1E">
            <w:pPr>
              <w:widowControl/>
              <w:overflowPunct/>
              <w:autoSpaceDE/>
              <w:autoSpaceDN/>
              <w:adjustRightInd/>
              <w:spacing w:before="0" w:after="0"/>
              <w:jc w:val="right"/>
              <w:rPr>
                <w:rFonts w:ascii="Arial Narrow" w:hAnsi="Arial Narrow" w:cs="Arial"/>
                <w:kern w:val="0"/>
                <w:sz w:val="18"/>
                <w:szCs w:val="18"/>
                <w:u w:val="single"/>
              </w:rPr>
            </w:pPr>
          </w:p>
        </w:tc>
        <w:tc>
          <w:tcPr>
            <w:tcW w:w="851" w:type="dxa"/>
            <w:vMerge/>
            <w:shd w:val="clear" w:color="auto" w:fill="D9D9D9" w:themeFill="background1" w:themeFillShade="D9"/>
            <w:vAlign w:val="center"/>
          </w:tcPr>
          <w:p w:rsidR="003B3E1E" w:rsidRDefault="003B3E1E" w:rsidP="003B3E1E">
            <w:pPr>
              <w:widowControl/>
              <w:overflowPunct/>
              <w:autoSpaceDE/>
              <w:autoSpaceDN/>
              <w:adjustRightInd/>
              <w:spacing w:before="0" w:after="0"/>
              <w:jc w:val="right"/>
              <w:rPr>
                <w:rFonts w:ascii="Arial Narrow" w:hAnsi="Arial Narrow" w:cs="Arial"/>
                <w:kern w:val="0"/>
                <w:sz w:val="18"/>
                <w:szCs w:val="18"/>
                <w:u w:val="single"/>
              </w:rPr>
            </w:pPr>
          </w:p>
        </w:tc>
      </w:tr>
      <w:tr w:rsidR="00BD7BA4" w:rsidRPr="00C8504B" w:rsidTr="00186274">
        <w:trPr>
          <w:trHeight w:val="255"/>
        </w:trPr>
        <w:tc>
          <w:tcPr>
            <w:tcW w:w="4183" w:type="dxa"/>
            <w:vAlign w:val="center"/>
          </w:tcPr>
          <w:p w:rsidR="00BD7BA4" w:rsidRPr="00101BDE" w:rsidRDefault="00BD7BA4" w:rsidP="00BD7BA4">
            <w:pPr>
              <w:spacing w:before="40" w:after="20"/>
              <w:ind w:left="-68"/>
              <w:rPr>
                <w:rFonts w:ascii="Arial Narrow" w:hAnsi="Arial Narrow" w:cs="Arial"/>
                <w:sz w:val="18"/>
                <w:szCs w:val="18"/>
              </w:rPr>
            </w:pPr>
            <w:r w:rsidRPr="00101BDE">
              <w:rPr>
                <w:rFonts w:ascii="Arial Narrow" w:hAnsi="Arial Narrow" w:cs="Arial"/>
                <w:sz w:val="18"/>
                <w:szCs w:val="18"/>
              </w:rPr>
              <w:t>Beni alimentari (incluse bevande alcoliche) e tabacchi, di cui:</w:t>
            </w:r>
          </w:p>
        </w:tc>
        <w:tc>
          <w:tcPr>
            <w:tcW w:w="567" w:type="dxa"/>
            <w:shd w:val="clear" w:color="auto" w:fill="D9D9D9" w:themeFill="background1" w:themeFillShade="D9"/>
            <w:vAlign w:val="center"/>
          </w:tcPr>
          <w:p w:rsidR="00BD7BA4" w:rsidRPr="00A376E5" w:rsidRDefault="00BD7BA4" w:rsidP="00BD7BA4">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8</w:t>
            </w:r>
            <w:r>
              <w:rPr>
                <w:rFonts w:ascii="Arial Narrow" w:hAnsi="Arial Narrow" w:cs="Arial"/>
                <w:sz w:val="18"/>
                <w:szCs w:val="18"/>
              </w:rPr>
              <w:t>,0</w:t>
            </w:r>
          </w:p>
        </w:tc>
        <w:tc>
          <w:tcPr>
            <w:tcW w:w="567"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+11,7</w:t>
            </w:r>
          </w:p>
        </w:tc>
        <w:tc>
          <w:tcPr>
            <w:tcW w:w="709"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+10,6</w:t>
            </w:r>
          </w:p>
        </w:tc>
        <w:tc>
          <w:tcPr>
            <w:tcW w:w="709"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+9,0</w:t>
            </w:r>
          </w:p>
        </w:tc>
        <w:tc>
          <w:tcPr>
            <w:tcW w:w="567"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+5,7</w:t>
            </w:r>
          </w:p>
        </w:tc>
        <w:tc>
          <w:tcPr>
            <w:tcW w:w="496" w:type="dxa"/>
            <w:shd w:val="clear" w:color="auto" w:fill="auto"/>
            <w:vAlign w:val="center"/>
          </w:tcPr>
          <w:p w:rsidR="00BD7BA4" w:rsidRPr="00DA121A" w:rsidRDefault="00BD7BA4" w:rsidP="00BD7BA4">
            <w:pPr>
              <w:spacing w:before="40" w:after="20"/>
              <w:ind w:left="-68" w:right="57"/>
              <w:jc w:val="right"/>
              <w:rPr>
                <w:rFonts w:ascii="Arial Narrow" w:hAnsi="Arial Narrow" w:cs="Arial"/>
                <w:sz w:val="18"/>
                <w:szCs w:val="18"/>
              </w:rPr>
            </w:pPr>
            <w:r w:rsidRPr="00DA121A">
              <w:rPr>
                <w:rFonts w:ascii="Arial Narrow" w:hAnsi="Arial Narrow" w:cs="Arial"/>
                <w:sz w:val="18"/>
                <w:szCs w:val="18"/>
              </w:rPr>
              <w:t>+9,2</w:t>
            </w:r>
          </w:p>
        </w:tc>
        <w:tc>
          <w:tcPr>
            <w:tcW w:w="845" w:type="dxa"/>
            <w:shd w:val="clear" w:color="auto" w:fill="D9D9D9" w:themeFill="background1" w:themeFillShade="D9"/>
            <w:vAlign w:val="center"/>
          </w:tcPr>
          <w:p w:rsidR="00BD7BA4" w:rsidRPr="003A2151" w:rsidRDefault="00BD7BA4" w:rsidP="00BD7BA4">
            <w:pPr>
              <w:widowControl/>
              <w:overflowPunct/>
              <w:autoSpaceDE/>
              <w:autoSpaceDN/>
              <w:adjustRightInd/>
              <w:spacing w:before="40" w:after="20"/>
              <w:ind w:left="-68" w:right="57"/>
              <w:jc w:val="right"/>
              <w:rPr>
                <w:rFonts w:ascii="Arial Narrow" w:hAnsi="Arial Narrow" w:cs="Arial"/>
                <w:sz w:val="18"/>
                <w:szCs w:val="18"/>
              </w:rPr>
            </w:pPr>
            <w:r w:rsidRPr="003A2151">
              <w:rPr>
                <w:rFonts w:ascii="Arial Narrow" w:hAnsi="Arial Narrow" w:cs="Arial"/>
                <w:sz w:val="18"/>
                <w:szCs w:val="18"/>
              </w:rPr>
              <w:t>+4,7</w:t>
            </w:r>
          </w:p>
        </w:tc>
        <w:tc>
          <w:tcPr>
            <w:tcW w:w="825" w:type="dxa"/>
            <w:vAlign w:val="center"/>
          </w:tcPr>
          <w:p w:rsidR="00BD7BA4" w:rsidRPr="003A2151" w:rsidRDefault="00BD7BA4" w:rsidP="00BD7BA4">
            <w:pPr>
              <w:spacing w:before="40" w:after="20"/>
              <w:ind w:left="-68" w:right="57"/>
              <w:jc w:val="right"/>
              <w:rPr>
                <w:rFonts w:ascii="Arial Narrow" w:hAnsi="Arial Narrow" w:cs="Arial"/>
                <w:sz w:val="18"/>
                <w:szCs w:val="18"/>
              </w:rPr>
            </w:pPr>
            <w:r w:rsidRPr="003A2151">
              <w:rPr>
                <w:rFonts w:ascii="Arial Narrow" w:hAnsi="Arial Narrow" w:cs="Arial"/>
                <w:sz w:val="18"/>
                <w:szCs w:val="18"/>
              </w:rPr>
              <w:t>+4,3</w:t>
            </w:r>
          </w:p>
        </w:tc>
        <w:tc>
          <w:tcPr>
            <w:tcW w:w="851" w:type="dxa"/>
            <w:shd w:val="clear" w:color="auto" w:fill="D9D9D9" w:themeFill="background1" w:themeFillShade="D9"/>
            <w:vAlign w:val="center"/>
          </w:tcPr>
          <w:p w:rsidR="00BD7BA4" w:rsidRPr="00BD7BA4" w:rsidRDefault="00BD7BA4" w:rsidP="00BD7BA4">
            <w:pPr>
              <w:spacing w:before="40" w:after="20"/>
              <w:ind w:left="-68" w:right="57"/>
              <w:jc w:val="right"/>
              <w:rPr>
                <w:rFonts w:ascii="Arial Narrow" w:hAnsi="Arial Narrow" w:cs="Arial"/>
                <w:sz w:val="18"/>
                <w:szCs w:val="18"/>
              </w:rPr>
            </w:pPr>
            <w:r w:rsidRPr="00BD7BA4">
              <w:rPr>
                <w:rFonts w:ascii="Arial Narrow" w:hAnsi="Arial Narrow" w:cs="Arial"/>
                <w:sz w:val="18"/>
                <w:szCs w:val="18"/>
              </w:rPr>
              <w:t>+1,2</w:t>
            </w:r>
          </w:p>
        </w:tc>
      </w:tr>
      <w:tr w:rsidR="00BD7BA4" w:rsidRPr="00C8504B" w:rsidTr="00186274">
        <w:trPr>
          <w:trHeight w:val="255"/>
        </w:trPr>
        <w:tc>
          <w:tcPr>
            <w:tcW w:w="4183" w:type="dxa"/>
            <w:vAlign w:val="center"/>
          </w:tcPr>
          <w:p w:rsidR="00BD7BA4" w:rsidRPr="00101BDE" w:rsidRDefault="00BD7BA4" w:rsidP="00BD7BA4">
            <w:pPr>
              <w:spacing w:before="40" w:after="20"/>
              <w:ind w:left="247"/>
              <w:rPr>
                <w:rFonts w:ascii="Arial Narrow" w:hAnsi="Arial Narrow" w:cs="Arial"/>
                <w:sz w:val="18"/>
                <w:szCs w:val="18"/>
              </w:rPr>
            </w:pPr>
            <w:r w:rsidRPr="00101BDE">
              <w:rPr>
                <w:rFonts w:ascii="Arial Narrow" w:hAnsi="Arial Narrow" w:cs="Arial"/>
                <w:sz w:val="18"/>
                <w:szCs w:val="18"/>
              </w:rPr>
              <w:t>Alimentari lavorati (incluse bevande alcoliche) e tabacchi</w:t>
            </w:r>
          </w:p>
        </w:tc>
        <w:tc>
          <w:tcPr>
            <w:tcW w:w="567" w:type="dxa"/>
            <w:shd w:val="clear" w:color="auto" w:fill="D9D9D9" w:themeFill="background1" w:themeFillShade="D9"/>
            <w:vAlign w:val="center"/>
          </w:tcPr>
          <w:p w:rsidR="00BD7BA4" w:rsidRPr="00A376E5" w:rsidRDefault="00BD7BA4" w:rsidP="00BD7BA4">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7,3</w:t>
            </w:r>
          </w:p>
        </w:tc>
        <w:tc>
          <w:tcPr>
            <w:tcW w:w="567"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+13,3</w:t>
            </w:r>
          </w:p>
        </w:tc>
        <w:tc>
          <w:tcPr>
            <w:tcW w:w="709"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+11,5</w:t>
            </w:r>
          </w:p>
        </w:tc>
        <w:tc>
          <w:tcPr>
            <w:tcW w:w="709"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+8,7</w:t>
            </w:r>
          </w:p>
        </w:tc>
        <w:tc>
          <w:tcPr>
            <w:tcW w:w="567"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+5,5</w:t>
            </w:r>
          </w:p>
        </w:tc>
        <w:tc>
          <w:tcPr>
            <w:tcW w:w="496" w:type="dxa"/>
            <w:shd w:val="clear" w:color="auto" w:fill="auto"/>
            <w:vAlign w:val="center"/>
          </w:tcPr>
          <w:p w:rsidR="00BD7BA4" w:rsidRPr="00DA121A" w:rsidRDefault="00BD7BA4" w:rsidP="00BD7BA4">
            <w:pPr>
              <w:spacing w:before="40" w:after="20"/>
              <w:ind w:left="-68" w:right="57"/>
              <w:jc w:val="right"/>
              <w:rPr>
                <w:rFonts w:ascii="Arial Narrow" w:hAnsi="Arial Narrow" w:cs="Arial"/>
                <w:sz w:val="18"/>
                <w:szCs w:val="18"/>
              </w:rPr>
            </w:pPr>
            <w:r w:rsidRPr="00DA121A">
              <w:rPr>
                <w:rFonts w:ascii="Arial Narrow" w:hAnsi="Arial Narrow" w:cs="Arial"/>
                <w:sz w:val="18"/>
                <w:szCs w:val="18"/>
              </w:rPr>
              <w:t>+9,6</w:t>
            </w:r>
          </w:p>
        </w:tc>
        <w:tc>
          <w:tcPr>
            <w:tcW w:w="845" w:type="dxa"/>
            <w:shd w:val="clear" w:color="auto" w:fill="D9D9D9" w:themeFill="background1" w:themeFillShade="D9"/>
            <w:vAlign w:val="center"/>
          </w:tcPr>
          <w:p w:rsidR="00BD7BA4" w:rsidRPr="003A2151" w:rsidRDefault="00BD7BA4" w:rsidP="00BD7BA4">
            <w:pPr>
              <w:widowControl/>
              <w:overflowPunct/>
              <w:autoSpaceDE/>
              <w:autoSpaceDN/>
              <w:adjustRightInd/>
              <w:spacing w:before="40" w:after="20"/>
              <w:ind w:left="-68" w:right="57"/>
              <w:jc w:val="right"/>
              <w:rPr>
                <w:rFonts w:ascii="Arial Narrow" w:hAnsi="Arial Narrow" w:cs="Arial"/>
                <w:sz w:val="18"/>
                <w:szCs w:val="18"/>
              </w:rPr>
            </w:pPr>
            <w:r w:rsidRPr="003A2151">
              <w:rPr>
                <w:rFonts w:ascii="Arial Narrow" w:hAnsi="Arial Narrow" w:cs="Arial"/>
                <w:sz w:val="18"/>
                <w:szCs w:val="18"/>
              </w:rPr>
              <w:t>+5,7</w:t>
            </w:r>
          </w:p>
        </w:tc>
        <w:tc>
          <w:tcPr>
            <w:tcW w:w="825" w:type="dxa"/>
            <w:vAlign w:val="center"/>
          </w:tcPr>
          <w:p w:rsidR="00BD7BA4" w:rsidRPr="003A2151" w:rsidRDefault="00BD7BA4" w:rsidP="00BD7BA4">
            <w:pPr>
              <w:spacing w:before="40" w:after="20"/>
              <w:ind w:left="-68" w:right="57"/>
              <w:jc w:val="right"/>
              <w:rPr>
                <w:rFonts w:ascii="Arial Narrow" w:hAnsi="Arial Narrow" w:cs="Arial"/>
                <w:sz w:val="18"/>
                <w:szCs w:val="18"/>
              </w:rPr>
            </w:pPr>
            <w:r w:rsidRPr="003A2151">
              <w:rPr>
                <w:rFonts w:ascii="Arial Narrow" w:hAnsi="Arial Narrow" w:cs="Arial"/>
                <w:sz w:val="18"/>
                <w:szCs w:val="18"/>
              </w:rPr>
              <w:t>+3,8</w:t>
            </w:r>
          </w:p>
        </w:tc>
        <w:tc>
          <w:tcPr>
            <w:tcW w:w="851" w:type="dxa"/>
            <w:shd w:val="clear" w:color="auto" w:fill="D9D9D9" w:themeFill="background1" w:themeFillShade="D9"/>
            <w:vAlign w:val="center"/>
          </w:tcPr>
          <w:p w:rsidR="00BD7BA4" w:rsidRPr="00BD7BA4" w:rsidRDefault="00BD7BA4" w:rsidP="00BD7BA4">
            <w:pPr>
              <w:spacing w:before="40" w:after="20"/>
              <w:ind w:left="-68" w:right="57"/>
              <w:jc w:val="right"/>
              <w:rPr>
                <w:rFonts w:ascii="Arial Narrow" w:hAnsi="Arial Narrow" w:cs="Arial"/>
                <w:sz w:val="18"/>
                <w:szCs w:val="18"/>
              </w:rPr>
            </w:pPr>
            <w:r w:rsidRPr="00BD7BA4">
              <w:rPr>
                <w:rFonts w:ascii="Arial Narrow" w:hAnsi="Arial Narrow" w:cs="Arial"/>
                <w:sz w:val="18"/>
                <w:szCs w:val="18"/>
              </w:rPr>
              <w:t>+0,7</w:t>
            </w:r>
          </w:p>
        </w:tc>
      </w:tr>
      <w:tr w:rsidR="00BD7BA4" w:rsidRPr="00C8504B" w:rsidTr="00186274">
        <w:trPr>
          <w:trHeight w:val="255"/>
        </w:trPr>
        <w:tc>
          <w:tcPr>
            <w:tcW w:w="4183" w:type="dxa"/>
            <w:vAlign w:val="center"/>
          </w:tcPr>
          <w:p w:rsidR="00BD7BA4" w:rsidRPr="00101BDE" w:rsidRDefault="00BD7BA4" w:rsidP="00BD7BA4">
            <w:pPr>
              <w:spacing w:before="40" w:after="20"/>
              <w:ind w:left="247"/>
              <w:rPr>
                <w:rFonts w:ascii="Arial Narrow" w:hAnsi="Arial Narrow" w:cs="Arial"/>
                <w:sz w:val="18"/>
                <w:szCs w:val="18"/>
              </w:rPr>
            </w:pPr>
            <w:r w:rsidRPr="00101BDE">
              <w:rPr>
                <w:rFonts w:ascii="Arial Narrow" w:hAnsi="Arial Narrow" w:cs="Arial"/>
                <w:sz w:val="18"/>
                <w:szCs w:val="18"/>
              </w:rPr>
              <w:t>Alimentari non lavorati</w:t>
            </w:r>
          </w:p>
        </w:tc>
        <w:tc>
          <w:tcPr>
            <w:tcW w:w="567" w:type="dxa"/>
            <w:shd w:val="clear" w:color="auto" w:fill="D9D9D9" w:themeFill="background1" w:themeFillShade="D9"/>
            <w:vAlign w:val="center"/>
          </w:tcPr>
          <w:p w:rsidR="00BD7BA4" w:rsidRPr="00A376E5" w:rsidRDefault="00BD7BA4" w:rsidP="00BD7BA4">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9,6</w:t>
            </w:r>
          </w:p>
        </w:tc>
        <w:tc>
          <w:tcPr>
            <w:tcW w:w="567"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+8,1</w:t>
            </w:r>
          </w:p>
        </w:tc>
        <w:tc>
          <w:tcPr>
            <w:tcW w:w="709"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+8,7</w:t>
            </w:r>
          </w:p>
        </w:tc>
        <w:tc>
          <w:tcPr>
            <w:tcW w:w="709"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+9,5</w:t>
            </w:r>
          </w:p>
        </w:tc>
        <w:tc>
          <w:tcPr>
            <w:tcW w:w="567"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+6,6</w:t>
            </w:r>
          </w:p>
        </w:tc>
        <w:tc>
          <w:tcPr>
            <w:tcW w:w="496" w:type="dxa"/>
            <w:shd w:val="clear" w:color="auto" w:fill="auto"/>
            <w:vAlign w:val="center"/>
          </w:tcPr>
          <w:p w:rsidR="00BD7BA4" w:rsidRPr="00DA121A" w:rsidRDefault="00BD7BA4" w:rsidP="00BD7BA4">
            <w:pPr>
              <w:spacing w:before="40" w:after="20"/>
              <w:ind w:left="-68" w:right="57"/>
              <w:jc w:val="right"/>
              <w:rPr>
                <w:rFonts w:ascii="Arial Narrow" w:hAnsi="Arial Narrow" w:cs="Arial"/>
                <w:sz w:val="18"/>
                <w:szCs w:val="18"/>
              </w:rPr>
            </w:pPr>
            <w:r w:rsidRPr="00DA121A">
              <w:rPr>
                <w:rFonts w:ascii="Arial Narrow" w:hAnsi="Arial Narrow" w:cs="Arial"/>
                <w:sz w:val="18"/>
                <w:szCs w:val="18"/>
              </w:rPr>
              <w:t>+8,2</w:t>
            </w:r>
          </w:p>
        </w:tc>
        <w:tc>
          <w:tcPr>
            <w:tcW w:w="845" w:type="dxa"/>
            <w:shd w:val="clear" w:color="auto" w:fill="D9D9D9" w:themeFill="background1" w:themeFillShade="D9"/>
            <w:vAlign w:val="center"/>
          </w:tcPr>
          <w:p w:rsidR="00BD7BA4" w:rsidRPr="003A2151" w:rsidRDefault="00BD7BA4" w:rsidP="00BD7BA4">
            <w:pPr>
              <w:widowControl/>
              <w:overflowPunct/>
              <w:autoSpaceDE/>
              <w:autoSpaceDN/>
              <w:adjustRightInd/>
              <w:spacing w:before="40" w:after="20"/>
              <w:ind w:left="-68" w:right="57"/>
              <w:jc w:val="right"/>
              <w:rPr>
                <w:rFonts w:ascii="Arial Narrow" w:hAnsi="Arial Narrow" w:cs="Arial"/>
                <w:sz w:val="18"/>
                <w:szCs w:val="18"/>
              </w:rPr>
            </w:pPr>
            <w:r w:rsidRPr="003A2151">
              <w:rPr>
                <w:rFonts w:ascii="Arial Narrow" w:hAnsi="Arial Narrow" w:cs="Arial"/>
                <w:sz w:val="18"/>
                <w:szCs w:val="18"/>
              </w:rPr>
              <w:t>+2,4</w:t>
            </w:r>
          </w:p>
        </w:tc>
        <w:tc>
          <w:tcPr>
            <w:tcW w:w="825" w:type="dxa"/>
            <w:vAlign w:val="center"/>
          </w:tcPr>
          <w:p w:rsidR="00BD7BA4" w:rsidRPr="003A2151" w:rsidRDefault="00BD7BA4" w:rsidP="00BD7BA4">
            <w:pPr>
              <w:spacing w:before="40" w:after="20"/>
              <w:ind w:left="-68" w:right="57"/>
              <w:jc w:val="right"/>
              <w:rPr>
                <w:rFonts w:ascii="Arial Narrow" w:hAnsi="Arial Narrow" w:cs="Arial"/>
                <w:sz w:val="18"/>
                <w:szCs w:val="18"/>
              </w:rPr>
            </w:pPr>
            <w:r w:rsidRPr="003A2151">
              <w:rPr>
                <w:rFonts w:ascii="Arial Narrow" w:hAnsi="Arial Narrow" w:cs="Arial"/>
                <w:sz w:val="18"/>
                <w:szCs w:val="18"/>
              </w:rPr>
              <w:t>+5,6</w:t>
            </w:r>
          </w:p>
        </w:tc>
        <w:tc>
          <w:tcPr>
            <w:tcW w:w="851" w:type="dxa"/>
            <w:shd w:val="clear" w:color="auto" w:fill="D9D9D9" w:themeFill="background1" w:themeFillShade="D9"/>
            <w:vAlign w:val="center"/>
          </w:tcPr>
          <w:p w:rsidR="00BD7BA4" w:rsidRPr="00BD7BA4" w:rsidRDefault="00BD7BA4" w:rsidP="00BD7BA4">
            <w:pPr>
              <w:spacing w:before="40" w:after="20"/>
              <w:ind w:left="-68" w:right="57"/>
              <w:jc w:val="right"/>
              <w:rPr>
                <w:rFonts w:ascii="Arial Narrow" w:hAnsi="Arial Narrow" w:cs="Arial"/>
                <w:sz w:val="18"/>
                <w:szCs w:val="18"/>
              </w:rPr>
            </w:pPr>
            <w:r w:rsidRPr="00BD7BA4">
              <w:rPr>
                <w:rFonts w:ascii="Arial Narrow" w:hAnsi="Arial Narrow" w:cs="Arial"/>
                <w:sz w:val="18"/>
                <w:szCs w:val="18"/>
              </w:rPr>
              <w:t>+2,1</w:t>
            </w:r>
          </w:p>
        </w:tc>
      </w:tr>
      <w:tr w:rsidR="00BD7BA4" w:rsidRPr="00C8504B" w:rsidTr="00186274">
        <w:trPr>
          <w:trHeight w:val="255"/>
        </w:trPr>
        <w:tc>
          <w:tcPr>
            <w:tcW w:w="4183" w:type="dxa"/>
            <w:vAlign w:val="center"/>
          </w:tcPr>
          <w:p w:rsidR="00BD7BA4" w:rsidRPr="00101BDE" w:rsidRDefault="00BD7BA4" w:rsidP="00BD7BA4">
            <w:pPr>
              <w:spacing w:before="40" w:after="20"/>
              <w:ind w:left="-68"/>
              <w:rPr>
                <w:rFonts w:ascii="Arial Narrow" w:hAnsi="Arial Narrow" w:cs="Arial"/>
                <w:sz w:val="18"/>
                <w:szCs w:val="18"/>
              </w:rPr>
            </w:pPr>
            <w:r w:rsidRPr="00101BDE">
              <w:rPr>
                <w:rFonts w:ascii="Arial Narrow" w:hAnsi="Arial Narrow" w:cs="Arial"/>
                <w:sz w:val="18"/>
                <w:szCs w:val="18"/>
              </w:rPr>
              <w:t>Energia, di cui:</w:t>
            </w:r>
          </w:p>
        </w:tc>
        <w:tc>
          <w:tcPr>
            <w:tcW w:w="567" w:type="dxa"/>
            <w:shd w:val="clear" w:color="auto" w:fill="D9D9D9" w:themeFill="background1" w:themeFillShade="D9"/>
            <w:vAlign w:val="center"/>
          </w:tcPr>
          <w:p w:rsidR="00BD7BA4" w:rsidRPr="00A376E5" w:rsidRDefault="00BD7BA4" w:rsidP="00BD7BA4">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51,3</w:t>
            </w:r>
          </w:p>
        </w:tc>
        <w:tc>
          <w:tcPr>
            <w:tcW w:w="567"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+26,6</w:t>
            </w:r>
          </w:p>
        </w:tc>
        <w:tc>
          <w:tcPr>
            <w:tcW w:w="709"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+9,8</w:t>
            </w:r>
          </w:p>
        </w:tc>
        <w:tc>
          <w:tcPr>
            <w:tcW w:w="709"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+0,6</w:t>
            </w:r>
          </w:p>
        </w:tc>
        <w:tc>
          <w:tcPr>
            <w:tcW w:w="567"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-23,2</w:t>
            </w:r>
          </w:p>
        </w:tc>
        <w:tc>
          <w:tcPr>
            <w:tcW w:w="496" w:type="dxa"/>
            <w:shd w:val="clear" w:color="auto" w:fill="auto"/>
            <w:vAlign w:val="center"/>
          </w:tcPr>
          <w:p w:rsidR="00BD7BA4" w:rsidRPr="00DA121A" w:rsidRDefault="00BD7BA4" w:rsidP="00BD7BA4">
            <w:pPr>
              <w:spacing w:before="40" w:after="20"/>
              <w:ind w:left="-68" w:right="57"/>
              <w:jc w:val="right"/>
              <w:rPr>
                <w:rFonts w:ascii="Arial Narrow" w:hAnsi="Arial Narrow" w:cs="Arial"/>
                <w:sz w:val="18"/>
                <w:szCs w:val="18"/>
              </w:rPr>
            </w:pPr>
            <w:r w:rsidRPr="00DA121A">
              <w:rPr>
                <w:rFonts w:ascii="Arial Narrow" w:hAnsi="Arial Narrow" w:cs="Arial"/>
                <w:sz w:val="18"/>
                <w:szCs w:val="18"/>
              </w:rPr>
              <w:t>+1,1</w:t>
            </w:r>
          </w:p>
        </w:tc>
        <w:tc>
          <w:tcPr>
            <w:tcW w:w="845" w:type="dxa"/>
            <w:shd w:val="clear" w:color="auto" w:fill="D9D9D9" w:themeFill="background1" w:themeFillShade="D9"/>
            <w:vAlign w:val="center"/>
          </w:tcPr>
          <w:p w:rsidR="00BD7BA4" w:rsidRPr="003A2151" w:rsidRDefault="00BD7BA4" w:rsidP="00BD7BA4">
            <w:pPr>
              <w:widowControl/>
              <w:overflowPunct/>
              <w:autoSpaceDE/>
              <w:autoSpaceDN/>
              <w:adjustRightInd/>
              <w:spacing w:before="40" w:after="20"/>
              <w:ind w:left="-68" w:right="57"/>
              <w:jc w:val="right"/>
              <w:rPr>
                <w:rFonts w:ascii="Arial Narrow" w:hAnsi="Arial Narrow" w:cs="Arial"/>
                <w:sz w:val="18"/>
                <w:szCs w:val="18"/>
              </w:rPr>
            </w:pPr>
            <w:r w:rsidRPr="003A2151">
              <w:rPr>
                <w:rFonts w:ascii="Arial Narrow" w:hAnsi="Arial Narrow" w:cs="Arial"/>
                <w:sz w:val="18"/>
                <w:szCs w:val="18"/>
              </w:rPr>
              <w:t>+23,9</w:t>
            </w:r>
          </w:p>
        </w:tc>
        <w:tc>
          <w:tcPr>
            <w:tcW w:w="825" w:type="dxa"/>
            <w:vAlign w:val="center"/>
          </w:tcPr>
          <w:p w:rsidR="00BD7BA4" w:rsidRPr="003A2151" w:rsidRDefault="00BD7BA4" w:rsidP="00BD7BA4">
            <w:pPr>
              <w:spacing w:before="40" w:after="20"/>
              <w:ind w:left="-68" w:right="57"/>
              <w:jc w:val="right"/>
              <w:rPr>
                <w:rFonts w:ascii="Arial Narrow" w:hAnsi="Arial Narrow" w:cs="Arial"/>
                <w:sz w:val="18"/>
                <w:szCs w:val="18"/>
              </w:rPr>
            </w:pPr>
            <w:r w:rsidRPr="003A2151">
              <w:rPr>
                <w:rFonts w:ascii="Arial Narrow" w:hAnsi="Arial Narrow" w:cs="Arial"/>
                <w:sz w:val="18"/>
                <w:szCs w:val="18"/>
              </w:rPr>
              <w:t>-18,4</w:t>
            </w:r>
          </w:p>
        </w:tc>
        <w:tc>
          <w:tcPr>
            <w:tcW w:w="851" w:type="dxa"/>
            <w:shd w:val="clear" w:color="auto" w:fill="D9D9D9" w:themeFill="background1" w:themeFillShade="D9"/>
            <w:vAlign w:val="center"/>
          </w:tcPr>
          <w:p w:rsidR="00BD7BA4" w:rsidRPr="00BD7BA4" w:rsidRDefault="00BD7BA4" w:rsidP="00BD7BA4">
            <w:pPr>
              <w:spacing w:before="40" w:after="20"/>
              <w:ind w:left="-68" w:right="57"/>
              <w:jc w:val="right"/>
              <w:rPr>
                <w:rFonts w:ascii="Arial Narrow" w:hAnsi="Arial Narrow" w:cs="Arial"/>
                <w:sz w:val="18"/>
                <w:szCs w:val="18"/>
              </w:rPr>
            </w:pPr>
            <w:r w:rsidRPr="00BD7BA4">
              <w:rPr>
                <w:rFonts w:ascii="Arial Narrow" w:hAnsi="Arial Narrow" w:cs="Arial"/>
                <w:sz w:val="18"/>
                <w:szCs w:val="18"/>
              </w:rPr>
              <w:t>-8,0</w:t>
            </w:r>
          </w:p>
        </w:tc>
      </w:tr>
      <w:tr w:rsidR="00BD7BA4" w:rsidRPr="00C8504B" w:rsidTr="00186274">
        <w:trPr>
          <w:trHeight w:val="255"/>
        </w:trPr>
        <w:tc>
          <w:tcPr>
            <w:tcW w:w="4183" w:type="dxa"/>
            <w:vAlign w:val="center"/>
          </w:tcPr>
          <w:p w:rsidR="00BD7BA4" w:rsidRPr="00101BDE" w:rsidRDefault="00BD7BA4" w:rsidP="00BD7BA4">
            <w:pPr>
              <w:spacing w:before="40" w:after="20"/>
              <w:ind w:left="247"/>
              <w:rPr>
                <w:rFonts w:ascii="Arial Narrow" w:hAnsi="Arial Narrow" w:cs="Arial"/>
                <w:sz w:val="18"/>
                <w:szCs w:val="18"/>
              </w:rPr>
            </w:pPr>
            <w:r w:rsidRPr="00101BDE">
              <w:rPr>
                <w:rFonts w:ascii="Arial Narrow" w:hAnsi="Arial Narrow" w:cs="Arial"/>
                <w:sz w:val="18"/>
                <w:szCs w:val="18"/>
              </w:rPr>
              <w:t>Elettricità, gas e combustibili solidi</w:t>
            </w:r>
          </w:p>
        </w:tc>
        <w:tc>
          <w:tcPr>
            <w:tcW w:w="567" w:type="dxa"/>
            <w:shd w:val="clear" w:color="auto" w:fill="D9D9D9" w:themeFill="background1" w:themeFillShade="D9"/>
            <w:vAlign w:val="center"/>
          </w:tcPr>
          <w:p w:rsidR="00BD7BA4" w:rsidRPr="00A376E5" w:rsidRDefault="00BD7BA4" w:rsidP="00BD7BA4">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86,1</w:t>
            </w:r>
          </w:p>
        </w:tc>
        <w:tc>
          <w:tcPr>
            <w:tcW w:w="567"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+41,3</w:t>
            </w:r>
          </w:p>
        </w:tc>
        <w:tc>
          <w:tcPr>
            <w:tcW w:w="709"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+14,9</w:t>
            </w:r>
          </w:p>
        </w:tc>
        <w:tc>
          <w:tcPr>
            <w:tcW w:w="709"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-7,2</w:t>
            </w:r>
          </w:p>
        </w:tc>
        <w:tc>
          <w:tcPr>
            <w:tcW w:w="567"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-41,4</w:t>
            </w:r>
          </w:p>
        </w:tc>
        <w:tc>
          <w:tcPr>
            <w:tcW w:w="496" w:type="dxa"/>
            <w:shd w:val="clear" w:color="auto" w:fill="auto"/>
            <w:vAlign w:val="center"/>
          </w:tcPr>
          <w:p w:rsidR="00BD7BA4" w:rsidRPr="00DA121A" w:rsidRDefault="00BD7BA4" w:rsidP="00BD7BA4">
            <w:pPr>
              <w:spacing w:before="40" w:after="20"/>
              <w:ind w:left="-68" w:right="57"/>
              <w:jc w:val="right"/>
              <w:rPr>
                <w:rFonts w:ascii="Arial Narrow" w:hAnsi="Arial Narrow" w:cs="Arial"/>
                <w:sz w:val="18"/>
                <w:szCs w:val="18"/>
              </w:rPr>
            </w:pPr>
            <w:r w:rsidRPr="00DA121A">
              <w:rPr>
                <w:rFonts w:ascii="Arial Narrow" w:hAnsi="Arial Narrow" w:cs="Arial"/>
                <w:sz w:val="18"/>
                <w:szCs w:val="18"/>
              </w:rPr>
              <w:t>-5,0</w:t>
            </w:r>
          </w:p>
        </w:tc>
        <w:tc>
          <w:tcPr>
            <w:tcW w:w="845" w:type="dxa"/>
            <w:shd w:val="clear" w:color="auto" w:fill="D9D9D9" w:themeFill="background1" w:themeFillShade="D9"/>
            <w:vAlign w:val="center"/>
          </w:tcPr>
          <w:p w:rsidR="00BD7BA4" w:rsidRPr="003A2151" w:rsidRDefault="00BD7BA4" w:rsidP="00BD7BA4">
            <w:pPr>
              <w:widowControl/>
              <w:overflowPunct/>
              <w:autoSpaceDE/>
              <w:autoSpaceDN/>
              <w:adjustRightInd/>
              <w:spacing w:before="40" w:after="20"/>
              <w:ind w:left="-68" w:right="57"/>
              <w:jc w:val="right"/>
              <w:rPr>
                <w:rFonts w:ascii="Arial Narrow" w:hAnsi="Arial Narrow" w:cs="Arial"/>
                <w:sz w:val="18"/>
                <w:szCs w:val="18"/>
              </w:rPr>
            </w:pPr>
            <w:r w:rsidRPr="003A2151">
              <w:rPr>
                <w:rFonts w:ascii="Arial Narrow" w:hAnsi="Arial Narrow" w:cs="Arial"/>
                <w:sz w:val="18"/>
                <w:szCs w:val="18"/>
              </w:rPr>
              <w:t>+43,8</w:t>
            </w:r>
          </w:p>
        </w:tc>
        <w:tc>
          <w:tcPr>
            <w:tcW w:w="825" w:type="dxa"/>
            <w:vAlign w:val="center"/>
          </w:tcPr>
          <w:p w:rsidR="00BD7BA4" w:rsidRPr="003A2151" w:rsidRDefault="00BD7BA4" w:rsidP="00BD7BA4">
            <w:pPr>
              <w:spacing w:before="40" w:after="20"/>
              <w:ind w:left="-68" w:right="57"/>
              <w:jc w:val="right"/>
              <w:rPr>
                <w:rFonts w:ascii="Arial Narrow" w:hAnsi="Arial Narrow" w:cs="Arial"/>
                <w:sz w:val="18"/>
                <w:szCs w:val="18"/>
              </w:rPr>
            </w:pPr>
            <w:r w:rsidRPr="003A2151">
              <w:rPr>
                <w:rFonts w:ascii="Arial Narrow" w:hAnsi="Arial Narrow" w:cs="Arial"/>
                <w:sz w:val="18"/>
                <w:szCs w:val="18"/>
              </w:rPr>
              <w:t>-33,9</w:t>
            </w:r>
          </w:p>
        </w:tc>
        <w:tc>
          <w:tcPr>
            <w:tcW w:w="851" w:type="dxa"/>
            <w:shd w:val="clear" w:color="auto" w:fill="D9D9D9" w:themeFill="background1" w:themeFillShade="D9"/>
            <w:vAlign w:val="center"/>
          </w:tcPr>
          <w:p w:rsidR="00BD7BA4" w:rsidRPr="00BD7BA4" w:rsidRDefault="00BD7BA4" w:rsidP="00BD7BA4">
            <w:pPr>
              <w:spacing w:before="40" w:after="20"/>
              <w:ind w:left="-68" w:right="57"/>
              <w:jc w:val="right"/>
              <w:rPr>
                <w:rFonts w:ascii="Arial Narrow" w:hAnsi="Arial Narrow" w:cs="Arial"/>
                <w:sz w:val="18"/>
                <w:szCs w:val="18"/>
              </w:rPr>
            </w:pPr>
            <w:r w:rsidRPr="00BD7BA4">
              <w:rPr>
                <w:rFonts w:ascii="Arial Narrow" w:hAnsi="Arial Narrow" w:cs="Arial"/>
                <w:sz w:val="18"/>
                <w:szCs w:val="18"/>
              </w:rPr>
              <w:t>-12,8</w:t>
            </w:r>
          </w:p>
        </w:tc>
      </w:tr>
      <w:tr w:rsidR="00BD7BA4" w:rsidRPr="00C8504B" w:rsidTr="00186274">
        <w:trPr>
          <w:trHeight w:val="255"/>
        </w:trPr>
        <w:tc>
          <w:tcPr>
            <w:tcW w:w="4183" w:type="dxa"/>
            <w:vAlign w:val="center"/>
          </w:tcPr>
          <w:p w:rsidR="00BD7BA4" w:rsidRPr="00101BDE" w:rsidRDefault="00BD7BA4" w:rsidP="00BD7BA4">
            <w:pPr>
              <w:spacing w:before="40" w:after="20"/>
              <w:ind w:left="247"/>
              <w:rPr>
                <w:rFonts w:ascii="Arial Narrow" w:hAnsi="Arial Narrow" w:cs="Arial"/>
                <w:sz w:val="18"/>
                <w:szCs w:val="18"/>
              </w:rPr>
            </w:pPr>
            <w:r w:rsidRPr="00101BDE">
              <w:rPr>
                <w:rFonts w:ascii="Arial Narrow" w:hAnsi="Arial Narrow" w:cs="Arial"/>
                <w:sz w:val="18"/>
                <w:szCs w:val="18"/>
              </w:rPr>
              <w:t>Combustibili liquidi, carburanti e lubrificanti</w:t>
            </w:r>
          </w:p>
        </w:tc>
        <w:tc>
          <w:tcPr>
            <w:tcW w:w="567" w:type="dxa"/>
            <w:shd w:val="clear" w:color="auto" w:fill="D9D9D9" w:themeFill="background1" w:themeFillShade="D9"/>
            <w:vAlign w:val="center"/>
          </w:tcPr>
          <w:p w:rsidR="00BD7BA4" w:rsidRPr="00A376E5" w:rsidRDefault="00BD7BA4" w:rsidP="00BD7BA4">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17,7</w:t>
            </w:r>
          </w:p>
        </w:tc>
        <w:tc>
          <w:tcPr>
            <w:tcW w:w="567"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+1,7</w:t>
            </w:r>
          </w:p>
        </w:tc>
        <w:tc>
          <w:tcPr>
            <w:tcW w:w="709"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-5,6</w:t>
            </w:r>
          </w:p>
        </w:tc>
        <w:tc>
          <w:tcPr>
            <w:tcW w:w="709"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-1,4</w:t>
            </w:r>
          </w:p>
        </w:tc>
        <w:tc>
          <w:tcPr>
            <w:tcW w:w="567"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+3,5</w:t>
            </w:r>
          </w:p>
        </w:tc>
        <w:tc>
          <w:tcPr>
            <w:tcW w:w="496" w:type="dxa"/>
            <w:shd w:val="clear" w:color="auto" w:fill="auto"/>
            <w:vAlign w:val="center"/>
          </w:tcPr>
          <w:p w:rsidR="00BD7BA4" w:rsidRPr="00DA121A" w:rsidRDefault="00BD7BA4" w:rsidP="00BD7BA4">
            <w:pPr>
              <w:spacing w:before="40" w:after="20"/>
              <w:ind w:left="-68" w:right="57"/>
              <w:jc w:val="right"/>
              <w:rPr>
                <w:rFonts w:ascii="Arial Narrow" w:hAnsi="Arial Narrow" w:cs="Arial"/>
                <w:sz w:val="18"/>
                <w:szCs w:val="18"/>
              </w:rPr>
            </w:pPr>
            <w:r w:rsidRPr="00DA121A">
              <w:rPr>
                <w:rFonts w:ascii="Arial Narrow" w:hAnsi="Arial Narrow" w:cs="Arial"/>
                <w:sz w:val="18"/>
                <w:szCs w:val="18"/>
              </w:rPr>
              <w:t>-0,5</w:t>
            </w:r>
          </w:p>
        </w:tc>
        <w:tc>
          <w:tcPr>
            <w:tcW w:w="845" w:type="dxa"/>
            <w:shd w:val="clear" w:color="auto" w:fill="D9D9D9" w:themeFill="background1" w:themeFillShade="D9"/>
            <w:vAlign w:val="center"/>
          </w:tcPr>
          <w:p w:rsidR="00BD7BA4" w:rsidRPr="003A2151" w:rsidRDefault="00BD7BA4" w:rsidP="00BD7BA4">
            <w:pPr>
              <w:widowControl/>
              <w:overflowPunct/>
              <w:autoSpaceDE/>
              <w:autoSpaceDN/>
              <w:adjustRightInd/>
              <w:spacing w:before="40" w:after="20"/>
              <w:ind w:left="-68" w:right="57"/>
              <w:jc w:val="right"/>
              <w:rPr>
                <w:rFonts w:ascii="Arial Narrow" w:hAnsi="Arial Narrow" w:cs="Arial"/>
                <w:sz w:val="18"/>
                <w:szCs w:val="18"/>
              </w:rPr>
            </w:pPr>
            <w:r w:rsidRPr="003A2151">
              <w:rPr>
                <w:rFonts w:ascii="Arial Narrow" w:hAnsi="Arial Narrow" w:cs="Arial"/>
                <w:sz w:val="18"/>
                <w:szCs w:val="18"/>
              </w:rPr>
              <w:t>-5,1</w:t>
            </w:r>
          </w:p>
        </w:tc>
        <w:tc>
          <w:tcPr>
            <w:tcW w:w="825" w:type="dxa"/>
            <w:vAlign w:val="center"/>
          </w:tcPr>
          <w:p w:rsidR="00BD7BA4" w:rsidRPr="003A2151" w:rsidRDefault="00BD7BA4" w:rsidP="00BD7BA4">
            <w:pPr>
              <w:spacing w:before="40" w:after="20"/>
              <w:ind w:left="-68" w:right="57"/>
              <w:jc w:val="right"/>
              <w:rPr>
                <w:rFonts w:ascii="Arial Narrow" w:hAnsi="Arial Narrow" w:cs="Arial"/>
                <w:sz w:val="18"/>
                <w:szCs w:val="18"/>
              </w:rPr>
            </w:pPr>
            <w:r w:rsidRPr="003A2151">
              <w:rPr>
                <w:rFonts w:ascii="Arial Narrow" w:hAnsi="Arial Narrow" w:cs="Arial"/>
                <w:sz w:val="18"/>
                <w:szCs w:val="18"/>
              </w:rPr>
              <w:t>+4,9</w:t>
            </w:r>
          </w:p>
        </w:tc>
        <w:tc>
          <w:tcPr>
            <w:tcW w:w="851" w:type="dxa"/>
            <w:shd w:val="clear" w:color="auto" w:fill="D9D9D9" w:themeFill="background1" w:themeFillShade="D9"/>
            <w:vAlign w:val="center"/>
          </w:tcPr>
          <w:p w:rsidR="00BD7BA4" w:rsidRPr="00BD7BA4" w:rsidRDefault="00BD7BA4" w:rsidP="00BD7BA4">
            <w:pPr>
              <w:spacing w:before="40" w:after="20"/>
              <w:ind w:left="-68" w:right="57"/>
              <w:jc w:val="right"/>
              <w:rPr>
                <w:rFonts w:ascii="Arial Narrow" w:hAnsi="Arial Narrow" w:cs="Arial"/>
                <w:sz w:val="18"/>
                <w:szCs w:val="18"/>
              </w:rPr>
            </w:pPr>
            <w:r w:rsidRPr="00BD7BA4">
              <w:rPr>
                <w:rFonts w:ascii="Arial Narrow" w:hAnsi="Arial Narrow" w:cs="Arial"/>
                <w:sz w:val="18"/>
                <w:szCs w:val="18"/>
              </w:rPr>
              <w:t>-3,4</w:t>
            </w:r>
          </w:p>
        </w:tc>
      </w:tr>
      <w:tr w:rsidR="00BD7BA4" w:rsidRPr="00C8504B" w:rsidTr="00186274">
        <w:trPr>
          <w:trHeight w:val="255"/>
        </w:trPr>
        <w:tc>
          <w:tcPr>
            <w:tcW w:w="4183" w:type="dxa"/>
            <w:vAlign w:val="center"/>
          </w:tcPr>
          <w:p w:rsidR="00BD7BA4" w:rsidRPr="00101BDE" w:rsidRDefault="00BD7BA4" w:rsidP="00BD7BA4">
            <w:pPr>
              <w:spacing w:before="40" w:after="20"/>
              <w:ind w:left="-68"/>
              <w:rPr>
                <w:rFonts w:ascii="Arial Narrow" w:hAnsi="Arial Narrow" w:cs="Arial"/>
                <w:sz w:val="18"/>
                <w:szCs w:val="18"/>
              </w:rPr>
            </w:pPr>
            <w:r w:rsidRPr="00101BDE">
              <w:rPr>
                <w:rFonts w:ascii="Arial Narrow" w:hAnsi="Arial Narrow" w:cs="Arial"/>
                <w:sz w:val="18"/>
                <w:szCs w:val="18"/>
              </w:rPr>
              <w:t>Beni industriali non energetici, di cui:</w:t>
            </w:r>
          </w:p>
        </w:tc>
        <w:tc>
          <w:tcPr>
            <w:tcW w:w="567" w:type="dxa"/>
            <w:shd w:val="clear" w:color="auto" w:fill="D9D9D9" w:themeFill="background1" w:themeFillShade="D9"/>
            <w:vAlign w:val="center"/>
          </w:tcPr>
          <w:p w:rsidR="00BD7BA4" w:rsidRPr="00A376E5" w:rsidRDefault="00BD7BA4" w:rsidP="00BD7BA4">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3,2</w:t>
            </w:r>
          </w:p>
        </w:tc>
        <w:tc>
          <w:tcPr>
            <w:tcW w:w="567"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+6,3</w:t>
            </w:r>
          </w:p>
        </w:tc>
        <w:tc>
          <w:tcPr>
            <w:tcW w:w="709"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+5,2</w:t>
            </w:r>
          </w:p>
        </w:tc>
        <w:tc>
          <w:tcPr>
            <w:tcW w:w="709"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+4,4</w:t>
            </w:r>
          </w:p>
        </w:tc>
        <w:tc>
          <w:tcPr>
            <w:tcW w:w="567"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+2,6</w:t>
            </w:r>
          </w:p>
        </w:tc>
        <w:tc>
          <w:tcPr>
            <w:tcW w:w="496" w:type="dxa"/>
            <w:shd w:val="clear" w:color="auto" w:fill="auto"/>
            <w:vAlign w:val="center"/>
          </w:tcPr>
          <w:p w:rsidR="00BD7BA4" w:rsidRPr="00DA121A" w:rsidRDefault="00BD7BA4" w:rsidP="00BD7BA4">
            <w:pPr>
              <w:spacing w:before="40" w:after="20"/>
              <w:ind w:left="-68" w:right="57"/>
              <w:jc w:val="right"/>
              <w:rPr>
                <w:rFonts w:ascii="Arial Narrow" w:hAnsi="Arial Narrow" w:cs="Arial"/>
                <w:sz w:val="18"/>
                <w:szCs w:val="18"/>
              </w:rPr>
            </w:pPr>
            <w:r w:rsidRPr="00DA121A">
              <w:rPr>
                <w:rFonts w:ascii="Arial Narrow" w:hAnsi="Arial Narrow" w:cs="Arial"/>
                <w:sz w:val="18"/>
                <w:szCs w:val="18"/>
              </w:rPr>
              <w:t>+4,7</w:t>
            </w:r>
          </w:p>
        </w:tc>
        <w:tc>
          <w:tcPr>
            <w:tcW w:w="845" w:type="dxa"/>
            <w:shd w:val="clear" w:color="auto" w:fill="D9D9D9" w:themeFill="background1" w:themeFillShade="D9"/>
            <w:vAlign w:val="center"/>
          </w:tcPr>
          <w:p w:rsidR="00BD7BA4" w:rsidRPr="003A2151" w:rsidRDefault="00BD7BA4" w:rsidP="00BD7BA4">
            <w:pPr>
              <w:widowControl/>
              <w:overflowPunct/>
              <w:autoSpaceDE/>
              <w:autoSpaceDN/>
              <w:adjustRightInd/>
              <w:spacing w:before="40" w:after="20"/>
              <w:ind w:left="-68" w:right="57"/>
              <w:jc w:val="right"/>
              <w:rPr>
                <w:rFonts w:ascii="Arial Narrow" w:hAnsi="Arial Narrow" w:cs="Arial"/>
                <w:sz w:val="18"/>
                <w:szCs w:val="18"/>
              </w:rPr>
            </w:pPr>
            <w:r w:rsidRPr="003A2151">
              <w:rPr>
                <w:rFonts w:ascii="Arial Narrow" w:hAnsi="Arial Narrow" w:cs="Arial"/>
                <w:sz w:val="18"/>
                <w:szCs w:val="18"/>
              </w:rPr>
              <w:t>+5,1</w:t>
            </w:r>
          </w:p>
        </w:tc>
        <w:tc>
          <w:tcPr>
            <w:tcW w:w="825" w:type="dxa"/>
            <w:vAlign w:val="center"/>
          </w:tcPr>
          <w:p w:rsidR="00BD7BA4" w:rsidRPr="003A2151" w:rsidRDefault="00BD7BA4" w:rsidP="00BD7BA4">
            <w:pPr>
              <w:spacing w:before="40" w:after="20"/>
              <w:ind w:left="-68" w:right="57"/>
              <w:jc w:val="right"/>
              <w:rPr>
                <w:rFonts w:ascii="Arial Narrow" w:hAnsi="Arial Narrow" w:cs="Arial"/>
                <w:sz w:val="18"/>
                <w:szCs w:val="18"/>
              </w:rPr>
            </w:pPr>
            <w:r w:rsidRPr="003A2151">
              <w:rPr>
                <w:rFonts w:ascii="Arial Narrow" w:hAnsi="Arial Narrow" w:cs="Arial"/>
                <w:sz w:val="18"/>
                <w:szCs w:val="18"/>
              </w:rPr>
              <w:t>-0,5</w:t>
            </w:r>
          </w:p>
        </w:tc>
        <w:tc>
          <w:tcPr>
            <w:tcW w:w="851" w:type="dxa"/>
            <w:shd w:val="clear" w:color="auto" w:fill="D9D9D9" w:themeFill="background1" w:themeFillShade="D9"/>
            <w:vAlign w:val="center"/>
          </w:tcPr>
          <w:p w:rsidR="00BD7BA4" w:rsidRPr="00BD7BA4" w:rsidRDefault="00BD7BA4" w:rsidP="00BD7BA4">
            <w:pPr>
              <w:spacing w:before="40" w:after="20"/>
              <w:ind w:left="-68" w:right="57"/>
              <w:jc w:val="right"/>
              <w:rPr>
                <w:rFonts w:ascii="Arial Narrow" w:hAnsi="Arial Narrow" w:cs="Arial"/>
                <w:sz w:val="18"/>
                <w:szCs w:val="18"/>
              </w:rPr>
            </w:pPr>
            <w:r w:rsidRPr="00BD7BA4">
              <w:rPr>
                <w:rFonts w:ascii="Arial Narrow" w:hAnsi="Arial Narrow" w:cs="Arial"/>
                <w:sz w:val="18"/>
                <w:szCs w:val="18"/>
              </w:rPr>
              <w:t>+2,6</w:t>
            </w:r>
          </w:p>
        </w:tc>
      </w:tr>
      <w:tr w:rsidR="00BD7BA4" w:rsidRPr="00C8504B" w:rsidTr="00186274">
        <w:trPr>
          <w:trHeight w:val="255"/>
        </w:trPr>
        <w:tc>
          <w:tcPr>
            <w:tcW w:w="4183" w:type="dxa"/>
            <w:vAlign w:val="center"/>
          </w:tcPr>
          <w:p w:rsidR="00BD7BA4" w:rsidRPr="00101BDE" w:rsidRDefault="00BD7BA4" w:rsidP="00BD7BA4">
            <w:pPr>
              <w:spacing w:before="40" w:after="20"/>
              <w:ind w:left="247"/>
              <w:rPr>
                <w:rFonts w:ascii="Arial Narrow" w:hAnsi="Arial Narrow" w:cs="Arial"/>
                <w:sz w:val="18"/>
                <w:szCs w:val="18"/>
              </w:rPr>
            </w:pPr>
            <w:r w:rsidRPr="00101BDE">
              <w:rPr>
                <w:rFonts w:ascii="Arial Narrow" w:hAnsi="Arial Narrow" w:cs="Arial"/>
                <w:sz w:val="18"/>
                <w:szCs w:val="18"/>
              </w:rPr>
              <w:t>Beni durevoli</w:t>
            </w:r>
          </w:p>
        </w:tc>
        <w:tc>
          <w:tcPr>
            <w:tcW w:w="567" w:type="dxa"/>
            <w:shd w:val="clear" w:color="auto" w:fill="D9D9D9" w:themeFill="background1" w:themeFillShade="D9"/>
            <w:vAlign w:val="center"/>
          </w:tcPr>
          <w:p w:rsidR="00BD7BA4" w:rsidRPr="00A376E5" w:rsidRDefault="00BD7BA4" w:rsidP="00BD7BA4">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3,5</w:t>
            </w:r>
          </w:p>
        </w:tc>
        <w:tc>
          <w:tcPr>
            <w:tcW w:w="567"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+6,7</w:t>
            </w:r>
          </w:p>
        </w:tc>
        <w:tc>
          <w:tcPr>
            <w:tcW w:w="709"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+6,1</w:t>
            </w:r>
          </w:p>
        </w:tc>
        <w:tc>
          <w:tcPr>
            <w:tcW w:w="709"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+4,8</w:t>
            </w:r>
          </w:p>
        </w:tc>
        <w:tc>
          <w:tcPr>
            <w:tcW w:w="567"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+2,4</w:t>
            </w:r>
          </w:p>
        </w:tc>
        <w:tc>
          <w:tcPr>
            <w:tcW w:w="496" w:type="dxa"/>
            <w:shd w:val="clear" w:color="auto" w:fill="auto"/>
            <w:vAlign w:val="center"/>
          </w:tcPr>
          <w:p w:rsidR="00BD7BA4" w:rsidRPr="00DA121A" w:rsidRDefault="00BD7BA4" w:rsidP="00BD7BA4">
            <w:pPr>
              <w:spacing w:before="40" w:after="20"/>
              <w:ind w:left="-68" w:right="57"/>
              <w:jc w:val="right"/>
              <w:rPr>
                <w:rFonts w:ascii="Arial Narrow" w:hAnsi="Arial Narrow" w:cs="Arial"/>
                <w:sz w:val="18"/>
                <w:szCs w:val="18"/>
              </w:rPr>
            </w:pPr>
            <w:r w:rsidRPr="00DA121A">
              <w:rPr>
                <w:rFonts w:ascii="Arial Narrow" w:hAnsi="Arial Narrow" w:cs="Arial"/>
                <w:sz w:val="18"/>
                <w:szCs w:val="18"/>
              </w:rPr>
              <w:t>+5,0</w:t>
            </w:r>
          </w:p>
        </w:tc>
        <w:tc>
          <w:tcPr>
            <w:tcW w:w="845" w:type="dxa"/>
            <w:shd w:val="clear" w:color="auto" w:fill="D9D9D9" w:themeFill="background1" w:themeFillShade="D9"/>
            <w:vAlign w:val="center"/>
          </w:tcPr>
          <w:p w:rsidR="00BD7BA4" w:rsidRPr="003A2151" w:rsidRDefault="00BD7BA4" w:rsidP="00BD7BA4">
            <w:pPr>
              <w:widowControl/>
              <w:overflowPunct/>
              <w:autoSpaceDE/>
              <w:autoSpaceDN/>
              <w:adjustRightInd/>
              <w:spacing w:before="40" w:after="20"/>
              <w:ind w:left="-68" w:right="57"/>
              <w:jc w:val="right"/>
              <w:rPr>
                <w:rFonts w:ascii="Arial Narrow" w:hAnsi="Arial Narrow" w:cs="Arial"/>
                <w:sz w:val="18"/>
                <w:szCs w:val="18"/>
              </w:rPr>
            </w:pPr>
            <w:r w:rsidRPr="003A2151">
              <w:rPr>
                <w:rFonts w:ascii="Arial Narrow" w:hAnsi="Arial Narrow" w:cs="Arial"/>
                <w:sz w:val="18"/>
                <w:szCs w:val="18"/>
              </w:rPr>
              <w:t>+3,3</w:t>
            </w:r>
          </w:p>
        </w:tc>
        <w:tc>
          <w:tcPr>
            <w:tcW w:w="825" w:type="dxa"/>
            <w:vAlign w:val="center"/>
          </w:tcPr>
          <w:p w:rsidR="00BD7BA4" w:rsidRPr="003A2151" w:rsidRDefault="00BD7BA4" w:rsidP="00BD7BA4">
            <w:pPr>
              <w:spacing w:before="40" w:after="20"/>
              <w:ind w:left="-68" w:right="57"/>
              <w:jc w:val="right"/>
              <w:rPr>
                <w:rFonts w:ascii="Arial Narrow" w:hAnsi="Arial Narrow" w:cs="Arial"/>
                <w:sz w:val="18"/>
                <w:szCs w:val="18"/>
              </w:rPr>
            </w:pPr>
            <w:r w:rsidRPr="003A2151">
              <w:rPr>
                <w:rFonts w:ascii="Arial Narrow" w:hAnsi="Arial Narrow" w:cs="Arial"/>
                <w:sz w:val="18"/>
                <w:szCs w:val="18"/>
              </w:rPr>
              <w:t>+1,6</w:t>
            </w:r>
          </w:p>
        </w:tc>
        <w:tc>
          <w:tcPr>
            <w:tcW w:w="851" w:type="dxa"/>
            <w:shd w:val="clear" w:color="auto" w:fill="D9D9D9" w:themeFill="background1" w:themeFillShade="D9"/>
            <w:vAlign w:val="center"/>
          </w:tcPr>
          <w:p w:rsidR="00BD7BA4" w:rsidRPr="00BD7BA4" w:rsidRDefault="00BD7BA4" w:rsidP="00BD7BA4">
            <w:pPr>
              <w:spacing w:before="40" w:after="20"/>
              <w:ind w:left="-68" w:right="57"/>
              <w:jc w:val="right"/>
              <w:rPr>
                <w:rFonts w:ascii="Arial Narrow" w:hAnsi="Arial Narrow" w:cs="Arial"/>
                <w:sz w:val="18"/>
                <w:szCs w:val="18"/>
              </w:rPr>
            </w:pPr>
            <w:r w:rsidRPr="00BD7BA4">
              <w:rPr>
                <w:rFonts w:ascii="Arial Narrow" w:hAnsi="Arial Narrow" w:cs="Arial"/>
                <w:sz w:val="18"/>
                <w:szCs w:val="18"/>
              </w:rPr>
              <w:t>-0,1</w:t>
            </w:r>
          </w:p>
        </w:tc>
      </w:tr>
      <w:tr w:rsidR="00BD7BA4" w:rsidRPr="00C8504B" w:rsidTr="00186274">
        <w:trPr>
          <w:trHeight w:val="255"/>
        </w:trPr>
        <w:tc>
          <w:tcPr>
            <w:tcW w:w="4183" w:type="dxa"/>
            <w:vAlign w:val="center"/>
          </w:tcPr>
          <w:p w:rsidR="00BD7BA4" w:rsidRPr="00101BDE" w:rsidRDefault="00BD7BA4" w:rsidP="00BD7BA4">
            <w:pPr>
              <w:spacing w:before="40" w:after="20"/>
              <w:ind w:left="247"/>
              <w:rPr>
                <w:rFonts w:ascii="Arial Narrow" w:hAnsi="Arial Narrow" w:cs="Arial"/>
                <w:sz w:val="18"/>
                <w:szCs w:val="18"/>
              </w:rPr>
            </w:pPr>
            <w:r w:rsidRPr="00101BDE">
              <w:rPr>
                <w:rFonts w:ascii="Arial Narrow" w:hAnsi="Arial Narrow" w:cs="Arial"/>
                <w:sz w:val="18"/>
                <w:szCs w:val="18"/>
              </w:rPr>
              <w:t>Beni non durevoli</w:t>
            </w:r>
          </w:p>
        </w:tc>
        <w:tc>
          <w:tcPr>
            <w:tcW w:w="567" w:type="dxa"/>
            <w:shd w:val="clear" w:color="auto" w:fill="D9D9D9" w:themeFill="background1" w:themeFillShade="D9"/>
            <w:vAlign w:val="center"/>
          </w:tcPr>
          <w:p w:rsidR="00BD7BA4" w:rsidRPr="00A376E5" w:rsidRDefault="00BD7BA4" w:rsidP="00BD7BA4">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4,2</w:t>
            </w:r>
          </w:p>
        </w:tc>
        <w:tc>
          <w:tcPr>
            <w:tcW w:w="567"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+8,5</w:t>
            </w:r>
          </w:p>
        </w:tc>
        <w:tc>
          <w:tcPr>
            <w:tcW w:w="709"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+7,8</w:t>
            </w:r>
          </w:p>
        </w:tc>
        <w:tc>
          <w:tcPr>
            <w:tcW w:w="709"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+6,3</w:t>
            </w:r>
          </w:p>
        </w:tc>
        <w:tc>
          <w:tcPr>
            <w:tcW w:w="567"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+4,0</w:t>
            </w:r>
          </w:p>
        </w:tc>
        <w:tc>
          <w:tcPr>
            <w:tcW w:w="496" w:type="dxa"/>
            <w:shd w:val="clear" w:color="auto" w:fill="auto"/>
            <w:vAlign w:val="center"/>
          </w:tcPr>
          <w:p w:rsidR="00BD7BA4" w:rsidRPr="00DA121A" w:rsidRDefault="00BD7BA4" w:rsidP="00BD7BA4">
            <w:pPr>
              <w:spacing w:before="40" w:after="20"/>
              <w:ind w:left="-68" w:right="57"/>
              <w:jc w:val="right"/>
              <w:rPr>
                <w:rFonts w:ascii="Arial Narrow" w:hAnsi="Arial Narrow" w:cs="Arial"/>
                <w:sz w:val="18"/>
                <w:szCs w:val="18"/>
              </w:rPr>
            </w:pPr>
            <w:r w:rsidRPr="00DA121A">
              <w:rPr>
                <w:rFonts w:ascii="Arial Narrow" w:hAnsi="Arial Narrow" w:cs="Arial"/>
                <w:sz w:val="18"/>
                <w:szCs w:val="18"/>
              </w:rPr>
              <w:t>+6,6</w:t>
            </w:r>
          </w:p>
        </w:tc>
        <w:tc>
          <w:tcPr>
            <w:tcW w:w="845" w:type="dxa"/>
            <w:shd w:val="clear" w:color="auto" w:fill="D9D9D9" w:themeFill="background1" w:themeFillShade="D9"/>
            <w:vAlign w:val="center"/>
          </w:tcPr>
          <w:p w:rsidR="00BD7BA4" w:rsidRPr="003A2151" w:rsidRDefault="00BD7BA4" w:rsidP="00BD7BA4">
            <w:pPr>
              <w:widowControl/>
              <w:overflowPunct/>
              <w:autoSpaceDE/>
              <w:autoSpaceDN/>
              <w:adjustRightInd/>
              <w:spacing w:before="40" w:after="20"/>
              <w:ind w:left="-68" w:right="57"/>
              <w:jc w:val="right"/>
              <w:rPr>
                <w:rFonts w:ascii="Arial Narrow" w:hAnsi="Arial Narrow" w:cs="Arial"/>
                <w:sz w:val="18"/>
                <w:szCs w:val="18"/>
              </w:rPr>
            </w:pPr>
            <w:r w:rsidRPr="003A2151">
              <w:rPr>
                <w:rFonts w:ascii="Arial Narrow" w:hAnsi="Arial Narrow" w:cs="Arial"/>
                <w:sz w:val="18"/>
                <w:szCs w:val="18"/>
              </w:rPr>
              <w:t>+4,1</w:t>
            </w:r>
          </w:p>
        </w:tc>
        <w:tc>
          <w:tcPr>
            <w:tcW w:w="825" w:type="dxa"/>
            <w:vAlign w:val="center"/>
          </w:tcPr>
          <w:p w:rsidR="00BD7BA4" w:rsidRPr="003A2151" w:rsidRDefault="00BD7BA4" w:rsidP="00BD7BA4">
            <w:pPr>
              <w:spacing w:before="40" w:after="20"/>
              <w:ind w:left="-68" w:right="57"/>
              <w:jc w:val="right"/>
              <w:rPr>
                <w:rFonts w:ascii="Arial Narrow" w:hAnsi="Arial Narrow" w:cs="Arial"/>
                <w:sz w:val="18"/>
                <w:szCs w:val="18"/>
              </w:rPr>
            </w:pPr>
            <w:r w:rsidRPr="003A2151">
              <w:rPr>
                <w:rFonts w:ascii="Arial Narrow" w:hAnsi="Arial Narrow" w:cs="Arial"/>
                <w:sz w:val="18"/>
                <w:szCs w:val="18"/>
              </w:rPr>
              <w:t>+2,5</w:t>
            </w:r>
          </w:p>
        </w:tc>
        <w:tc>
          <w:tcPr>
            <w:tcW w:w="851" w:type="dxa"/>
            <w:shd w:val="clear" w:color="auto" w:fill="D9D9D9" w:themeFill="background1" w:themeFillShade="D9"/>
            <w:vAlign w:val="center"/>
          </w:tcPr>
          <w:p w:rsidR="00BD7BA4" w:rsidRPr="00BD7BA4" w:rsidRDefault="00BD7BA4" w:rsidP="00BD7BA4">
            <w:pPr>
              <w:spacing w:before="40" w:after="20"/>
              <w:ind w:left="-68" w:right="57"/>
              <w:jc w:val="right"/>
              <w:rPr>
                <w:rFonts w:ascii="Arial Narrow" w:hAnsi="Arial Narrow" w:cs="Arial"/>
                <w:sz w:val="18"/>
                <w:szCs w:val="18"/>
              </w:rPr>
            </w:pPr>
            <w:r w:rsidRPr="00BD7BA4">
              <w:rPr>
                <w:rFonts w:ascii="Arial Narrow" w:hAnsi="Arial Narrow" w:cs="Arial"/>
                <w:sz w:val="18"/>
                <w:szCs w:val="18"/>
              </w:rPr>
              <w:t>+0,9</w:t>
            </w:r>
          </w:p>
        </w:tc>
      </w:tr>
      <w:tr w:rsidR="00BD7BA4" w:rsidRPr="00C8504B" w:rsidTr="00186274">
        <w:trPr>
          <w:trHeight w:val="255"/>
        </w:trPr>
        <w:tc>
          <w:tcPr>
            <w:tcW w:w="4183" w:type="dxa"/>
            <w:vAlign w:val="center"/>
          </w:tcPr>
          <w:p w:rsidR="00BD7BA4" w:rsidRPr="00101BDE" w:rsidRDefault="00BD7BA4" w:rsidP="00BD7BA4">
            <w:pPr>
              <w:spacing w:before="40" w:after="20"/>
              <w:ind w:left="247"/>
              <w:rPr>
                <w:rFonts w:ascii="Arial Narrow" w:hAnsi="Arial Narrow" w:cs="Arial"/>
                <w:sz w:val="18"/>
                <w:szCs w:val="18"/>
              </w:rPr>
            </w:pPr>
            <w:r w:rsidRPr="00101BDE">
              <w:rPr>
                <w:rFonts w:ascii="Arial Narrow" w:hAnsi="Arial Narrow" w:cs="Arial"/>
                <w:sz w:val="18"/>
                <w:szCs w:val="18"/>
              </w:rPr>
              <w:t>Beni semidurevoli</w:t>
            </w:r>
          </w:p>
        </w:tc>
        <w:tc>
          <w:tcPr>
            <w:tcW w:w="567" w:type="dxa"/>
            <w:shd w:val="clear" w:color="auto" w:fill="D9D9D9" w:themeFill="background1" w:themeFillShade="D9"/>
            <w:vAlign w:val="center"/>
          </w:tcPr>
          <w:p w:rsidR="00BD7BA4" w:rsidRPr="00A376E5" w:rsidRDefault="00BD7BA4" w:rsidP="00BD7BA4">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1,9</w:t>
            </w:r>
          </w:p>
        </w:tc>
        <w:tc>
          <w:tcPr>
            <w:tcW w:w="567"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+5,3</w:t>
            </w:r>
          </w:p>
        </w:tc>
        <w:tc>
          <w:tcPr>
            <w:tcW w:w="709"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+3,1</w:t>
            </w:r>
          </w:p>
        </w:tc>
        <w:tc>
          <w:tcPr>
            <w:tcW w:w="709"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+3,4</w:t>
            </w:r>
          </w:p>
        </w:tc>
        <w:tc>
          <w:tcPr>
            <w:tcW w:w="567"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+2,0</w:t>
            </w:r>
          </w:p>
        </w:tc>
        <w:tc>
          <w:tcPr>
            <w:tcW w:w="496" w:type="dxa"/>
            <w:shd w:val="clear" w:color="auto" w:fill="auto"/>
            <w:vAlign w:val="center"/>
          </w:tcPr>
          <w:p w:rsidR="00BD7BA4" w:rsidRPr="00DA121A" w:rsidRDefault="00BD7BA4" w:rsidP="00BD7BA4">
            <w:pPr>
              <w:spacing w:before="40" w:after="20"/>
              <w:ind w:left="-68" w:right="57"/>
              <w:jc w:val="right"/>
              <w:rPr>
                <w:rFonts w:ascii="Arial Narrow" w:hAnsi="Arial Narrow" w:cs="Arial"/>
                <w:sz w:val="18"/>
                <w:szCs w:val="18"/>
              </w:rPr>
            </w:pPr>
            <w:r w:rsidRPr="00DA121A">
              <w:rPr>
                <w:rFonts w:ascii="Arial Narrow" w:hAnsi="Arial Narrow" w:cs="Arial"/>
                <w:sz w:val="18"/>
                <w:szCs w:val="18"/>
              </w:rPr>
              <w:t>+3,4</w:t>
            </w:r>
          </w:p>
        </w:tc>
        <w:tc>
          <w:tcPr>
            <w:tcW w:w="845" w:type="dxa"/>
            <w:shd w:val="clear" w:color="auto" w:fill="D9D9D9" w:themeFill="background1" w:themeFillShade="D9"/>
            <w:vAlign w:val="center"/>
          </w:tcPr>
          <w:p w:rsidR="00BD7BA4" w:rsidRPr="003A2151" w:rsidRDefault="00BD7BA4" w:rsidP="00BD7BA4">
            <w:pPr>
              <w:widowControl/>
              <w:overflowPunct/>
              <w:autoSpaceDE/>
              <w:autoSpaceDN/>
              <w:adjustRightInd/>
              <w:spacing w:before="40" w:after="20"/>
              <w:ind w:left="-68" w:right="57"/>
              <w:jc w:val="right"/>
              <w:rPr>
                <w:rFonts w:ascii="Arial Narrow" w:hAnsi="Arial Narrow" w:cs="Arial"/>
                <w:sz w:val="18"/>
                <w:szCs w:val="18"/>
              </w:rPr>
            </w:pPr>
            <w:r w:rsidRPr="003A2151">
              <w:rPr>
                <w:rFonts w:ascii="Arial Narrow" w:hAnsi="Arial Narrow" w:cs="Arial"/>
                <w:sz w:val="18"/>
                <w:szCs w:val="18"/>
              </w:rPr>
              <w:t>+7,6</w:t>
            </w:r>
          </w:p>
        </w:tc>
        <w:tc>
          <w:tcPr>
            <w:tcW w:w="825" w:type="dxa"/>
            <w:vAlign w:val="center"/>
          </w:tcPr>
          <w:p w:rsidR="00BD7BA4" w:rsidRPr="003A2151" w:rsidRDefault="00BD7BA4" w:rsidP="00BD7BA4">
            <w:pPr>
              <w:spacing w:before="40" w:after="20"/>
              <w:ind w:left="-68" w:right="57"/>
              <w:jc w:val="right"/>
              <w:rPr>
                <w:rFonts w:ascii="Arial Narrow" w:hAnsi="Arial Narrow" w:cs="Arial"/>
                <w:sz w:val="18"/>
                <w:szCs w:val="18"/>
              </w:rPr>
            </w:pPr>
            <w:r w:rsidRPr="003A2151">
              <w:rPr>
                <w:rFonts w:ascii="Arial Narrow" w:hAnsi="Arial Narrow" w:cs="Arial"/>
                <w:sz w:val="18"/>
                <w:szCs w:val="18"/>
              </w:rPr>
              <w:t>-4,0</w:t>
            </w:r>
          </w:p>
        </w:tc>
        <w:tc>
          <w:tcPr>
            <w:tcW w:w="851" w:type="dxa"/>
            <w:shd w:val="clear" w:color="auto" w:fill="D9D9D9" w:themeFill="background1" w:themeFillShade="D9"/>
            <w:vAlign w:val="center"/>
          </w:tcPr>
          <w:p w:rsidR="00BD7BA4" w:rsidRPr="00BD7BA4" w:rsidRDefault="00BD7BA4" w:rsidP="00BD7BA4">
            <w:pPr>
              <w:spacing w:before="40" w:after="20"/>
              <w:ind w:left="-68" w:right="57"/>
              <w:jc w:val="right"/>
              <w:rPr>
                <w:rFonts w:ascii="Arial Narrow" w:hAnsi="Arial Narrow" w:cs="Arial"/>
                <w:sz w:val="18"/>
                <w:szCs w:val="18"/>
              </w:rPr>
            </w:pPr>
            <w:r w:rsidRPr="00BD7BA4">
              <w:rPr>
                <w:rFonts w:ascii="Arial Narrow" w:hAnsi="Arial Narrow" w:cs="Arial"/>
                <w:sz w:val="18"/>
                <w:szCs w:val="18"/>
              </w:rPr>
              <w:t>+6,3</w:t>
            </w:r>
          </w:p>
        </w:tc>
      </w:tr>
      <w:tr w:rsidR="00BD7BA4" w:rsidRPr="00101BDE" w:rsidTr="00186274">
        <w:trPr>
          <w:trHeight w:val="255"/>
        </w:trPr>
        <w:tc>
          <w:tcPr>
            <w:tcW w:w="4183" w:type="dxa"/>
            <w:shd w:val="clear" w:color="auto" w:fill="A6A6A6" w:themeFill="background1" w:themeFillShade="A6"/>
            <w:vAlign w:val="center"/>
          </w:tcPr>
          <w:p w:rsidR="00BD7BA4" w:rsidRPr="00101BDE" w:rsidRDefault="00BD7BA4" w:rsidP="00BD7BA4">
            <w:pPr>
              <w:spacing w:before="40" w:after="20"/>
              <w:rPr>
                <w:rFonts w:ascii="Arial Narrow" w:hAnsi="Arial Narrow" w:cs="Arial"/>
                <w:bCs/>
                <w:color w:val="FFFFFF" w:themeColor="background1"/>
                <w:sz w:val="18"/>
                <w:szCs w:val="18"/>
              </w:rPr>
            </w:pPr>
            <w:r w:rsidRPr="00101BDE">
              <w:rPr>
                <w:rFonts w:ascii="Arial Narrow" w:hAnsi="Arial Narrow" w:cs="Arial"/>
                <w:color w:val="FFFFFF" w:themeColor="background1"/>
                <w:sz w:val="18"/>
                <w:szCs w:val="18"/>
              </w:rPr>
              <w:t>Beni</w:t>
            </w:r>
          </w:p>
        </w:tc>
        <w:tc>
          <w:tcPr>
            <w:tcW w:w="567" w:type="dxa"/>
            <w:shd w:val="clear" w:color="auto" w:fill="A6A6A6" w:themeFill="background1" w:themeFillShade="A6"/>
            <w:vAlign w:val="center"/>
          </w:tcPr>
          <w:p w:rsidR="00BD7BA4" w:rsidRPr="00F052FA" w:rsidRDefault="00BD7BA4" w:rsidP="00BD7BA4">
            <w:pPr>
              <w:widowControl/>
              <w:overflowPunct/>
              <w:autoSpaceDE/>
              <w:autoSpaceDN/>
              <w:adjustRightInd/>
              <w:spacing w:before="40" w:after="20"/>
              <w:ind w:left="-68" w:right="57"/>
              <w:jc w:val="right"/>
              <w:rPr>
                <w:rFonts w:ascii="Arial Narrow" w:hAnsi="Arial Narrow" w:cs="Arial"/>
                <w:b/>
                <w:color w:val="FFFFFF" w:themeColor="background1"/>
                <w:sz w:val="18"/>
                <w:szCs w:val="18"/>
              </w:rPr>
            </w:pPr>
            <w:r w:rsidRPr="00F052FA">
              <w:rPr>
                <w:rFonts w:ascii="Arial Narrow" w:hAnsi="Arial Narrow" w:cs="Arial"/>
                <w:b/>
                <w:color w:val="FFFFFF" w:themeColor="background1"/>
                <w:sz w:val="18"/>
                <w:szCs w:val="18"/>
              </w:rPr>
              <w:t>+12,1</w:t>
            </w:r>
          </w:p>
        </w:tc>
        <w:tc>
          <w:tcPr>
            <w:tcW w:w="567" w:type="dxa"/>
            <w:shd w:val="clear" w:color="auto" w:fill="A6A6A6" w:themeFill="background1" w:themeFillShade="A6"/>
            <w:vAlign w:val="center"/>
          </w:tcPr>
          <w:p w:rsidR="00BD7BA4" w:rsidRPr="008D41BC" w:rsidRDefault="00BD7BA4" w:rsidP="00BD7BA4">
            <w:pPr>
              <w:spacing w:before="40" w:after="20"/>
              <w:ind w:left="-68" w:right="57"/>
              <w:jc w:val="right"/>
              <w:rPr>
                <w:rFonts w:ascii="Arial Narrow" w:hAnsi="Arial Narrow" w:cs="Arial"/>
                <w:b/>
                <w:color w:val="FFFFFF" w:themeColor="background1"/>
                <w:sz w:val="18"/>
                <w:szCs w:val="18"/>
              </w:rPr>
            </w:pPr>
            <w:r w:rsidRPr="008D41BC">
              <w:rPr>
                <w:rFonts w:ascii="Arial Narrow" w:hAnsi="Arial Narrow" w:cs="Arial"/>
                <w:b/>
                <w:color w:val="FFFFFF" w:themeColor="background1"/>
                <w:sz w:val="18"/>
                <w:szCs w:val="18"/>
              </w:rPr>
              <w:t>+12,4</w:t>
            </w:r>
          </w:p>
        </w:tc>
        <w:tc>
          <w:tcPr>
            <w:tcW w:w="709" w:type="dxa"/>
            <w:shd w:val="clear" w:color="auto" w:fill="A6A6A6" w:themeFill="background1" w:themeFillShade="A6"/>
            <w:vAlign w:val="center"/>
          </w:tcPr>
          <w:p w:rsidR="00BD7BA4" w:rsidRPr="008D41BC" w:rsidRDefault="00BD7BA4" w:rsidP="00BD7BA4">
            <w:pPr>
              <w:spacing w:before="40" w:after="20"/>
              <w:ind w:left="-68" w:right="57"/>
              <w:jc w:val="right"/>
              <w:rPr>
                <w:rFonts w:ascii="Arial Narrow" w:hAnsi="Arial Narrow" w:cs="Arial"/>
                <w:b/>
                <w:color w:val="FFFFFF" w:themeColor="background1"/>
                <w:sz w:val="18"/>
                <w:szCs w:val="18"/>
              </w:rPr>
            </w:pPr>
            <w:r w:rsidRPr="008D41BC">
              <w:rPr>
                <w:rFonts w:ascii="Arial Narrow" w:hAnsi="Arial Narrow" w:cs="Arial"/>
                <w:b/>
                <w:color w:val="FFFFFF" w:themeColor="background1"/>
                <w:sz w:val="18"/>
                <w:szCs w:val="18"/>
              </w:rPr>
              <w:t>+9,2</w:t>
            </w:r>
          </w:p>
        </w:tc>
        <w:tc>
          <w:tcPr>
            <w:tcW w:w="709" w:type="dxa"/>
            <w:shd w:val="clear" w:color="auto" w:fill="A6A6A6" w:themeFill="background1" w:themeFillShade="A6"/>
            <w:vAlign w:val="center"/>
          </w:tcPr>
          <w:p w:rsidR="00BD7BA4" w:rsidRPr="008D41BC" w:rsidRDefault="00BD7BA4" w:rsidP="00BD7BA4">
            <w:pPr>
              <w:spacing w:before="40" w:after="20"/>
              <w:ind w:left="-68" w:right="57"/>
              <w:jc w:val="right"/>
              <w:rPr>
                <w:rFonts w:ascii="Arial Narrow" w:hAnsi="Arial Narrow" w:cs="Arial"/>
                <w:b/>
                <w:color w:val="FFFFFF" w:themeColor="background1"/>
                <w:sz w:val="18"/>
                <w:szCs w:val="18"/>
              </w:rPr>
            </w:pPr>
            <w:r w:rsidRPr="008D41BC">
              <w:rPr>
                <w:rFonts w:ascii="Arial Narrow" w:hAnsi="Arial Narrow" w:cs="Arial"/>
                <w:b/>
                <w:color w:val="FFFFFF" w:themeColor="background1"/>
                <w:sz w:val="18"/>
                <w:szCs w:val="18"/>
              </w:rPr>
              <w:t>+6,4</w:t>
            </w:r>
          </w:p>
        </w:tc>
        <w:tc>
          <w:tcPr>
            <w:tcW w:w="567" w:type="dxa"/>
            <w:shd w:val="clear" w:color="auto" w:fill="A6A6A6" w:themeFill="background1" w:themeFillShade="A6"/>
            <w:vAlign w:val="center"/>
          </w:tcPr>
          <w:p w:rsidR="00BD7BA4" w:rsidRPr="008D41BC" w:rsidRDefault="00BD7BA4" w:rsidP="00BD7BA4">
            <w:pPr>
              <w:spacing w:before="40" w:after="20"/>
              <w:ind w:left="-68" w:right="57"/>
              <w:jc w:val="right"/>
              <w:rPr>
                <w:rFonts w:ascii="Arial Narrow" w:hAnsi="Arial Narrow" w:cs="Arial"/>
                <w:b/>
                <w:color w:val="FFFFFF" w:themeColor="background1"/>
                <w:sz w:val="18"/>
                <w:szCs w:val="18"/>
              </w:rPr>
            </w:pPr>
            <w:r w:rsidRPr="008D41BC">
              <w:rPr>
                <w:rFonts w:ascii="Arial Narrow" w:hAnsi="Arial Narrow" w:cs="Arial"/>
                <w:b/>
                <w:color w:val="FFFFFF" w:themeColor="background1"/>
                <w:sz w:val="18"/>
                <w:szCs w:val="18"/>
              </w:rPr>
              <w:t>-0,9</w:t>
            </w:r>
          </w:p>
        </w:tc>
        <w:tc>
          <w:tcPr>
            <w:tcW w:w="496" w:type="dxa"/>
            <w:shd w:val="clear" w:color="auto" w:fill="A6A6A6" w:themeFill="background1" w:themeFillShade="A6"/>
            <w:vAlign w:val="center"/>
          </w:tcPr>
          <w:p w:rsidR="00BD7BA4" w:rsidRPr="00DA121A" w:rsidRDefault="00BD7BA4" w:rsidP="00BD7BA4">
            <w:pPr>
              <w:spacing w:before="40" w:after="20"/>
              <w:ind w:left="-68" w:right="57"/>
              <w:jc w:val="right"/>
              <w:rPr>
                <w:rFonts w:ascii="Arial Narrow" w:hAnsi="Arial Narrow" w:cs="Arial"/>
                <w:b/>
                <w:color w:val="FFFFFF" w:themeColor="background1"/>
                <w:sz w:val="18"/>
                <w:szCs w:val="18"/>
              </w:rPr>
            </w:pPr>
            <w:r w:rsidRPr="00DA121A">
              <w:rPr>
                <w:rFonts w:ascii="Arial Narrow" w:hAnsi="Arial Narrow" w:cs="Arial"/>
                <w:b/>
                <w:color w:val="FFFFFF" w:themeColor="background1"/>
                <w:sz w:val="18"/>
                <w:szCs w:val="18"/>
              </w:rPr>
              <w:t>+6,5</w:t>
            </w:r>
          </w:p>
        </w:tc>
        <w:tc>
          <w:tcPr>
            <w:tcW w:w="845" w:type="dxa"/>
            <w:shd w:val="clear" w:color="auto" w:fill="A6A6A6" w:themeFill="background1" w:themeFillShade="A6"/>
            <w:vAlign w:val="center"/>
          </w:tcPr>
          <w:p w:rsidR="00BD7BA4" w:rsidRPr="003A2151" w:rsidRDefault="00BD7BA4" w:rsidP="00BD7BA4">
            <w:pPr>
              <w:widowControl/>
              <w:overflowPunct/>
              <w:autoSpaceDE/>
              <w:autoSpaceDN/>
              <w:adjustRightInd/>
              <w:spacing w:before="40" w:after="20"/>
              <w:ind w:left="-68" w:right="57"/>
              <w:jc w:val="right"/>
              <w:rPr>
                <w:rFonts w:ascii="Arial Narrow" w:hAnsi="Arial Narrow" w:cs="Arial"/>
                <w:b/>
                <w:color w:val="FFFFFF" w:themeColor="background1"/>
                <w:sz w:val="18"/>
                <w:szCs w:val="18"/>
              </w:rPr>
            </w:pPr>
            <w:r w:rsidRPr="003A2151">
              <w:rPr>
                <w:rFonts w:ascii="Arial Narrow" w:hAnsi="Arial Narrow" w:cs="Arial"/>
                <w:b/>
                <w:color w:val="FFFFFF" w:themeColor="background1"/>
                <w:sz w:val="18"/>
                <w:szCs w:val="18"/>
              </w:rPr>
              <w:t>+8,6</w:t>
            </w:r>
          </w:p>
        </w:tc>
        <w:tc>
          <w:tcPr>
            <w:tcW w:w="825" w:type="dxa"/>
            <w:shd w:val="clear" w:color="auto" w:fill="A6A6A6" w:themeFill="background1" w:themeFillShade="A6"/>
            <w:vAlign w:val="center"/>
          </w:tcPr>
          <w:p w:rsidR="00BD7BA4" w:rsidRPr="003A2151" w:rsidRDefault="00BD7BA4" w:rsidP="00BD7BA4">
            <w:pPr>
              <w:spacing w:before="40" w:after="20"/>
              <w:ind w:left="-68" w:right="57"/>
              <w:jc w:val="right"/>
              <w:rPr>
                <w:rFonts w:ascii="Arial Narrow" w:hAnsi="Arial Narrow" w:cs="Arial"/>
                <w:b/>
                <w:color w:val="FFFFFF" w:themeColor="background1"/>
                <w:sz w:val="18"/>
                <w:szCs w:val="18"/>
              </w:rPr>
            </w:pPr>
            <w:r w:rsidRPr="003A2151">
              <w:rPr>
                <w:rFonts w:ascii="Arial Narrow" w:hAnsi="Arial Narrow" w:cs="Arial"/>
                <w:b/>
                <w:color w:val="FFFFFF" w:themeColor="background1"/>
                <w:sz w:val="18"/>
                <w:szCs w:val="18"/>
              </w:rPr>
              <w:t>-1,9</w:t>
            </w:r>
          </w:p>
        </w:tc>
        <w:tc>
          <w:tcPr>
            <w:tcW w:w="851" w:type="dxa"/>
            <w:shd w:val="clear" w:color="auto" w:fill="A6A6A6" w:themeFill="background1" w:themeFillShade="A6"/>
            <w:vAlign w:val="center"/>
          </w:tcPr>
          <w:p w:rsidR="00BD7BA4" w:rsidRPr="00BD7BA4" w:rsidRDefault="00BD7BA4" w:rsidP="00BD7BA4">
            <w:pPr>
              <w:spacing w:before="40" w:after="20"/>
              <w:ind w:left="-68" w:right="57"/>
              <w:jc w:val="right"/>
              <w:rPr>
                <w:rFonts w:ascii="Arial Narrow" w:hAnsi="Arial Narrow" w:cs="Arial"/>
                <w:b/>
                <w:color w:val="FFFFFF" w:themeColor="background1"/>
                <w:sz w:val="18"/>
                <w:szCs w:val="18"/>
              </w:rPr>
            </w:pPr>
            <w:r w:rsidRPr="00BD7BA4">
              <w:rPr>
                <w:rFonts w:ascii="Arial Narrow" w:hAnsi="Arial Narrow" w:cs="Arial"/>
                <w:b/>
                <w:color w:val="FFFFFF" w:themeColor="background1"/>
                <w:sz w:val="18"/>
                <w:szCs w:val="18"/>
              </w:rPr>
              <w:t>+0,6</w:t>
            </w:r>
          </w:p>
        </w:tc>
      </w:tr>
      <w:tr w:rsidR="00BD7BA4" w:rsidRPr="00101BDE" w:rsidTr="00186274">
        <w:trPr>
          <w:trHeight w:val="255"/>
        </w:trPr>
        <w:tc>
          <w:tcPr>
            <w:tcW w:w="4183" w:type="dxa"/>
            <w:shd w:val="clear" w:color="auto" w:fill="auto"/>
            <w:vAlign w:val="center"/>
          </w:tcPr>
          <w:p w:rsidR="00BD7BA4" w:rsidRPr="00101BDE" w:rsidRDefault="00BD7BA4" w:rsidP="00BD7BA4">
            <w:pPr>
              <w:spacing w:before="40" w:after="20"/>
              <w:ind w:left="-68"/>
              <w:rPr>
                <w:rFonts w:ascii="Arial Narrow" w:hAnsi="Arial Narrow" w:cs="Arial"/>
                <w:bCs/>
                <w:sz w:val="18"/>
                <w:szCs w:val="18"/>
              </w:rPr>
            </w:pPr>
            <w:r w:rsidRPr="00101BDE">
              <w:rPr>
                <w:rFonts w:ascii="Arial Narrow" w:hAnsi="Arial Narrow" w:cs="Arial"/>
                <w:bCs/>
                <w:sz w:val="18"/>
                <w:szCs w:val="18"/>
              </w:rPr>
              <w:t>Servizi relativi all'abitazione</w:t>
            </w:r>
          </w:p>
        </w:tc>
        <w:tc>
          <w:tcPr>
            <w:tcW w:w="567" w:type="dxa"/>
            <w:shd w:val="clear" w:color="auto" w:fill="D9D9D9" w:themeFill="background1" w:themeFillShade="D9"/>
            <w:vAlign w:val="center"/>
          </w:tcPr>
          <w:p w:rsidR="00BD7BA4" w:rsidRPr="00A376E5" w:rsidRDefault="00BD7BA4" w:rsidP="00BD7BA4">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1,4</w:t>
            </w:r>
          </w:p>
        </w:tc>
        <w:tc>
          <w:tcPr>
            <w:tcW w:w="567" w:type="dxa"/>
            <w:shd w:val="clear" w:color="auto" w:fill="auto"/>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+2,8</w:t>
            </w:r>
          </w:p>
        </w:tc>
        <w:tc>
          <w:tcPr>
            <w:tcW w:w="709"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+3,0</w:t>
            </w:r>
          </w:p>
        </w:tc>
        <w:tc>
          <w:tcPr>
            <w:tcW w:w="709" w:type="dxa"/>
            <w:shd w:val="clear" w:color="auto" w:fill="auto"/>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+3,3</w:t>
            </w:r>
          </w:p>
        </w:tc>
        <w:tc>
          <w:tcPr>
            <w:tcW w:w="567"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+3,5</w:t>
            </w:r>
          </w:p>
        </w:tc>
        <w:tc>
          <w:tcPr>
            <w:tcW w:w="496" w:type="dxa"/>
            <w:shd w:val="clear" w:color="auto" w:fill="auto"/>
            <w:vAlign w:val="center"/>
          </w:tcPr>
          <w:p w:rsidR="00BD7BA4" w:rsidRPr="00DA121A" w:rsidRDefault="00BD7BA4" w:rsidP="00BD7BA4">
            <w:pPr>
              <w:spacing w:before="40" w:after="20"/>
              <w:ind w:left="-68" w:right="57"/>
              <w:jc w:val="right"/>
              <w:rPr>
                <w:rFonts w:ascii="Arial Narrow" w:hAnsi="Arial Narrow" w:cs="Arial"/>
                <w:sz w:val="18"/>
                <w:szCs w:val="18"/>
              </w:rPr>
            </w:pPr>
            <w:r w:rsidRPr="00DA121A">
              <w:rPr>
                <w:rFonts w:ascii="Arial Narrow" w:hAnsi="Arial Narrow" w:cs="Arial"/>
                <w:sz w:val="18"/>
                <w:szCs w:val="18"/>
              </w:rPr>
              <w:t>+3,1</w:t>
            </w:r>
          </w:p>
        </w:tc>
        <w:tc>
          <w:tcPr>
            <w:tcW w:w="845" w:type="dxa"/>
            <w:shd w:val="clear" w:color="auto" w:fill="D9D9D9" w:themeFill="background1" w:themeFillShade="D9"/>
            <w:vAlign w:val="center"/>
          </w:tcPr>
          <w:p w:rsidR="00BD7BA4" w:rsidRPr="003A2151" w:rsidRDefault="00BD7BA4" w:rsidP="00BD7BA4">
            <w:pPr>
              <w:widowControl/>
              <w:overflowPunct/>
              <w:autoSpaceDE/>
              <w:autoSpaceDN/>
              <w:adjustRightInd/>
              <w:spacing w:before="40" w:after="20"/>
              <w:ind w:left="-68" w:right="57"/>
              <w:jc w:val="right"/>
              <w:rPr>
                <w:rFonts w:ascii="Arial Narrow" w:hAnsi="Arial Narrow" w:cs="Arial"/>
                <w:sz w:val="18"/>
                <w:szCs w:val="18"/>
              </w:rPr>
            </w:pPr>
            <w:r w:rsidRPr="003A2151">
              <w:rPr>
                <w:rFonts w:ascii="Arial Narrow" w:hAnsi="Arial Narrow" w:cs="Arial"/>
                <w:sz w:val="18"/>
                <w:szCs w:val="18"/>
              </w:rPr>
              <w:t>+0,8</w:t>
            </w:r>
          </w:p>
        </w:tc>
        <w:tc>
          <w:tcPr>
            <w:tcW w:w="825" w:type="dxa"/>
            <w:shd w:val="clear" w:color="auto" w:fill="auto"/>
            <w:vAlign w:val="center"/>
          </w:tcPr>
          <w:p w:rsidR="00BD7BA4" w:rsidRPr="003A2151" w:rsidRDefault="00BD7BA4" w:rsidP="00BD7BA4">
            <w:pPr>
              <w:spacing w:before="40" w:after="20"/>
              <w:ind w:left="-68" w:right="57"/>
              <w:jc w:val="right"/>
              <w:rPr>
                <w:rFonts w:ascii="Arial Narrow" w:hAnsi="Arial Narrow" w:cs="Arial"/>
                <w:sz w:val="18"/>
                <w:szCs w:val="18"/>
              </w:rPr>
            </w:pPr>
            <w:r w:rsidRPr="003A2151">
              <w:rPr>
                <w:rFonts w:ascii="Arial Narrow" w:hAnsi="Arial Narrow" w:cs="Arial"/>
                <w:sz w:val="18"/>
                <w:szCs w:val="18"/>
              </w:rPr>
              <w:t>+2,4</w:t>
            </w:r>
          </w:p>
        </w:tc>
        <w:tc>
          <w:tcPr>
            <w:tcW w:w="851" w:type="dxa"/>
            <w:shd w:val="clear" w:color="auto" w:fill="D9D9D9" w:themeFill="background1" w:themeFillShade="D9"/>
            <w:vAlign w:val="center"/>
          </w:tcPr>
          <w:p w:rsidR="00BD7BA4" w:rsidRPr="00BD7BA4" w:rsidRDefault="00BD7BA4" w:rsidP="00BD7BA4">
            <w:pPr>
              <w:spacing w:before="40" w:after="20"/>
              <w:ind w:left="-68" w:right="57"/>
              <w:jc w:val="right"/>
              <w:rPr>
                <w:rFonts w:ascii="Arial Narrow" w:hAnsi="Arial Narrow" w:cs="Arial"/>
                <w:sz w:val="18"/>
                <w:szCs w:val="18"/>
              </w:rPr>
            </w:pPr>
            <w:r w:rsidRPr="00BD7BA4">
              <w:rPr>
                <w:rFonts w:ascii="Arial Narrow" w:hAnsi="Arial Narrow" w:cs="Arial"/>
                <w:sz w:val="18"/>
                <w:szCs w:val="18"/>
              </w:rPr>
              <w:t>+1,3</w:t>
            </w:r>
          </w:p>
        </w:tc>
      </w:tr>
      <w:tr w:rsidR="00BD7BA4" w:rsidRPr="00C8504B" w:rsidTr="00186274">
        <w:trPr>
          <w:trHeight w:val="255"/>
        </w:trPr>
        <w:tc>
          <w:tcPr>
            <w:tcW w:w="4183" w:type="dxa"/>
            <w:vAlign w:val="center"/>
          </w:tcPr>
          <w:p w:rsidR="00BD7BA4" w:rsidRPr="00101BDE" w:rsidRDefault="00BD7BA4" w:rsidP="00BD7BA4">
            <w:pPr>
              <w:spacing w:before="40" w:after="20"/>
              <w:ind w:left="-68"/>
              <w:rPr>
                <w:rFonts w:ascii="Arial Narrow" w:hAnsi="Arial Narrow" w:cs="Arial"/>
                <w:bCs/>
                <w:sz w:val="18"/>
                <w:szCs w:val="18"/>
              </w:rPr>
            </w:pPr>
            <w:r w:rsidRPr="00101BDE">
              <w:rPr>
                <w:rFonts w:ascii="Arial Narrow" w:hAnsi="Arial Narrow" w:cs="Arial"/>
                <w:bCs/>
                <w:sz w:val="18"/>
                <w:szCs w:val="18"/>
              </w:rPr>
              <w:t>Servizi relativi alle comunicazioni</w:t>
            </w:r>
          </w:p>
        </w:tc>
        <w:tc>
          <w:tcPr>
            <w:tcW w:w="567" w:type="dxa"/>
            <w:shd w:val="clear" w:color="auto" w:fill="D9D9D9" w:themeFill="background1" w:themeFillShade="D9"/>
            <w:vAlign w:val="center"/>
          </w:tcPr>
          <w:p w:rsidR="00BD7BA4" w:rsidRPr="00A376E5" w:rsidRDefault="00BD7BA4" w:rsidP="00BD7BA4">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0,1</w:t>
            </w:r>
          </w:p>
        </w:tc>
        <w:tc>
          <w:tcPr>
            <w:tcW w:w="567"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+0,5</w:t>
            </w:r>
          </w:p>
        </w:tc>
        <w:tc>
          <w:tcPr>
            <w:tcW w:w="709"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+0,8</w:t>
            </w:r>
          </w:p>
        </w:tc>
        <w:tc>
          <w:tcPr>
            <w:tcW w:w="709"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+0,5</w:t>
            </w:r>
          </w:p>
        </w:tc>
        <w:tc>
          <w:tcPr>
            <w:tcW w:w="567"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+0,2</w:t>
            </w:r>
          </w:p>
        </w:tc>
        <w:tc>
          <w:tcPr>
            <w:tcW w:w="496" w:type="dxa"/>
            <w:shd w:val="clear" w:color="auto" w:fill="auto"/>
            <w:vAlign w:val="center"/>
          </w:tcPr>
          <w:p w:rsidR="00BD7BA4" w:rsidRPr="00DA121A" w:rsidRDefault="00BD7BA4" w:rsidP="00BD7BA4">
            <w:pPr>
              <w:spacing w:before="40" w:after="20"/>
              <w:ind w:left="-68" w:right="57"/>
              <w:jc w:val="right"/>
              <w:rPr>
                <w:rFonts w:ascii="Arial Narrow" w:hAnsi="Arial Narrow" w:cs="Arial"/>
                <w:sz w:val="18"/>
                <w:szCs w:val="18"/>
              </w:rPr>
            </w:pPr>
            <w:r w:rsidRPr="00DA121A">
              <w:rPr>
                <w:rFonts w:ascii="Arial Narrow" w:hAnsi="Arial Narrow" w:cs="Arial"/>
                <w:sz w:val="18"/>
                <w:szCs w:val="18"/>
              </w:rPr>
              <w:t>+0,5</w:t>
            </w:r>
          </w:p>
        </w:tc>
        <w:tc>
          <w:tcPr>
            <w:tcW w:w="845" w:type="dxa"/>
            <w:shd w:val="clear" w:color="auto" w:fill="D9D9D9" w:themeFill="background1" w:themeFillShade="D9"/>
            <w:vAlign w:val="center"/>
          </w:tcPr>
          <w:p w:rsidR="00BD7BA4" w:rsidRPr="003A2151" w:rsidRDefault="00BD7BA4" w:rsidP="00BD7BA4">
            <w:pPr>
              <w:widowControl/>
              <w:overflowPunct/>
              <w:autoSpaceDE/>
              <w:autoSpaceDN/>
              <w:adjustRightInd/>
              <w:spacing w:before="40" w:after="20"/>
              <w:ind w:left="-68" w:right="57"/>
              <w:jc w:val="right"/>
              <w:rPr>
                <w:rFonts w:ascii="Arial Narrow" w:hAnsi="Arial Narrow" w:cs="Arial"/>
                <w:sz w:val="18"/>
                <w:szCs w:val="18"/>
              </w:rPr>
            </w:pPr>
            <w:r w:rsidRPr="003A2151">
              <w:rPr>
                <w:rFonts w:ascii="Arial Narrow" w:hAnsi="Arial Narrow" w:cs="Arial"/>
                <w:sz w:val="18"/>
                <w:szCs w:val="18"/>
              </w:rPr>
              <w:t>+0,5</w:t>
            </w:r>
          </w:p>
        </w:tc>
        <w:tc>
          <w:tcPr>
            <w:tcW w:w="825" w:type="dxa"/>
            <w:vAlign w:val="center"/>
          </w:tcPr>
          <w:p w:rsidR="00BD7BA4" w:rsidRPr="003A2151" w:rsidRDefault="00BD7BA4" w:rsidP="00BD7BA4">
            <w:pPr>
              <w:spacing w:before="40" w:after="20"/>
              <w:ind w:left="-68" w:right="57"/>
              <w:jc w:val="right"/>
              <w:rPr>
                <w:rFonts w:ascii="Arial Narrow" w:hAnsi="Arial Narrow" w:cs="Arial"/>
                <w:sz w:val="18"/>
                <w:szCs w:val="18"/>
              </w:rPr>
            </w:pPr>
            <w:r w:rsidRPr="003A2151">
              <w:rPr>
                <w:rFonts w:ascii="Arial Narrow" w:hAnsi="Arial Narrow" w:cs="Arial"/>
                <w:sz w:val="18"/>
                <w:szCs w:val="18"/>
              </w:rPr>
              <w:t>0,0</w:t>
            </w:r>
          </w:p>
        </w:tc>
        <w:tc>
          <w:tcPr>
            <w:tcW w:w="851" w:type="dxa"/>
            <w:shd w:val="clear" w:color="auto" w:fill="D9D9D9" w:themeFill="background1" w:themeFillShade="D9"/>
            <w:vAlign w:val="center"/>
          </w:tcPr>
          <w:p w:rsidR="00BD7BA4" w:rsidRPr="00BD7BA4" w:rsidRDefault="00BD7BA4" w:rsidP="00BD7BA4">
            <w:pPr>
              <w:spacing w:before="40" w:after="20"/>
              <w:ind w:left="-68" w:right="57"/>
              <w:jc w:val="right"/>
              <w:rPr>
                <w:rFonts w:ascii="Arial Narrow" w:hAnsi="Arial Narrow" w:cs="Arial"/>
                <w:sz w:val="18"/>
                <w:szCs w:val="18"/>
              </w:rPr>
            </w:pPr>
            <w:r w:rsidRPr="00BD7BA4">
              <w:rPr>
                <w:rFonts w:ascii="Arial Narrow" w:hAnsi="Arial Narrow" w:cs="Arial"/>
                <w:sz w:val="18"/>
                <w:szCs w:val="18"/>
              </w:rPr>
              <w:t>-0,1</w:t>
            </w:r>
          </w:p>
        </w:tc>
      </w:tr>
      <w:tr w:rsidR="00BD7BA4" w:rsidRPr="00C8504B" w:rsidTr="00186274">
        <w:trPr>
          <w:trHeight w:val="255"/>
        </w:trPr>
        <w:tc>
          <w:tcPr>
            <w:tcW w:w="4183" w:type="dxa"/>
            <w:vAlign w:val="center"/>
          </w:tcPr>
          <w:p w:rsidR="00BD7BA4" w:rsidRPr="00101BDE" w:rsidRDefault="00BD7BA4" w:rsidP="00BD7BA4">
            <w:pPr>
              <w:tabs>
                <w:tab w:val="left" w:pos="290"/>
              </w:tabs>
              <w:spacing w:before="40" w:after="20"/>
              <w:ind w:left="-68"/>
              <w:rPr>
                <w:rFonts w:ascii="Arial Narrow" w:hAnsi="Arial Narrow" w:cs="Arial"/>
                <w:bCs/>
                <w:sz w:val="18"/>
                <w:szCs w:val="18"/>
              </w:rPr>
            </w:pPr>
            <w:r w:rsidRPr="00101BDE">
              <w:rPr>
                <w:rFonts w:ascii="Arial Narrow" w:hAnsi="Arial Narrow" w:cs="Arial"/>
                <w:bCs/>
                <w:sz w:val="18"/>
                <w:szCs w:val="18"/>
              </w:rPr>
              <w:t>Servizi ricreativi, culturali e per la cura della persona</w:t>
            </w:r>
          </w:p>
        </w:tc>
        <w:tc>
          <w:tcPr>
            <w:tcW w:w="567" w:type="dxa"/>
            <w:shd w:val="clear" w:color="auto" w:fill="D9D9D9" w:themeFill="background1" w:themeFillShade="D9"/>
            <w:vAlign w:val="center"/>
          </w:tcPr>
          <w:p w:rsidR="00BD7BA4" w:rsidRPr="00A376E5" w:rsidRDefault="00BD7BA4" w:rsidP="00BD7BA4">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5,1</w:t>
            </w:r>
          </w:p>
        </w:tc>
        <w:tc>
          <w:tcPr>
            <w:tcW w:w="567"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+6,7</w:t>
            </w:r>
          </w:p>
        </w:tc>
        <w:tc>
          <w:tcPr>
            <w:tcW w:w="709"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+7,6</w:t>
            </w:r>
          </w:p>
        </w:tc>
        <w:tc>
          <w:tcPr>
            <w:tcW w:w="709"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+6,7</w:t>
            </w:r>
          </w:p>
        </w:tc>
        <w:tc>
          <w:tcPr>
            <w:tcW w:w="567"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+5,1</w:t>
            </w:r>
          </w:p>
        </w:tc>
        <w:tc>
          <w:tcPr>
            <w:tcW w:w="496" w:type="dxa"/>
            <w:shd w:val="clear" w:color="auto" w:fill="auto"/>
            <w:vAlign w:val="center"/>
          </w:tcPr>
          <w:p w:rsidR="00BD7BA4" w:rsidRPr="00DA121A" w:rsidRDefault="00BD7BA4" w:rsidP="00BD7BA4">
            <w:pPr>
              <w:spacing w:before="40" w:after="20"/>
              <w:ind w:left="-68" w:right="57"/>
              <w:jc w:val="right"/>
              <w:rPr>
                <w:rFonts w:ascii="Arial Narrow" w:hAnsi="Arial Narrow" w:cs="Arial"/>
                <w:sz w:val="18"/>
                <w:szCs w:val="18"/>
              </w:rPr>
            </w:pPr>
            <w:r w:rsidRPr="00DA121A">
              <w:rPr>
                <w:rFonts w:ascii="Arial Narrow" w:hAnsi="Arial Narrow" w:cs="Arial"/>
                <w:sz w:val="18"/>
                <w:szCs w:val="18"/>
              </w:rPr>
              <w:t>+6,5</w:t>
            </w:r>
          </w:p>
        </w:tc>
        <w:tc>
          <w:tcPr>
            <w:tcW w:w="845" w:type="dxa"/>
            <w:shd w:val="clear" w:color="auto" w:fill="D9D9D9" w:themeFill="background1" w:themeFillShade="D9"/>
            <w:vAlign w:val="center"/>
          </w:tcPr>
          <w:p w:rsidR="00BD7BA4" w:rsidRPr="003A2151" w:rsidRDefault="00BD7BA4" w:rsidP="00BD7BA4">
            <w:pPr>
              <w:widowControl/>
              <w:overflowPunct/>
              <w:autoSpaceDE/>
              <w:autoSpaceDN/>
              <w:adjustRightInd/>
              <w:spacing w:before="40" w:after="20"/>
              <w:ind w:left="-68" w:right="57"/>
              <w:jc w:val="right"/>
              <w:rPr>
                <w:rFonts w:ascii="Arial Narrow" w:hAnsi="Arial Narrow" w:cs="Arial"/>
                <w:sz w:val="18"/>
                <w:szCs w:val="18"/>
              </w:rPr>
            </w:pPr>
            <w:r w:rsidRPr="003A2151">
              <w:rPr>
                <w:rFonts w:ascii="Arial Narrow" w:hAnsi="Arial Narrow" w:cs="Arial"/>
                <w:sz w:val="18"/>
                <w:szCs w:val="18"/>
              </w:rPr>
              <w:t>+2,8</w:t>
            </w:r>
          </w:p>
        </w:tc>
        <w:tc>
          <w:tcPr>
            <w:tcW w:w="825" w:type="dxa"/>
            <w:vAlign w:val="center"/>
          </w:tcPr>
          <w:p w:rsidR="00BD7BA4" w:rsidRPr="003A2151" w:rsidRDefault="00BD7BA4" w:rsidP="00BD7BA4">
            <w:pPr>
              <w:spacing w:before="40" w:after="20"/>
              <w:ind w:left="-68" w:right="57"/>
              <w:jc w:val="right"/>
              <w:rPr>
                <w:rFonts w:ascii="Arial Narrow" w:hAnsi="Arial Narrow" w:cs="Arial"/>
                <w:sz w:val="18"/>
                <w:szCs w:val="18"/>
              </w:rPr>
            </w:pPr>
            <w:r w:rsidRPr="003A2151">
              <w:rPr>
                <w:rFonts w:ascii="Arial Narrow" w:hAnsi="Arial Narrow" w:cs="Arial"/>
                <w:sz w:val="18"/>
                <w:szCs w:val="18"/>
              </w:rPr>
              <w:t>+3,7</w:t>
            </w:r>
          </w:p>
        </w:tc>
        <w:tc>
          <w:tcPr>
            <w:tcW w:w="851" w:type="dxa"/>
            <w:shd w:val="clear" w:color="auto" w:fill="D9D9D9" w:themeFill="background1" w:themeFillShade="D9"/>
            <w:vAlign w:val="center"/>
          </w:tcPr>
          <w:p w:rsidR="00BD7BA4" w:rsidRPr="00BD7BA4" w:rsidRDefault="00BD7BA4" w:rsidP="00BD7BA4">
            <w:pPr>
              <w:spacing w:before="40" w:after="20"/>
              <w:ind w:left="-68" w:right="57"/>
              <w:jc w:val="right"/>
              <w:rPr>
                <w:rFonts w:ascii="Arial Narrow" w:hAnsi="Arial Narrow" w:cs="Arial"/>
                <w:sz w:val="18"/>
                <w:szCs w:val="18"/>
              </w:rPr>
            </w:pPr>
            <w:r w:rsidRPr="00BD7BA4">
              <w:rPr>
                <w:rFonts w:ascii="Arial Narrow" w:hAnsi="Arial Narrow" w:cs="Arial"/>
                <w:sz w:val="18"/>
                <w:szCs w:val="18"/>
              </w:rPr>
              <w:t>+0,3</w:t>
            </w:r>
          </w:p>
        </w:tc>
      </w:tr>
      <w:tr w:rsidR="00BD7BA4" w:rsidRPr="00C8504B" w:rsidTr="00186274">
        <w:trPr>
          <w:trHeight w:val="255"/>
        </w:trPr>
        <w:tc>
          <w:tcPr>
            <w:tcW w:w="4183" w:type="dxa"/>
            <w:vAlign w:val="center"/>
          </w:tcPr>
          <w:p w:rsidR="00BD7BA4" w:rsidRPr="00101BDE" w:rsidRDefault="00BD7BA4" w:rsidP="00BD7BA4">
            <w:pPr>
              <w:spacing w:before="40" w:after="20"/>
              <w:ind w:left="-68"/>
              <w:rPr>
                <w:rFonts w:ascii="Arial Narrow" w:hAnsi="Arial Narrow" w:cs="Arial"/>
                <w:bCs/>
                <w:sz w:val="18"/>
                <w:szCs w:val="18"/>
              </w:rPr>
            </w:pPr>
            <w:r w:rsidRPr="00101BDE">
              <w:rPr>
                <w:rFonts w:ascii="Arial Narrow" w:hAnsi="Arial Narrow" w:cs="Arial"/>
                <w:bCs/>
                <w:sz w:val="18"/>
                <w:szCs w:val="18"/>
              </w:rPr>
              <w:t>Servizi relativi ai trasporti</w:t>
            </w:r>
          </w:p>
        </w:tc>
        <w:tc>
          <w:tcPr>
            <w:tcW w:w="567" w:type="dxa"/>
            <w:shd w:val="clear" w:color="auto" w:fill="D9D9D9" w:themeFill="background1" w:themeFillShade="D9"/>
            <w:vAlign w:val="center"/>
          </w:tcPr>
          <w:p w:rsidR="00BD7BA4" w:rsidRPr="00A376E5" w:rsidRDefault="00BD7BA4" w:rsidP="00BD7BA4">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5,5</w:t>
            </w:r>
          </w:p>
        </w:tc>
        <w:tc>
          <w:tcPr>
            <w:tcW w:w="567"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+6,3</w:t>
            </w:r>
          </w:p>
        </w:tc>
        <w:tc>
          <w:tcPr>
            <w:tcW w:w="709"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+5,5</w:t>
            </w:r>
          </w:p>
        </w:tc>
        <w:tc>
          <w:tcPr>
            <w:tcW w:w="709"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+2,5</w:t>
            </w:r>
          </w:p>
        </w:tc>
        <w:tc>
          <w:tcPr>
            <w:tcW w:w="567"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+3,7</w:t>
            </w:r>
          </w:p>
        </w:tc>
        <w:tc>
          <w:tcPr>
            <w:tcW w:w="496" w:type="dxa"/>
            <w:shd w:val="clear" w:color="auto" w:fill="auto"/>
            <w:vAlign w:val="center"/>
          </w:tcPr>
          <w:p w:rsidR="00BD7BA4" w:rsidRPr="00DA121A" w:rsidRDefault="00BD7BA4" w:rsidP="00BD7BA4">
            <w:pPr>
              <w:spacing w:before="40" w:after="20"/>
              <w:ind w:left="-68" w:right="57"/>
              <w:jc w:val="right"/>
              <w:rPr>
                <w:rFonts w:ascii="Arial Narrow" w:hAnsi="Arial Narrow" w:cs="Arial"/>
                <w:sz w:val="18"/>
                <w:szCs w:val="18"/>
              </w:rPr>
            </w:pPr>
            <w:r w:rsidRPr="00DA121A">
              <w:rPr>
                <w:rFonts w:ascii="Arial Narrow" w:hAnsi="Arial Narrow" w:cs="Arial"/>
                <w:sz w:val="18"/>
                <w:szCs w:val="18"/>
              </w:rPr>
              <w:t>+4,5</w:t>
            </w:r>
          </w:p>
        </w:tc>
        <w:tc>
          <w:tcPr>
            <w:tcW w:w="845" w:type="dxa"/>
            <w:shd w:val="clear" w:color="auto" w:fill="D9D9D9" w:themeFill="background1" w:themeFillShade="D9"/>
            <w:vAlign w:val="center"/>
          </w:tcPr>
          <w:p w:rsidR="00BD7BA4" w:rsidRPr="003A2151" w:rsidRDefault="00BD7BA4" w:rsidP="00BD7BA4">
            <w:pPr>
              <w:widowControl/>
              <w:overflowPunct/>
              <w:autoSpaceDE/>
              <w:autoSpaceDN/>
              <w:adjustRightInd/>
              <w:spacing w:before="40" w:after="20"/>
              <w:ind w:left="-68" w:right="57"/>
              <w:jc w:val="right"/>
              <w:rPr>
                <w:rFonts w:ascii="Arial Narrow" w:hAnsi="Arial Narrow" w:cs="Arial"/>
                <w:sz w:val="18"/>
                <w:szCs w:val="18"/>
              </w:rPr>
            </w:pPr>
            <w:r w:rsidRPr="003A2151">
              <w:rPr>
                <w:rFonts w:ascii="Arial Narrow" w:hAnsi="Arial Narrow" w:cs="Arial"/>
                <w:sz w:val="18"/>
                <w:szCs w:val="18"/>
              </w:rPr>
              <w:t>+2,0</w:t>
            </w:r>
          </w:p>
        </w:tc>
        <w:tc>
          <w:tcPr>
            <w:tcW w:w="825" w:type="dxa"/>
            <w:vAlign w:val="center"/>
          </w:tcPr>
          <w:p w:rsidR="00BD7BA4" w:rsidRPr="003A2151" w:rsidRDefault="00BD7BA4" w:rsidP="00BD7BA4">
            <w:pPr>
              <w:spacing w:before="40" w:after="20"/>
              <w:ind w:left="-68" w:right="57"/>
              <w:jc w:val="right"/>
              <w:rPr>
                <w:rFonts w:ascii="Arial Narrow" w:hAnsi="Arial Narrow" w:cs="Arial"/>
                <w:sz w:val="18"/>
                <w:szCs w:val="18"/>
              </w:rPr>
            </w:pPr>
            <w:r w:rsidRPr="003A2151">
              <w:rPr>
                <w:rFonts w:ascii="Arial Narrow" w:hAnsi="Arial Narrow" w:cs="Arial"/>
                <w:sz w:val="18"/>
                <w:szCs w:val="18"/>
              </w:rPr>
              <w:t>+2,3</w:t>
            </w:r>
          </w:p>
        </w:tc>
        <w:tc>
          <w:tcPr>
            <w:tcW w:w="851" w:type="dxa"/>
            <w:shd w:val="clear" w:color="auto" w:fill="D9D9D9" w:themeFill="background1" w:themeFillShade="D9"/>
            <w:vAlign w:val="center"/>
          </w:tcPr>
          <w:p w:rsidR="00BD7BA4" w:rsidRPr="00BD7BA4" w:rsidRDefault="00BD7BA4" w:rsidP="00BD7BA4">
            <w:pPr>
              <w:spacing w:before="40" w:after="20"/>
              <w:ind w:left="-68" w:right="57"/>
              <w:jc w:val="right"/>
              <w:rPr>
                <w:rFonts w:ascii="Arial Narrow" w:hAnsi="Arial Narrow" w:cs="Arial"/>
                <w:sz w:val="18"/>
                <w:szCs w:val="18"/>
              </w:rPr>
            </w:pPr>
            <w:r w:rsidRPr="00BD7BA4">
              <w:rPr>
                <w:rFonts w:ascii="Arial Narrow" w:hAnsi="Arial Narrow" w:cs="Arial"/>
                <w:sz w:val="18"/>
                <w:szCs w:val="18"/>
              </w:rPr>
              <w:t>+1,3</w:t>
            </w:r>
          </w:p>
        </w:tc>
      </w:tr>
      <w:tr w:rsidR="00BD7BA4" w:rsidRPr="00C8504B" w:rsidTr="00186274">
        <w:trPr>
          <w:trHeight w:val="255"/>
        </w:trPr>
        <w:tc>
          <w:tcPr>
            <w:tcW w:w="4183" w:type="dxa"/>
            <w:vAlign w:val="center"/>
          </w:tcPr>
          <w:p w:rsidR="00BD7BA4" w:rsidRPr="00101BDE" w:rsidRDefault="00BD7BA4" w:rsidP="00BD7BA4">
            <w:pPr>
              <w:spacing w:before="40" w:after="20"/>
              <w:ind w:left="-68"/>
              <w:rPr>
                <w:rFonts w:ascii="Arial Narrow" w:hAnsi="Arial Narrow" w:cs="Arial"/>
                <w:bCs/>
                <w:sz w:val="18"/>
                <w:szCs w:val="18"/>
              </w:rPr>
            </w:pPr>
            <w:r w:rsidRPr="00101BDE">
              <w:rPr>
                <w:rFonts w:ascii="Arial Narrow" w:hAnsi="Arial Narrow" w:cs="Arial"/>
                <w:bCs/>
                <w:sz w:val="18"/>
                <w:szCs w:val="18"/>
              </w:rPr>
              <w:t>Servizi vari</w:t>
            </w:r>
          </w:p>
        </w:tc>
        <w:tc>
          <w:tcPr>
            <w:tcW w:w="567" w:type="dxa"/>
            <w:shd w:val="clear" w:color="auto" w:fill="D9D9D9" w:themeFill="background1" w:themeFillShade="D9"/>
            <w:vAlign w:val="center"/>
          </w:tcPr>
          <w:p w:rsidR="00BD7BA4" w:rsidRPr="00A376E5" w:rsidRDefault="00BD7BA4" w:rsidP="00BD7BA4">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1,7</w:t>
            </w:r>
          </w:p>
        </w:tc>
        <w:tc>
          <w:tcPr>
            <w:tcW w:w="567"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+2,8</w:t>
            </w:r>
          </w:p>
        </w:tc>
        <w:tc>
          <w:tcPr>
            <w:tcW w:w="709"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+3,5</w:t>
            </w:r>
          </w:p>
        </w:tc>
        <w:tc>
          <w:tcPr>
            <w:tcW w:w="709" w:type="dxa"/>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+3,2</w:t>
            </w:r>
          </w:p>
        </w:tc>
        <w:tc>
          <w:tcPr>
            <w:tcW w:w="567"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+3,1</w:t>
            </w:r>
          </w:p>
        </w:tc>
        <w:tc>
          <w:tcPr>
            <w:tcW w:w="496" w:type="dxa"/>
            <w:shd w:val="clear" w:color="auto" w:fill="auto"/>
            <w:vAlign w:val="center"/>
          </w:tcPr>
          <w:p w:rsidR="00BD7BA4" w:rsidRPr="00DA121A" w:rsidRDefault="00BD7BA4" w:rsidP="00BD7BA4">
            <w:pPr>
              <w:spacing w:before="40" w:after="20"/>
              <w:ind w:left="-68" w:right="57"/>
              <w:jc w:val="right"/>
              <w:rPr>
                <w:rFonts w:ascii="Arial Narrow" w:hAnsi="Arial Narrow" w:cs="Arial"/>
                <w:sz w:val="18"/>
                <w:szCs w:val="18"/>
              </w:rPr>
            </w:pPr>
            <w:r w:rsidRPr="00DA121A">
              <w:rPr>
                <w:rFonts w:ascii="Arial Narrow" w:hAnsi="Arial Narrow" w:cs="Arial"/>
                <w:sz w:val="18"/>
                <w:szCs w:val="18"/>
              </w:rPr>
              <w:t>+3,2</w:t>
            </w:r>
          </w:p>
        </w:tc>
        <w:tc>
          <w:tcPr>
            <w:tcW w:w="845" w:type="dxa"/>
            <w:shd w:val="clear" w:color="auto" w:fill="D9D9D9" w:themeFill="background1" w:themeFillShade="D9"/>
            <w:vAlign w:val="center"/>
          </w:tcPr>
          <w:p w:rsidR="00BD7BA4" w:rsidRPr="003A2151" w:rsidRDefault="00BD7BA4" w:rsidP="00BD7BA4">
            <w:pPr>
              <w:widowControl/>
              <w:overflowPunct/>
              <w:autoSpaceDE/>
              <w:autoSpaceDN/>
              <w:adjustRightInd/>
              <w:spacing w:before="40" w:after="20"/>
              <w:ind w:left="-68" w:right="57"/>
              <w:jc w:val="right"/>
              <w:rPr>
                <w:rFonts w:ascii="Arial Narrow" w:hAnsi="Arial Narrow" w:cs="Arial"/>
                <w:sz w:val="18"/>
                <w:szCs w:val="18"/>
              </w:rPr>
            </w:pPr>
            <w:r w:rsidRPr="003A2151">
              <w:rPr>
                <w:rFonts w:ascii="Arial Narrow" w:hAnsi="Arial Narrow" w:cs="Arial"/>
                <w:sz w:val="18"/>
                <w:szCs w:val="18"/>
              </w:rPr>
              <w:t>+1,1</w:t>
            </w:r>
          </w:p>
        </w:tc>
        <w:tc>
          <w:tcPr>
            <w:tcW w:w="825" w:type="dxa"/>
            <w:vAlign w:val="center"/>
          </w:tcPr>
          <w:p w:rsidR="00BD7BA4" w:rsidRPr="003A2151" w:rsidRDefault="00BD7BA4" w:rsidP="00BD7BA4">
            <w:pPr>
              <w:spacing w:before="40" w:after="20"/>
              <w:ind w:left="-68" w:right="57"/>
              <w:jc w:val="right"/>
              <w:rPr>
                <w:rFonts w:ascii="Arial Narrow" w:hAnsi="Arial Narrow" w:cs="Arial"/>
                <w:sz w:val="18"/>
                <w:szCs w:val="18"/>
              </w:rPr>
            </w:pPr>
            <w:r w:rsidRPr="003A2151">
              <w:rPr>
                <w:rFonts w:ascii="Arial Narrow" w:hAnsi="Arial Narrow" w:cs="Arial"/>
                <w:sz w:val="18"/>
                <w:szCs w:val="18"/>
              </w:rPr>
              <w:t>+1,9</w:t>
            </w:r>
          </w:p>
        </w:tc>
        <w:tc>
          <w:tcPr>
            <w:tcW w:w="851" w:type="dxa"/>
            <w:shd w:val="clear" w:color="auto" w:fill="D9D9D9" w:themeFill="background1" w:themeFillShade="D9"/>
            <w:vAlign w:val="center"/>
          </w:tcPr>
          <w:p w:rsidR="00BD7BA4" w:rsidRPr="00BD7BA4" w:rsidRDefault="00BD7BA4" w:rsidP="00BD7BA4">
            <w:pPr>
              <w:spacing w:before="40" w:after="20"/>
              <w:ind w:left="-68" w:right="57"/>
              <w:jc w:val="right"/>
              <w:rPr>
                <w:rFonts w:ascii="Arial Narrow" w:hAnsi="Arial Narrow" w:cs="Arial"/>
                <w:sz w:val="18"/>
                <w:szCs w:val="18"/>
              </w:rPr>
            </w:pPr>
            <w:r w:rsidRPr="00BD7BA4">
              <w:rPr>
                <w:rFonts w:ascii="Arial Narrow" w:hAnsi="Arial Narrow" w:cs="Arial"/>
                <w:sz w:val="18"/>
                <w:szCs w:val="18"/>
              </w:rPr>
              <w:t>+1,0</w:t>
            </w:r>
          </w:p>
        </w:tc>
      </w:tr>
      <w:tr w:rsidR="00BD7BA4" w:rsidRPr="00101BDE" w:rsidTr="00186274">
        <w:trPr>
          <w:trHeight w:val="255"/>
        </w:trPr>
        <w:tc>
          <w:tcPr>
            <w:tcW w:w="4183" w:type="dxa"/>
            <w:shd w:val="clear" w:color="auto" w:fill="A6A6A6" w:themeFill="background1" w:themeFillShade="A6"/>
            <w:vAlign w:val="center"/>
          </w:tcPr>
          <w:p w:rsidR="00BD7BA4" w:rsidRPr="00101BDE" w:rsidRDefault="00BD7BA4" w:rsidP="00BD7BA4">
            <w:pPr>
              <w:spacing w:before="40" w:after="20"/>
              <w:rPr>
                <w:rFonts w:ascii="Arial Narrow" w:hAnsi="Arial Narrow" w:cs="Arial"/>
                <w:b/>
                <w:bCs/>
                <w:color w:val="FFFFFF" w:themeColor="background1"/>
                <w:sz w:val="18"/>
                <w:szCs w:val="18"/>
              </w:rPr>
            </w:pPr>
            <w:r w:rsidRPr="00101BDE">
              <w:rPr>
                <w:rFonts w:ascii="Arial Narrow" w:hAnsi="Arial Narrow" w:cs="Arial"/>
                <w:b/>
                <w:bCs/>
                <w:color w:val="FFFFFF" w:themeColor="background1"/>
                <w:sz w:val="18"/>
                <w:szCs w:val="18"/>
              </w:rPr>
              <w:t>Servizi</w:t>
            </w:r>
          </w:p>
        </w:tc>
        <w:tc>
          <w:tcPr>
            <w:tcW w:w="567" w:type="dxa"/>
            <w:shd w:val="clear" w:color="auto" w:fill="A6A6A6" w:themeFill="background1" w:themeFillShade="A6"/>
            <w:vAlign w:val="center"/>
          </w:tcPr>
          <w:p w:rsidR="00BD7BA4" w:rsidRPr="00F052FA" w:rsidRDefault="00BD7BA4" w:rsidP="00BD7BA4">
            <w:pPr>
              <w:widowControl/>
              <w:overflowPunct/>
              <w:autoSpaceDE/>
              <w:autoSpaceDN/>
              <w:adjustRightInd/>
              <w:spacing w:before="40" w:after="20"/>
              <w:ind w:left="-68" w:right="57"/>
              <w:jc w:val="right"/>
              <w:rPr>
                <w:rFonts w:ascii="Arial Narrow" w:hAnsi="Arial Narrow" w:cs="Arial"/>
                <w:b/>
                <w:color w:val="FFFFFF" w:themeColor="background1"/>
                <w:sz w:val="18"/>
                <w:szCs w:val="18"/>
              </w:rPr>
            </w:pPr>
            <w:r w:rsidRPr="00F052FA">
              <w:rPr>
                <w:rFonts w:ascii="Arial Narrow" w:hAnsi="Arial Narrow" w:cs="Arial"/>
                <w:b/>
                <w:color w:val="FFFFFF" w:themeColor="background1"/>
                <w:sz w:val="18"/>
                <w:szCs w:val="18"/>
              </w:rPr>
              <w:t>+3,4</w:t>
            </w:r>
          </w:p>
        </w:tc>
        <w:tc>
          <w:tcPr>
            <w:tcW w:w="567" w:type="dxa"/>
            <w:shd w:val="clear" w:color="auto" w:fill="A6A6A6" w:themeFill="background1" w:themeFillShade="A6"/>
            <w:vAlign w:val="center"/>
          </w:tcPr>
          <w:p w:rsidR="00BD7BA4" w:rsidRPr="008D41BC" w:rsidRDefault="00BD7BA4" w:rsidP="00BD7BA4">
            <w:pPr>
              <w:spacing w:before="40" w:after="20"/>
              <w:ind w:left="-68" w:right="57"/>
              <w:jc w:val="right"/>
              <w:rPr>
                <w:rFonts w:ascii="Arial Narrow" w:hAnsi="Arial Narrow" w:cs="Arial"/>
                <w:b/>
                <w:color w:val="FFFFFF" w:themeColor="background1"/>
                <w:sz w:val="18"/>
                <w:szCs w:val="18"/>
              </w:rPr>
            </w:pPr>
            <w:r w:rsidRPr="008D41BC">
              <w:rPr>
                <w:rFonts w:ascii="Arial Narrow" w:hAnsi="Arial Narrow" w:cs="Arial"/>
                <w:b/>
                <w:color w:val="FFFFFF" w:themeColor="background1"/>
                <w:sz w:val="18"/>
                <w:szCs w:val="18"/>
              </w:rPr>
              <w:t>+4,7</w:t>
            </w:r>
          </w:p>
        </w:tc>
        <w:tc>
          <w:tcPr>
            <w:tcW w:w="709" w:type="dxa"/>
            <w:shd w:val="clear" w:color="auto" w:fill="A6A6A6" w:themeFill="background1" w:themeFillShade="A6"/>
            <w:vAlign w:val="center"/>
          </w:tcPr>
          <w:p w:rsidR="00BD7BA4" w:rsidRPr="008D41BC" w:rsidRDefault="00BD7BA4" w:rsidP="00BD7BA4">
            <w:pPr>
              <w:spacing w:before="40" w:after="20"/>
              <w:ind w:left="-68" w:right="57"/>
              <w:jc w:val="right"/>
              <w:rPr>
                <w:rFonts w:ascii="Arial Narrow" w:hAnsi="Arial Narrow" w:cs="Arial"/>
                <w:b/>
                <w:color w:val="FFFFFF" w:themeColor="background1"/>
                <w:sz w:val="18"/>
                <w:szCs w:val="18"/>
              </w:rPr>
            </w:pPr>
            <w:r w:rsidRPr="008D41BC">
              <w:rPr>
                <w:rFonts w:ascii="Arial Narrow" w:hAnsi="Arial Narrow" w:cs="Arial"/>
                <w:b/>
                <w:color w:val="FFFFFF" w:themeColor="background1"/>
                <w:sz w:val="18"/>
                <w:szCs w:val="18"/>
              </w:rPr>
              <w:t>+5,0</w:t>
            </w:r>
          </w:p>
        </w:tc>
        <w:tc>
          <w:tcPr>
            <w:tcW w:w="709" w:type="dxa"/>
            <w:shd w:val="clear" w:color="auto" w:fill="A6A6A6" w:themeFill="background1" w:themeFillShade="A6"/>
            <w:vAlign w:val="center"/>
          </w:tcPr>
          <w:p w:rsidR="00BD7BA4" w:rsidRPr="008D41BC" w:rsidRDefault="00BD7BA4" w:rsidP="00BD7BA4">
            <w:pPr>
              <w:spacing w:before="40" w:after="20"/>
              <w:ind w:left="-68" w:right="57"/>
              <w:jc w:val="right"/>
              <w:rPr>
                <w:rFonts w:ascii="Arial Narrow" w:hAnsi="Arial Narrow" w:cs="Arial"/>
                <w:b/>
                <w:color w:val="FFFFFF" w:themeColor="background1"/>
                <w:sz w:val="18"/>
                <w:szCs w:val="18"/>
              </w:rPr>
            </w:pPr>
            <w:r w:rsidRPr="008D41BC">
              <w:rPr>
                <w:rFonts w:ascii="Arial Narrow" w:hAnsi="Arial Narrow" w:cs="Arial"/>
                <w:b/>
                <w:color w:val="FFFFFF" w:themeColor="background1"/>
                <w:sz w:val="18"/>
                <w:szCs w:val="18"/>
              </w:rPr>
              <w:t>+4,4</w:t>
            </w:r>
          </w:p>
        </w:tc>
        <w:tc>
          <w:tcPr>
            <w:tcW w:w="567" w:type="dxa"/>
            <w:shd w:val="clear" w:color="auto" w:fill="A6A6A6" w:themeFill="background1" w:themeFillShade="A6"/>
            <w:vAlign w:val="center"/>
          </w:tcPr>
          <w:p w:rsidR="00BD7BA4" w:rsidRPr="008D41BC" w:rsidRDefault="00BD7BA4" w:rsidP="00BD7BA4">
            <w:pPr>
              <w:spacing w:before="40" w:after="20"/>
              <w:ind w:left="-68" w:right="57"/>
              <w:jc w:val="right"/>
              <w:rPr>
                <w:rFonts w:ascii="Arial Narrow" w:hAnsi="Arial Narrow" w:cs="Arial"/>
                <w:b/>
                <w:color w:val="FFFFFF" w:themeColor="background1"/>
                <w:sz w:val="18"/>
                <w:szCs w:val="18"/>
              </w:rPr>
            </w:pPr>
            <w:r w:rsidRPr="008D41BC">
              <w:rPr>
                <w:rFonts w:ascii="Arial Narrow" w:hAnsi="Arial Narrow" w:cs="Arial"/>
                <w:b/>
                <w:color w:val="FFFFFF" w:themeColor="background1"/>
                <w:sz w:val="18"/>
                <w:szCs w:val="18"/>
              </w:rPr>
              <w:t>+3,9</w:t>
            </w:r>
          </w:p>
        </w:tc>
        <w:tc>
          <w:tcPr>
            <w:tcW w:w="496" w:type="dxa"/>
            <w:shd w:val="clear" w:color="auto" w:fill="A6A6A6" w:themeFill="background1" w:themeFillShade="A6"/>
            <w:vAlign w:val="center"/>
          </w:tcPr>
          <w:p w:rsidR="00BD7BA4" w:rsidRPr="00DA121A" w:rsidRDefault="00BD7BA4" w:rsidP="00BD7BA4">
            <w:pPr>
              <w:spacing w:before="40" w:after="20"/>
              <w:ind w:left="-68" w:right="57"/>
              <w:jc w:val="right"/>
              <w:rPr>
                <w:rFonts w:ascii="Arial Narrow" w:hAnsi="Arial Narrow" w:cs="Arial"/>
                <w:b/>
                <w:color w:val="FFFFFF" w:themeColor="background1"/>
                <w:sz w:val="18"/>
                <w:szCs w:val="18"/>
              </w:rPr>
            </w:pPr>
            <w:r w:rsidRPr="00DA121A">
              <w:rPr>
                <w:rFonts w:ascii="Arial Narrow" w:hAnsi="Arial Narrow" w:cs="Arial"/>
                <w:b/>
                <w:color w:val="FFFFFF" w:themeColor="background1"/>
                <w:sz w:val="18"/>
                <w:szCs w:val="18"/>
              </w:rPr>
              <w:t>+4,5</w:t>
            </w:r>
          </w:p>
        </w:tc>
        <w:tc>
          <w:tcPr>
            <w:tcW w:w="845" w:type="dxa"/>
            <w:shd w:val="clear" w:color="auto" w:fill="A6A6A6" w:themeFill="background1" w:themeFillShade="A6"/>
            <w:vAlign w:val="center"/>
          </w:tcPr>
          <w:p w:rsidR="00BD7BA4" w:rsidRPr="003A2151" w:rsidRDefault="00BD7BA4" w:rsidP="00BD7BA4">
            <w:pPr>
              <w:widowControl/>
              <w:overflowPunct/>
              <w:autoSpaceDE/>
              <w:autoSpaceDN/>
              <w:adjustRightInd/>
              <w:spacing w:before="40" w:after="20"/>
              <w:ind w:left="-68" w:right="57"/>
              <w:jc w:val="right"/>
              <w:rPr>
                <w:rFonts w:ascii="Arial Narrow" w:hAnsi="Arial Narrow" w:cs="Arial"/>
                <w:b/>
                <w:color w:val="FFFFFF" w:themeColor="background1"/>
                <w:sz w:val="18"/>
                <w:szCs w:val="18"/>
              </w:rPr>
            </w:pPr>
            <w:r w:rsidRPr="003A2151">
              <w:rPr>
                <w:rFonts w:ascii="Arial Narrow" w:hAnsi="Arial Narrow" w:cs="Arial"/>
                <w:b/>
                <w:color w:val="FFFFFF" w:themeColor="background1"/>
                <w:sz w:val="18"/>
                <w:szCs w:val="18"/>
              </w:rPr>
              <w:t>+1,7</w:t>
            </w:r>
          </w:p>
        </w:tc>
        <w:tc>
          <w:tcPr>
            <w:tcW w:w="825" w:type="dxa"/>
            <w:shd w:val="clear" w:color="auto" w:fill="A6A6A6" w:themeFill="background1" w:themeFillShade="A6"/>
            <w:vAlign w:val="center"/>
          </w:tcPr>
          <w:p w:rsidR="00BD7BA4" w:rsidRPr="003A2151" w:rsidRDefault="00BD7BA4" w:rsidP="00BD7BA4">
            <w:pPr>
              <w:spacing w:before="40" w:after="20"/>
              <w:ind w:left="-68" w:right="57"/>
              <w:jc w:val="right"/>
              <w:rPr>
                <w:rFonts w:ascii="Arial Narrow" w:hAnsi="Arial Narrow" w:cs="Arial"/>
                <w:b/>
                <w:color w:val="FFFFFF" w:themeColor="background1"/>
                <w:sz w:val="18"/>
                <w:szCs w:val="18"/>
              </w:rPr>
            </w:pPr>
            <w:r w:rsidRPr="003A2151">
              <w:rPr>
                <w:rFonts w:ascii="Arial Narrow" w:hAnsi="Arial Narrow" w:cs="Arial"/>
                <w:b/>
                <w:color w:val="FFFFFF" w:themeColor="background1"/>
                <w:sz w:val="18"/>
                <w:szCs w:val="18"/>
              </w:rPr>
              <w:t>+2,7</w:t>
            </w:r>
          </w:p>
        </w:tc>
        <w:tc>
          <w:tcPr>
            <w:tcW w:w="851" w:type="dxa"/>
            <w:shd w:val="clear" w:color="auto" w:fill="A6A6A6" w:themeFill="background1" w:themeFillShade="A6"/>
            <w:vAlign w:val="center"/>
          </w:tcPr>
          <w:p w:rsidR="00BD7BA4" w:rsidRPr="00BD7BA4" w:rsidRDefault="00BD7BA4" w:rsidP="00BD7BA4">
            <w:pPr>
              <w:spacing w:before="40" w:after="20"/>
              <w:ind w:left="-68" w:right="57"/>
              <w:jc w:val="right"/>
              <w:rPr>
                <w:rFonts w:ascii="Arial Narrow" w:hAnsi="Arial Narrow" w:cs="Arial"/>
                <w:b/>
                <w:color w:val="FFFFFF" w:themeColor="background1"/>
                <w:sz w:val="18"/>
                <w:szCs w:val="18"/>
              </w:rPr>
            </w:pPr>
            <w:r w:rsidRPr="00BD7BA4">
              <w:rPr>
                <w:rFonts w:ascii="Arial Narrow" w:hAnsi="Arial Narrow" w:cs="Arial"/>
                <w:b/>
                <w:color w:val="FFFFFF" w:themeColor="background1"/>
                <w:sz w:val="18"/>
                <w:szCs w:val="18"/>
              </w:rPr>
              <w:t>+0,8</w:t>
            </w:r>
          </w:p>
        </w:tc>
      </w:tr>
      <w:tr w:rsidR="00BD7BA4" w:rsidRPr="00101BDE" w:rsidTr="00186274">
        <w:trPr>
          <w:trHeight w:val="255"/>
        </w:trPr>
        <w:tc>
          <w:tcPr>
            <w:tcW w:w="4183" w:type="dxa"/>
            <w:shd w:val="clear" w:color="auto" w:fill="FF0000"/>
            <w:vAlign w:val="center"/>
          </w:tcPr>
          <w:p w:rsidR="00BD7BA4" w:rsidRPr="00101BDE" w:rsidRDefault="00BD7BA4" w:rsidP="00BD7BA4">
            <w:pPr>
              <w:spacing w:before="40" w:after="20"/>
              <w:rPr>
                <w:rFonts w:ascii="Arial Narrow" w:hAnsi="Arial Narrow" w:cs="Arial"/>
                <w:b/>
                <w:bCs/>
                <w:color w:val="FFFFFF" w:themeColor="background1"/>
                <w:sz w:val="18"/>
                <w:szCs w:val="18"/>
              </w:rPr>
            </w:pPr>
            <w:r w:rsidRPr="00101BDE">
              <w:rPr>
                <w:rFonts w:ascii="Arial Narrow" w:hAnsi="Arial Narrow" w:cs="Arial"/>
                <w:b/>
                <w:bCs/>
                <w:color w:val="FFFFFF" w:themeColor="background1"/>
                <w:sz w:val="18"/>
                <w:szCs w:val="18"/>
              </w:rPr>
              <w:t>Indice generale</w:t>
            </w:r>
          </w:p>
        </w:tc>
        <w:tc>
          <w:tcPr>
            <w:tcW w:w="567" w:type="dxa"/>
            <w:shd w:val="clear" w:color="auto" w:fill="FF0000"/>
            <w:vAlign w:val="center"/>
          </w:tcPr>
          <w:p w:rsidR="00BD7BA4" w:rsidRPr="00F052FA" w:rsidRDefault="00BD7BA4" w:rsidP="00BD7BA4">
            <w:pPr>
              <w:widowControl/>
              <w:overflowPunct/>
              <w:autoSpaceDE/>
              <w:autoSpaceDN/>
              <w:adjustRightInd/>
              <w:spacing w:before="40" w:after="20"/>
              <w:ind w:left="-68" w:right="57"/>
              <w:jc w:val="right"/>
              <w:rPr>
                <w:rFonts w:ascii="Arial Narrow" w:hAnsi="Arial Narrow" w:cs="Arial"/>
                <w:b/>
                <w:color w:val="FFFFFF" w:themeColor="background1"/>
                <w:sz w:val="18"/>
                <w:szCs w:val="18"/>
              </w:rPr>
            </w:pPr>
            <w:r w:rsidRPr="00F052FA">
              <w:rPr>
                <w:rFonts w:ascii="Arial Narrow" w:hAnsi="Arial Narrow" w:cs="Arial"/>
                <w:b/>
                <w:color w:val="FFFFFF" w:themeColor="background1"/>
                <w:sz w:val="18"/>
                <w:szCs w:val="18"/>
              </w:rPr>
              <w:t>+8,7</w:t>
            </w:r>
          </w:p>
        </w:tc>
        <w:tc>
          <w:tcPr>
            <w:tcW w:w="567" w:type="dxa"/>
            <w:shd w:val="clear" w:color="auto" w:fill="FF0000"/>
            <w:vAlign w:val="center"/>
          </w:tcPr>
          <w:p w:rsidR="00BD7BA4" w:rsidRPr="008D41BC" w:rsidRDefault="00BD7BA4" w:rsidP="00BD7BA4">
            <w:pPr>
              <w:spacing w:before="40" w:after="20"/>
              <w:ind w:left="-68" w:right="57"/>
              <w:jc w:val="right"/>
              <w:rPr>
                <w:rFonts w:ascii="Arial Narrow" w:hAnsi="Arial Narrow" w:cs="Arial"/>
                <w:b/>
                <w:color w:val="FFFFFF" w:themeColor="background1"/>
                <w:sz w:val="18"/>
                <w:szCs w:val="18"/>
              </w:rPr>
            </w:pPr>
            <w:r w:rsidRPr="008D41BC">
              <w:rPr>
                <w:rFonts w:ascii="Arial Narrow" w:hAnsi="Arial Narrow" w:cs="Arial"/>
                <w:b/>
                <w:color w:val="FFFFFF" w:themeColor="background1"/>
                <w:sz w:val="18"/>
                <w:szCs w:val="18"/>
              </w:rPr>
              <w:t>+9,5</w:t>
            </w:r>
          </w:p>
        </w:tc>
        <w:tc>
          <w:tcPr>
            <w:tcW w:w="709" w:type="dxa"/>
            <w:shd w:val="clear" w:color="auto" w:fill="FF0000"/>
            <w:vAlign w:val="center"/>
          </w:tcPr>
          <w:p w:rsidR="00BD7BA4" w:rsidRPr="008D41BC" w:rsidRDefault="00BD7BA4" w:rsidP="00BD7BA4">
            <w:pPr>
              <w:spacing w:before="40" w:after="20"/>
              <w:ind w:left="-68" w:right="57"/>
              <w:jc w:val="right"/>
              <w:rPr>
                <w:rFonts w:ascii="Arial Narrow" w:hAnsi="Arial Narrow" w:cs="Arial"/>
                <w:b/>
                <w:color w:val="FFFFFF" w:themeColor="background1"/>
                <w:sz w:val="18"/>
                <w:szCs w:val="18"/>
              </w:rPr>
            </w:pPr>
            <w:r w:rsidRPr="008D41BC">
              <w:rPr>
                <w:rFonts w:ascii="Arial Narrow" w:hAnsi="Arial Narrow" w:cs="Arial"/>
                <w:b/>
                <w:color w:val="FFFFFF" w:themeColor="background1"/>
                <w:sz w:val="18"/>
                <w:szCs w:val="18"/>
              </w:rPr>
              <w:t>+7,8</w:t>
            </w:r>
          </w:p>
        </w:tc>
        <w:tc>
          <w:tcPr>
            <w:tcW w:w="709" w:type="dxa"/>
            <w:shd w:val="clear" w:color="auto" w:fill="FF0000"/>
            <w:vAlign w:val="center"/>
          </w:tcPr>
          <w:p w:rsidR="00BD7BA4" w:rsidRPr="008D41BC" w:rsidRDefault="00BD7BA4" w:rsidP="00BD7BA4">
            <w:pPr>
              <w:spacing w:before="40" w:after="20"/>
              <w:ind w:left="-68" w:right="57"/>
              <w:jc w:val="right"/>
              <w:rPr>
                <w:rFonts w:ascii="Arial Narrow" w:hAnsi="Arial Narrow" w:cs="Arial"/>
                <w:b/>
                <w:color w:val="FFFFFF" w:themeColor="background1"/>
                <w:sz w:val="18"/>
                <w:szCs w:val="18"/>
              </w:rPr>
            </w:pPr>
            <w:r w:rsidRPr="008D41BC">
              <w:rPr>
                <w:rFonts w:ascii="Arial Narrow" w:hAnsi="Arial Narrow" w:cs="Arial"/>
                <w:b/>
                <w:color w:val="FFFFFF" w:themeColor="background1"/>
                <w:sz w:val="18"/>
                <w:szCs w:val="18"/>
              </w:rPr>
              <w:t>+5,8</w:t>
            </w:r>
          </w:p>
        </w:tc>
        <w:tc>
          <w:tcPr>
            <w:tcW w:w="567" w:type="dxa"/>
            <w:shd w:val="clear" w:color="auto" w:fill="FF0000"/>
            <w:vAlign w:val="center"/>
          </w:tcPr>
          <w:p w:rsidR="00BD7BA4" w:rsidRPr="008D41BC" w:rsidRDefault="00BD7BA4" w:rsidP="00BD7BA4">
            <w:pPr>
              <w:spacing w:before="40" w:after="20"/>
              <w:ind w:left="-68" w:right="57"/>
              <w:jc w:val="right"/>
              <w:rPr>
                <w:rFonts w:ascii="Arial Narrow" w:hAnsi="Arial Narrow" w:cs="Arial"/>
                <w:b/>
                <w:color w:val="FFFFFF" w:themeColor="background1"/>
                <w:sz w:val="18"/>
                <w:szCs w:val="18"/>
              </w:rPr>
            </w:pPr>
            <w:r w:rsidRPr="008D41BC">
              <w:rPr>
                <w:rFonts w:ascii="Arial Narrow" w:hAnsi="Arial Narrow" w:cs="Arial"/>
                <w:b/>
                <w:color w:val="FFFFFF" w:themeColor="background1"/>
                <w:sz w:val="18"/>
                <w:szCs w:val="18"/>
              </w:rPr>
              <w:t>+1,0</w:t>
            </w:r>
          </w:p>
        </w:tc>
        <w:tc>
          <w:tcPr>
            <w:tcW w:w="496" w:type="dxa"/>
            <w:shd w:val="clear" w:color="auto" w:fill="FF0000"/>
            <w:vAlign w:val="center"/>
          </w:tcPr>
          <w:p w:rsidR="00BD7BA4" w:rsidRPr="00DA121A" w:rsidRDefault="00BD7BA4" w:rsidP="00BD7BA4">
            <w:pPr>
              <w:spacing w:before="40" w:after="20"/>
              <w:ind w:left="-68" w:right="57"/>
              <w:jc w:val="right"/>
              <w:rPr>
                <w:rFonts w:ascii="Arial Narrow" w:hAnsi="Arial Narrow" w:cs="Arial"/>
                <w:b/>
                <w:color w:val="FFFFFF" w:themeColor="background1"/>
                <w:sz w:val="18"/>
                <w:szCs w:val="18"/>
              </w:rPr>
            </w:pPr>
            <w:r w:rsidRPr="00DA121A">
              <w:rPr>
                <w:rFonts w:ascii="Arial Narrow" w:hAnsi="Arial Narrow" w:cs="Arial"/>
                <w:b/>
                <w:color w:val="FFFFFF" w:themeColor="background1"/>
                <w:sz w:val="18"/>
                <w:szCs w:val="18"/>
              </w:rPr>
              <w:t>+5,9</w:t>
            </w:r>
          </w:p>
        </w:tc>
        <w:tc>
          <w:tcPr>
            <w:tcW w:w="845" w:type="dxa"/>
            <w:shd w:val="clear" w:color="auto" w:fill="FF0000"/>
            <w:vAlign w:val="center"/>
          </w:tcPr>
          <w:p w:rsidR="00BD7BA4" w:rsidRPr="003A2151" w:rsidRDefault="00BD7BA4" w:rsidP="00BD7BA4">
            <w:pPr>
              <w:widowControl/>
              <w:overflowPunct/>
              <w:autoSpaceDE/>
              <w:autoSpaceDN/>
              <w:adjustRightInd/>
              <w:spacing w:before="40" w:after="20"/>
              <w:ind w:left="-68" w:right="57"/>
              <w:jc w:val="right"/>
              <w:rPr>
                <w:rFonts w:ascii="Arial Narrow" w:hAnsi="Arial Narrow" w:cs="Arial"/>
                <w:b/>
                <w:color w:val="FFFFFF" w:themeColor="background1"/>
                <w:sz w:val="18"/>
                <w:szCs w:val="18"/>
              </w:rPr>
            </w:pPr>
            <w:r w:rsidRPr="003A2151">
              <w:rPr>
                <w:rFonts w:ascii="Arial Narrow" w:hAnsi="Arial Narrow" w:cs="Arial"/>
                <w:b/>
                <w:color w:val="FFFFFF" w:themeColor="background1"/>
                <w:sz w:val="18"/>
                <w:szCs w:val="18"/>
              </w:rPr>
              <w:t>+6,0</w:t>
            </w:r>
          </w:p>
        </w:tc>
        <w:tc>
          <w:tcPr>
            <w:tcW w:w="825" w:type="dxa"/>
            <w:shd w:val="clear" w:color="auto" w:fill="FF0000"/>
            <w:vAlign w:val="center"/>
          </w:tcPr>
          <w:p w:rsidR="00BD7BA4" w:rsidRPr="003A2151" w:rsidRDefault="00BD7BA4" w:rsidP="00BD7BA4">
            <w:pPr>
              <w:spacing w:before="40" w:after="20"/>
              <w:ind w:left="-68" w:right="57"/>
              <w:jc w:val="right"/>
              <w:rPr>
                <w:rFonts w:ascii="Arial Narrow" w:hAnsi="Arial Narrow" w:cs="Arial"/>
                <w:b/>
                <w:color w:val="FFFFFF" w:themeColor="background1"/>
                <w:sz w:val="18"/>
                <w:szCs w:val="18"/>
              </w:rPr>
            </w:pPr>
            <w:r w:rsidRPr="003A2151">
              <w:rPr>
                <w:rFonts w:ascii="Arial Narrow" w:hAnsi="Arial Narrow" w:cs="Arial"/>
                <w:b/>
                <w:color w:val="FFFFFF" w:themeColor="background1"/>
                <w:sz w:val="18"/>
                <w:szCs w:val="18"/>
              </w:rPr>
              <w:t>-0,2</w:t>
            </w:r>
          </w:p>
        </w:tc>
        <w:tc>
          <w:tcPr>
            <w:tcW w:w="851" w:type="dxa"/>
            <w:shd w:val="clear" w:color="auto" w:fill="FF0000"/>
            <w:vAlign w:val="center"/>
          </w:tcPr>
          <w:p w:rsidR="00BD7BA4" w:rsidRPr="00BD7BA4" w:rsidRDefault="00BD7BA4" w:rsidP="00BD7BA4">
            <w:pPr>
              <w:spacing w:before="40" w:after="20"/>
              <w:ind w:left="-68" w:right="57"/>
              <w:jc w:val="right"/>
              <w:rPr>
                <w:rFonts w:ascii="Arial Narrow" w:hAnsi="Arial Narrow" w:cs="Arial"/>
                <w:b/>
                <w:color w:val="FFFFFF" w:themeColor="background1"/>
                <w:sz w:val="18"/>
                <w:szCs w:val="18"/>
              </w:rPr>
            </w:pPr>
            <w:r w:rsidRPr="00BD7BA4">
              <w:rPr>
                <w:rFonts w:ascii="Arial Narrow" w:hAnsi="Arial Narrow" w:cs="Arial"/>
                <w:b/>
                <w:color w:val="FFFFFF" w:themeColor="background1"/>
                <w:sz w:val="18"/>
                <w:szCs w:val="18"/>
              </w:rPr>
              <w:t>+0,7</w:t>
            </w:r>
          </w:p>
        </w:tc>
      </w:tr>
      <w:tr w:rsidR="00BD7BA4" w:rsidRPr="00C7667B" w:rsidTr="00186274">
        <w:trPr>
          <w:trHeight w:val="255"/>
        </w:trPr>
        <w:tc>
          <w:tcPr>
            <w:tcW w:w="4183" w:type="dxa"/>
            <w:shd w:val="clear" w:color="auto" w:fill="auto"/>
            <w:vAlign w:val="center"/>
          </w:tcPr>
          <w:p w:rsidR="00BD7BA4" w:rsidRPr="00101BDE" w:rsidRDefault="00BD7BA4" w:rsidP="00BD7BA4">
            <w:pPr>
              <w:spacing w:before="40" w:after="20"/>
              <w:ind w:left="-68"/>
              <w:rPr>
                <w:rFonts w:ascii="Arial Narrow" w:hAnsi="Arial Narrow" w:cs="Arial"/>
                <w:bCs/>
                <w:sz w:val="18"/>
                <w:szCs w:val="18"/>
              </w:rPr>
            </w:pPr>
            <w:r w:rsidRPr="00101BDE">
              <w:rPr>
                <w:rFonts w:ascii="Arial Narrow" w:hAnsi="Arial Narrow" w:cs="Arial"/>
                <w:bCs/>
                <w:sz w:val="18"/>
                <w:szCs w:val="18"/>
              </w:rPr>
              <w:t>Indice generale al netto dell’energia e degli alimentari freschi (Componente di fondo)</w:t>
            </w:r>
          </w:p>
        </w:tc>
        <w:tc>
          <w:tcPr>
            <w:tcW w:w="567" w:type="dxa"/>
            <w:shd w:val="clear" w:color="auto" w:fill="D9D9D9" w:themeFill="background1" w:themeFillShade="D9"/>
            <w:vAlign w:val="center"/>
          </w:tcPr>
          <w:p w:rsidR="00BD7BA4" w:rsidRPr="00A376E5" w:rsidRDefault="00BD7BA4" w:rsidP="00BD7BA4">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4</w:t>
            </w:r>
            <w:r>
              <w:rPr>
                <w:rFonts w:ascii="Arial Narrow" w:hAnsi="Arial Narrow" w:cs="Arial"/>
                <w:sz w:val="18"/>
                <w:szCs w:val="18"/>
              </w:rPr>
              <w:t>,0</w:t>
            </w:r>
          </w:p>
        </w:tc>
        <w:tc>
          <w:tcPr>
            <w:tcW w:w="567" w:type="dxa"/>
            <w:shd w:val="clear" w:color="auto" w:fill="auto"/>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+6,8</w:t>
            </w:r>
          </w:p>
        </w:tc>
        <w:tc>
          <w:tcPr>
            <w:tcW w:w="709"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+6,4</w:t>
            </w:r>
          </w:p>
        </w:tc>
        <w:tc>
          <w:tcPr>
            <w:tcW w:w="709" w:type="dxa"/>
            <w:shd w:val="clear" w:color="auto" w:fill="auto"/>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+5,2</w:t>
            </w:r>
          </w:p>
        </w:tc>
        <w:tc>
          <w:tcPr>
            <w:tcW w:w="567"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+3,8</w:t>
            </w:r>
          </w:p>
        </w:tc>
        <w:tc>
          <w:tcPr>
            <w:tcW w:w="496" w:type="dxa"/>
            <w:shd w:val="clear" w:color="auto" w:fill="auto"/>
            <w:vAlign w:val="center"/>
          </w:tcPr>
          <w:p w:rsidR="00BD7BA4" w:rsidRPr="00DA121A" w:rsidRDefault="00BD7BA4" w:rsidP="00BD7BA4">
            <w:pPr>
              <w:spacing w:before="40" w:after="20"/>
              <w:ind w:left="-68" w:right="57"/>
              <w:jc w:val="right"/>
              <w:rPr>
                <w:rFonts w:ascii="Arial Narrow" w:hAnsi="Arial Narrow" w:cs="Arial"/>
                <w:sz w:val="18"/>
                <w:szCs w:val="18"/>
              </w:rPr>
            </w:pPr>
            <w:r w:rsidRPr="00DA121A">
              <w:rPr>
                <w:rFonts w:ascii="Arial Narrow" w:hAnsi="Arial Narrow" w:cs="Arial"/>
                <w:sz w:val="18"/>
                <w:szCs w:val="18"/>
              </w:rPr>
              <w:t>+5,5</w:t>
            </w:r>
          </w:p>
        </w:tc>
        <w:tc>
          <w:tcPr>
            <w:tcW w:w="845" w:type="dxa"/>
            <w:shd w:val="clear" w:color="auto" w:fill="D9D9D9" w:themeFill="background1" w:themeFillShade="D9"/>
            <w:vAlign w:val="center"/>
          </w:tcPr>
          <w:p w:rsidR="00BD7BA4" w:rsidRPr="003A2151" w:rsidRDefault="00BD7BA4" w:rsidP="00BD7BA4">
            <w:pPr>
              <w:widowControl/>
              <w:overflowPunct/>
              <w:autoSpaceDE/>
              <w:autoSpaceDN/>
              <w:adjustRightInd/>
              <w:spacing w:before="40" w:after="20"/>
              <w:ind w:left="-68" w:right="57"/>
              <w:jc w:val="right"/>
              <w:rPr>
                <w:rFonts w:ascii="Arial Narrow" w:hAnsi="Arial Narrow" w:cs="Arial"/>
                <w:sz w:val="18"/>
                <w:szCs w:val="18"/>
              </w:rPr>
            </w:pPr>
            <w:r w:rsidRPr="003A2151">
              <w:rPr>
                <w:rFonts w:ascii="Arial Narrow" w:hAnsi="Arial Narrow" w:cs="Arial"/>
                <w:sz w:val="18"/>
                <w:szCs w:val="18"/>
              </w:rPr>
              <w:t>+3,7</w:t>
            </w:r>
          </w:p>
        </w:tc>
        <w:tc>
          <w:tcPr>
            <w:tcW w:w="825" w:type="dxa"/>
            <w:shd w:val="clear" w:color="auto" w:fill="auto"/>
            <w:vAlign w:val="center"/>
          </w:tcPr>
          <w:p w:rsidR="00BD7BA4" w:rsidRPr="003A2151" w:rsidRDefault="00BD7BA4" w:rsidP="00BD7BA4">
            <w:pPr>
              <w:spacing w:before="40" w:after="20"/>
              <w:ind w:left="-68" w:right="57"/>
              <w:jc w:val="right"/>
              <w:rPr>
                <w:rFonts w:ascii="Arial Narrow" w:hAnsi="Arial Narrow" w:cs="Arial"/>
                <w:sz w:val="18"/>
                <w:szCs w:val="18"/>
              </w:rPr>
            </w:pPr>
            <w:r w:rsidRPr="003A2151">
              <w:rPr>
                <w:rFonts w:ascii="Arial Narrow" w:hAnsi="Arial Narrow" w:cs="Arial"/>
                <w:sz w:val="18"/>
                <w:szCs w:val="18"/>
              </w:rPr>
              <w:t>+1,8</w:t>
            </w:r>
          </w:p>
        </w:tc>
        <w:tc>
          <w:tcPr>
            <w:tcW w:w="851" w:type="dxa"/>
            <w:shd w:val="clear" w:color="auto" w:fill="D9D9D9" w:themeFill="background1" w:themeFillShade="D9"/>
            <w:vAlign w:val="center"/>
          </w:tcPr>
          <w:p w:rsidR="00BD7BA4" w:rsidRPr="00BD7BA4" w:rsidRDefault="00BD7BA4" w:rsidP="00BD7BA4">
            <w:pPr>
              <w:spacing w:before="40" w:after="20"/>
              <w:ind w:left="-68" w:right="57"/>
              <w:jc w:val="right"/>
              <w:rPr>
                <w:rFonts w:ascii="Arial Narrow" w:hAnsi="Arial Narrow" w:cs="Arial"/>
                <w:sz w:val="18"/>
                <w:szCs w:val="18"/>
              </w:rPr>
            </w:pPr>
            <w:r w:rsidRPr="00BD7BA4">
              <w:rPr>
                <w:rFonts w:ascii="Arial Narrow" w:hAnsi="Arial Narrow" w:cs="Arial"/>
                <w:sz w:val="18"/>
                <w:szCs w:val="18"/>
              </w:rPr>
              <w:t>+1,4</w:t>
            </w:r>
          </w:p>
        </w:tc>
      </w:tr>
      <w:tr w:rsidR="00BD7BA4" w:rsidRPr="00C7667B" w:rsidTr="00186274">
        <w:trPr>
          <w:trHeight w:val="255"/>
        </w:trPr>
        <w:tc>
          <w:tcPr>
            <w:tcW w:w="4183" w:type="dxa"/>
            <w:shd w:val="clear" w:color="auto" w:fill="auto"/>
            <w:vAlign w:val="center"/>
          </w:tcPr>
          <w:p w:rsidR="00BD7BA4" w:rsidRPr="00101BDE" w:rsidRDefault="00BD7BA4" w:rsidP="00BD7BA4">
            <w:pPr>
              <w:spacing w:before="40" w:after="20"/>
              <w:ind w:left="-68"/>
              <w:rPr>
                <w:rFonts w:ascii="Arial Narrow" w:hAnsi="Arial Narrow" w:cs="Arial"/>
                <w:bCs/>
                <w:sz w:val="18"/>
                <w:szCs w:val="18"/>
              </w:rPr>
            </w:pPr>
            <w:r w:rsidRPr="00101BDE">
              <w:rPr>
                <w:rFonts w:ascii="Arial Narrow" w:hAnsi="Arial Narrow" w:cs="Arial"/>
                <w:bCs/>
                <w:sz w:val="18"/>
                <w:szCs w:val="18"/>
              </w:rPr>
              <w:t>Indice generale al netto dell’energia, degli alimentari (incluse bevande alcoliche) e tabacchi</w:t>
            </w:r>
          </w:p>
        </w:tc>
        <w:tc>
          <w:tcPr>
            <w:tcW w:w="567" w:type="dxa"/>
            <w:shd w:val="clear" w:color="auto" w:fill="D9D9D9" w:themeFill="background1" w:themeFillShade="D9"/>
            <w:vAlign w:val="center"/>
          </w:tcPr>
          <w:p w:rsidR="00BD7BA4" w:rsidRPr="00A376E5" w:rsidRDefault="00BD7BA4" w:rsidP="00BD7BA4">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3,3</w:t>
            </w:r>
          </w:p>
        </w:tc>
        <w:tc>
          <w:tcPr>
            <w:tcW w:w="567" w:type="dxa"/>
            <w:shd w:val="clear" w:color="auto" w:fill="auto"/>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+5,3</w:t>
            </w:r>
          </w:p>
        </w:tc>
        <w:tc>
          <w:tcPr>
            <w:tcW w:w="709"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+5,2</w:t>
            </w:r>
          </w:p>
        </w:tc>
        <w:tc>
          <w:tcPr>
            <w:tcW w:w="709" w:type="dxa"/>
            <w:shd w:val="clear" w:color="auto" w:fill="auto"/>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+4,3</w:t>
            </w:r>
          </w:p>
        </w:tc>
        <w:tc>
          <w:tcPr>
            <w:tcW w:w="567"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+3,5</w:t>
            </w:r>
          </w:p>
        </w:tc>
        <w:tc>
          <w:tcPr>
            <w:tcW w:w="496" w:type="dxa"/>
            <w:shd w:val="clear" w:color="auto" w:fill="auto"/>
            <w:vAlign w:val="center"/>
          </w:tcPr>
          <w:p w:rsidR="00BD7BA4" w:rsidRPr="00DA121A" w:rsidRDefault="00BD7BA4" w:rsidP="00BD7BA4">
            <w:pPr>
              <w:spacing w:before="40" w:after="20"/>
              <w:ind w:left="-68" w:right="57"/>
              <w:jc w:val="right"/>
              <w:rPr>
                <w:rFonts w:ascii="Arial Narrow" w:hAnsi="Arial Narrow" w:cs="Arial"/>
                <w:sz w:val="18"/>
                <w:szCs w:val="18"/>
              </w:rPr>
            </w:pPr>
            <w:r w:rsidRPr="00DA121A">
              <w:rPr>
                <w:rFonts w:ascii="Arial Narrow" w:hAnsi="Arial Narrow" w:cs="Arial"/>
                <w:sz w:val="18"/>
                <w:szCs w:val="18"/>
              </w:rPr>
              <w:t>+4,5</w:t>
            </w:r>
          </w:p>
        </w:tc>
        <w:tc>
          <w:tcPr>
            <w:tcW w:w="845" w:type="dxa"/>
            <w:shd w:val="clear" w:color="auto" w:fill="D9D9D9" w:themeFill="background1" w:themeFillShade="D9"/>
            <w:vAlign w:val="center"/>
          </w:tcPr>
          <w:p w:rsidR="00BD7BA4" w:rsidRPr="003A2151" w:rsidRDefault="00BD7BA4" w:rsidP="00BD7BA4">
            <w:pPr>
              <w:widowControl/>
              <w:overflowPunct/>
              <w:autoSpaceDE/>
              <w:autoSpaceDN/>
              <w:adjustRightInd/>
              <w:spacing w:before="40" w:after="20"/>
              <w:ind w:left="-68" w:right="57"/>
              <w:jc w:val="right"/>
              <w:rPr>
                <w:rFonts w:ascii="Arial Narrow" w:hAnsi="Arial Narrow" w:cs="Arial"/>
                <w:sz w:val="18"/>
                <w:szCs w:val="18"/>
              </w:rPr>
            </w:pPr>
            <w:r w:rsidRPr="003A2151">
              <w:rPr>
                <w:rFonts w:ascii="Arial Narrow" w:hAnsi="Arial Narrow" w:cs="Arial"/>
                <w:sz w:val="18"/>
                <w:szCs w:val="18"/>
              </w:rPr>
              <w:t>+3,1</w:t>
            </w:r>
          </w:p>
        </w:tc>
        <w:tc>
          <w:tcPr>
            <w:tcW w:w="825" w:type="dxa"/>
            <w:shd w:val="clear" w:color="auto" w:fill="auto"/>
            <w:vAlign w:val="center"/>
          </w:tcPr>
          <w:p w:rsidR="00BD7BA4" w:rsidRPr="003A2151" w:rsidRDefault="00BD7BA4" w:rsidP="00BD7BA4">
            <w:pPr>
              <w:spacing w:before="40" w:after="20"/>
              <w:ind w:left="-68" w:right="57"/>
              <w:jc w:val="right"/>
              <w:rPr>
                <w:rFonts w:ascii="Arial Narrow" w:hAnsi="Arial Narrow" w:cs="Arial"/>
                <w:sz w:val="18"/>
                <w:szCs w:val="18"/>
              </w:rPr>
            </w:pPr>
            <w:r w:rsidRPr="003A2151">
              <w:rPr>
                <w:rFonts w:ascii="Arial Narrow" w:hAnsi="Arial Narrow" w:cs="Arial"/>
                <w:sz w:val="18"/>
                <w:szCs w:val="18"/>
              </w:rPr>
              <w:t>+1,4</w:t>
            </w:r>
          </w:p>
        </w:tc>
        <w:tc>
          <w:tcPr>
            <w:tcW w:w="851" w:type="dxa"/>
            <w:shd w:val="clear" w:color="auto" w:fill="D9D9D9" w:themeFill="background1" w:themeFillShade="D9"/>
            <w:vAlign w:val="center"/>
          </w:tcPr>
          <w:p w:rsidR="00BD7BA4" w:rsidRPr="00BD7BA4" w:rsidRDefault="00BD7BA4" w:rsidP="00BD7BA4">
            <w:pPr>
              <w:spacing w:before="40" w:after="20"/>
              <w:ind w:left="-68" w:right="57"/>
              <w:jc w:val="right"/>
              <w:rPr>
                <w:rFonts w:ascii="Arial Narrow" w:hAnsi="Arial Narrow" w:cs="Arial"/>
                <w:sz w:val="18"/>
                <w:szCs w:val="18"/>
              </w:rPr>
            </w:pPr>
            <w:r w:rsidRPr="00BD7BA4">
              <w:rPr>
                <w:rFonts w:ascii="Arial Narrow" w:hAnsi="Arial Narrow" w:cs="Arial"/>
                <w:sz w:val="18"/>
                <w:szCs w:val="18"/>
              </w:rPr>
              <w:t>+1,5</w:t>
            </w:r>
          </w:p>
        </w:tc>
      </w:tr>
      <w:tr w:rsidR="00BD7BA4" w:rsidRPr="00C7667B" w:rsidTr="00186274">
        <w:trPr>
          <w:trHeight w:val="255"/>
        </w:trPr>
        <w:tc>
          <w:tcPr>
            <w:tcW w:w="4183" w:type="dxa"/>
            <w:shd w:val="clear" w:color="auto" w:fill="auto"/>
            <w:vAlign w:val="center"/>
          </w:tcPr>
          <w:p w:rsidR="00BD7BA4" w:rsidRPr="00101BDE" w:rsidRDefault="00BD7BA4" w:rsidP="00BD7BA4">
            <w:pPr>
              <w:spacing w:before="40" w:after="20"/>
              <w:ind w:left="-68"/>
              <w:rPr>
                <w:rFonts w:ascii="Arial Narrow" w:hAnsi="Arial Narrow" w:cs="Arial"/>
                <w:bCs/>
                <w:sz w:val="18"/>
                <w:szCs w:val="18"/>
              </w:rPr>
            </w:pPr>
            <w:r w:rsidRPr="00101BDE">
              <w:rPr>
                <w:rFonts w:ascii="Arial Narrow" w:hAnsi="Arial Narrow" w:cs="Arial"/>
                <w:bCs/>
                <w:sz w:val="18"/>
                <w:szCs w:val="18"/>
              </w:rPr>
              <w:t>Indice generale al netto dell’energia</w:t>
            </w:r>
          </w:p>
        </w:tc>
        <w:tc>
          <w:tcPr>
            <w:tcW w:w="567" w:type="dxa"/>
            <w:shd w:val="clear" w:color="auto" w:fill="D9D9D9" w:themeFill="background1" w:themeFillShade="D9"/>
            <w:vAlign w:val="center"/>
          </w:tcPr>
          <w:p w:rsidR="00BD7BA4" w:rsidRPr="00A376E5" w:rsidRDefault="00BD7BA4" w:rsidP="00BD7BA4">
            <w:pPr>
              <w:spacing w:before="40" w:after="20"/>
              <w:ind w:left="-68" w:right="57"/>
              <w:jc w:val="right"/>
              <w:rPr>
                <w:rFonts w:ascii="Arial Narrow" w:hAnsi="Arial Narrow" w:cs="Arial"/>
                <w:sz w:val="18"/>
                <w:szCs w:val="18"/>
              </w:rPr>
            </w:pPr>
            <w:r>
              <w:rPr>
                <w:rFonts w:ascii="Arial Narrow" w:hAnsi="Arial Narrow" w:cs="Arial"/>
                <w:sz w:val="18"/>
                <w:szCs w:val="18"/>
              </w:rPr>
              <w:t>+</w:t>
            </w:r>
            <w:r w:rsidRPr="00A376E5">
              <w:rPr>
                <w:rFonts w:ascii="Arial Narrow" w:hAnsi="Arial Narrow" w:cs="Arial"/>
                <w:sz w:val="18"/>
                <w:szCs w:val="18"/>
              </w:rPr>
              <w:t>4,5</w:t>
            </w:r>
          </w:p>
        </w:tc>
        <w:tc>
          <w:tcPr>
            <w:tcW w:w="567" w:type="dxa"/>
            <w:shd w:val="clear" w:color="auto" w:fill="auto"/>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+6,9</w:t>
            </w:r>
          </w:p>
        </w:tc>
        <w:tc>
          <w:tcPr>
            <w:tcW w:w="709"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+6,5</w:t>
            </w:r>
          </w:p>
        </w:tc>
        <w:tc>
          <w:tcPr>
            <w:tcW w:w="709" w:type="dxa"/>
            <w:shd w:val="clear" w:color="auto" w:fill="auto"/>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+5,5</w:t>
            </w:r>
          </w:p>
        </w:tc>
        <w:tc>
          <w:tcPr>
            <w:tcW w:w="567" w:type="dxa"/>
            <w:shd w:val="clear" w:color="auto" w:fill="D9D9D9" w:themeFill="background1" w:themeFillShade="D9"/>
            <w:vAlign w:val="center"/>
          </w:tcPr>
          <w:p w:rsidR="00BD7BA4" w:rsidRPr="008D41BC" w:rsidRDefault="00BD7BA4" w:rsidP="00BD7BA4">
            <w:pPr>
              <w:spacing w:before="40" w:after="20"/>
              <w:ind w:left="-68" w:right="57"/>
              <w:jc w:val="right"/>
              <w:rPr>
                <w:rFonts w:ascii="Arial Narrow" w:hAnsi="Arial Narrow" w:cs="Arial"/>
                <w:sz w:val="18"/>
                <w:szCs w:val="18"/>
              </w:rPr>
            </w:pPr>
            <w:r w:rsidRPr="008D41BC">
              <w:rPr>
                <w:rFonts w:ascii="Arial Narrow" w:hAnsi="Arial Narrow" w:cs="Arial"/>
                <w:sz w:val="18"/>
                <w:szCs w:val="18"/>
              </w:rPr>
              <w:t>+3,9</w:t>
            </w:r>
          </w:p>
        </w:tc>
        <w:tc>
          <w:tcPr>
            <w:tcW w:w="496" w:type="dxa"/>
            <w:shd w:val="clear" w:color="auto" w:fill="auto"/>
            <w:vAlign w:val="center"/>
          </w:tcPr>
          <w:p w:rsidR="00BD7BA4" w:rsidRPr="00DA121A" w:rsidRDefault="00BD7BA4" w:rsidP="00BD7BA4">
            <w:pPr>
              <w:spacing w:before="40" w:after="20"/>
              <w:ind w:left="-68" w:right="57"/>
              <w:jc w:val="right"/>
              <w:rPr>
                <w:rFonts w:ascii="Arial Narrow" w:hAnsi="Arial Narrow" w:cs="Arial"/>
                <w:sz w:val="18"/>
                <w:szCs w:val="18"/>
              </w:rPr>
            </w:pPr>
            <w:r w:rsidRPr="00DA121A">
              <w:rPr>
                <w:rFonts w:ascii="Arial Narrow" w:hAnsi="Arial Narrow" w:cs="Arial"/>
                <w:sz w:val="18"/>
                <w:szCs w:val="18"/>
              </w:rPr>
              <w:t>+5,7</w:t>
            </w:r>
          </w:p>
        </w:tc>
        <w:tc>
          <w:tcPr>
            <w:tcW w:w="845" w:type="dxa"/>
            <w:shd w:val="clear" w:color="auto" w:fill="D9D9D9" w:themeFill="background1" w:themeFillShade="D9"/>
            <w:vAlign w:val="center"/>
          </w:tcPr>
          <w:p w:rsidR="00BD7BA4" w:rsidRPr="003A2151" w:rsidRDefault="00BD7BA4" w:rsidP="00BD7BA4">
            <w:pPr>
              <w:widowControl/>
              <w:overflowPunct/>
              <w:autoSpaceDE/>
              <w:autoSpaceDN/>
              <w:adjustRightInd/>
              <w:spacing w:before="40" w:after="20"/>
              <w:ind w:left="-68" w:right="57"/>
              <w:jc w:val="right"/>
              <w:rPr>
                <w:rFonts w:ascii="Arial Narrow" w:hAnsi="Arial Narrow" w:cs="Arial"/>
                <w:sz w:val="18"/>
                <w:szCs w:val="18"/>
              </w:rPr>
            </w:pPr>
            <w:r w:rsidRPr="003A2151">
              <w:rPr>
                <w:rFonts w:ascii="Arial Narrow" w:hAnsi="Arial Narrow" w:cs="Arial"/>
                <w:sz w:val="18"/>
                <w:szCs w:val="18"/>
              </w:rPr>
              <w:t>+3,6</w:t>
            </w:r>
          </w:p>
        </w:tc>
        <w:tc>
          <w:tcPr>
            <w:tcW w:w="825" w:type="dxa"/>
            <w:shd w:val="clear" w:color="auto" w:fill="auto"/>
            <w:vAlign w:val="center"/>
          </w:tcPr>
          <w:p w:rsidR="00BD7BA4" w:rsidRPr="003A2151" w:rsidRDefault="00BD7BA4" w:rsidP="00BD7BA4">
            <w:pPr>
              <w:spacing w:before="40" w:after="20"/>
              <w:ind w:left="-68" w:right="57"/>
              <w:jc w:val="right"/>
              <w:rPr>
                <w:rFonts w:ascii="Arial Narrow" w:hAnsi="Arial Narrow" w:cs="Arial"/>
                <w:sz w:val="18"/>
                <w:szCs w:val="18"/>
              </w:rPr>
            </w:pPr>
            <w:r w:rsidRPr="003A2151">
              <w:rPr>
                <w:rFonts w:ascii="Arial Narrow" w:hAnsi="Arial Narrow" w:cs="Arial"/>
                <w:sz w:val="18"/>
                <w:szCs w:val="18"/>
              </w:rPr>
              <w:t>+2,0</w:t>
            </w:r>
          </w:p>
        </w:tc>
        <w:tc>
          <w:tcPr>
            <w:tcW w:w="851" w:type="dxa"/>
            <w:shd w:val="clear" w:color="auto" w:fill="D9D9D9" w:themeFill="background1" w:themeFillShade="D9"/>
            <w:vAlign w:val="center"/>
          </w:tcPr>
          <w:p w:rsidR="00BD7BA4" w:rsidRPr="00BD7BA4" w:rsidRDefault="00BD7BA4" w:rsidP="00BD7BA4">
            <w:pPr>
              <w:spacing w:before="40" w:after="20"/>
              <w:ind w:left="-68" w:right="57"/>
              <w:jc w:val="right"/>
              <w:rPr>
                <w:rFonts w:ascii="Arial Narrow" w:hAnsi="Arial Narrow" w:cs="Arial"/>
                <w:sz w:val="18"/>
                <w:szCs w:val="18"/>
              </w:rPr>
            </w:pPr>
            <w:r w:rsidRPr="00BD7BA4">
              <w:rPr>
                <w:rFonts w:ascii="Arial Narrow" w:hAnsi="Arial Narrow" w:cs="Arial"/>
                <w:sz w:val="18"/>
                <w:szCs w:val="18"/>
              </w:rPr>
              <w:t>+1,5</w:t>
            </w:r>
          </w:p>
        </w:tc>
      </w:tr>
    </w:tbl>
    <w:p w:rsidR="007B5179" w:rsidRPr="006C721A" w:rsidRDefault="007B5179" w:rsidP="007B5179">
      <w:pPr>
        <w:tabs>
          <w:tab w:val="left" w:pos="2940"/>
        </w:tabs>
        <w:spacing w:before="0" w:after="120"/>
        <w:jc w:val="both"/>
        <w:rPr>
          <w:rFonts w:ascii="Arial" w:hAnsi="Arial" w:cs="Arial"/>
          <w:iCs/>
          <w:sz w:val="21"/>
          <w:szCs w:val="21"/>
        </w:rPr>
      </w:pPr>
    </w:p>
    <w:p w:rsidR="007B5179" w:rsidRDefault="007B5179" w:rsidP="009674B3">
      <w:pPr>
        <w:pStyle w:val="Corpotesto"/>
        <w:spacing w:before="120" w:after="60" w:line="240" w:lineRule="auto"/>
        <w:jc w:val="both"/>
        <w:rPr>
          <w:rFonts w:ascii="Arial" w:hAnsi="Arial" w:cs="Arial"/>
          <w:iCs/>
          <w:sz w:val="21"/>
          <w:szCs w:val="21"/>
        </w:rPr>
      </w:pPr>
    </w:p>
    <w:p w:rsidR="007B5179" w:rsidRDefault="007B5179" w:rsidP="009674B3">
      <w:pPr>
        <w:pStyle w:val="Corpotesto"/>
        <w:spacing w:before="120" w:after="60" w:line="240" w:lineRule="auto"/>
        <w:jc w:val="both"/>
        <w:rPr>
          <w:rFonts w:ascii="Arial" w:hAnsi="Arial" w:cs="Arial"/>
          <w:iCs/>
          <w:sz w:val="21"/>
          <w:szCs w:val="21"/>
        </w:rPr>
      </w:pPr>
    </w:p>
    <w:p w:rsidR="007B5179" w:rsidRPr="00C8504B" w:rsidRDefault="007B5179" w:rsidP="009674B3">
      <w:pPr>
        <w:pStyle w:val="Corpotesto"/>
        <w:spacing w:before="120" w:after="60" w:line="240" w:lineRule="auto"/>
        <w:jc w:val="both"/>
        <w:rPr>
          <w:rFonts w:ascii="Arial" w:hAnsi="Arial" w:cs="Arial"/>
          <w:iCs/>
          <w:sz w:val="21"/>
          <w:szCs w:val="21"/>
        </w:rPr>
        <w:sectPr w:rsidR="007B5179" w:rsidRPr="00C8504B" w:rsidSect="000161B7">
          <w:headerReference w:type="default" r:id="rId38"/>
          <w:pgSz w:w="11907" w:h="16840" w:code="9"/>
          <w:pgMar w:top="1537" w:right="851" w:bottom="680" w:left="851" w:header="567" w:footer="567" w:gutter="0"/>
          <w:cols w:space="720"/>
          <w:noEndnote/>
          <w:docGrid w:linePitch="272"/>
        </w:sectPr>
      </w:pPr>
    </w:p>
    <w:p w:rsidR="0061421C" w:rsidRPr="0061421C" w:rsidRDefault="0061421C" w:rsidP="0061421C">
      <w:pPr>
        <w:spacing w:after="120"/>
        <w:jc w:val="both"/>
        <w:rPr>
          <w:rFonts w:ascii="Arial" w:hAnsi="Arial" w:cs="Arial"/>
          <w:iCs/>
          <w:sz w:val="21"/>
          <w:szCs w:val="21"/>
        </w:rPr>
      </w:pPr>
    </w:p>
    <w:p w:rsidR="00A70458" w:rsidRPr="00C8504B" w:rsidRDefault="00A70458" w:rsidP="00A70458">
      <w:pPr>
        <w:pStyle w:val="001TitoloBolocco"/>
        <w:spacing w:after="120" w:line="240" w:lineRule="auto"/>
      </w:pPr>
      <w:r w:rsidRPr="006F1916">
        <w:t>La misura dell’inflazione per classi di spesa delle famiglie</w:t>
      </w:r>
      <w:r w:rsidRPr="00C8504B">
        <w:t xml:space="preserve"> </w:t>
      </w:r>
    </w:p>
    <w:p w:rsidR="00A70458" w:rsidRDefault="00A70458" w:rsidP="00A70458">
      <w:pPr>
        <w:spacing w:after="120"/>
        <w:jc w:val="both"/>
        <w:rPr>
          <w:rFonts w:ascii="Arial" w:hAnsi="Arial" w:cs="Arial"/>
          <w:iCs/>
          <w:sz w:val="21"/>
          <w:szCs w:val="21"/>
        </w:rPr>
      </w:pPr>
      <w:r>
        <w:rPr>
          <w:rFonts w:ascii="Arial" w:hAnsi="Arial" w:cs="Arial"/>
          <w:iCs/>
          <w:sz w:val="21"/>
          <w:szCs w:val="21"/>
        </w:rPr>
        <w:t>Allo scopo di valutare i diversi effetti dell’inflazione</w:t>
      </w:r>
      <w:r w:rsidRPr="00AA5C24">
        <w:rPr>
          <w:rFonts w:ascii="Arial" w:hAnsi="Arial" w:cs="Arial"/>
          <w:iCs/>
          <w:sz w:val="21"/>
          <w:szCs w:val="21"/>
        </w:rPr>
        <w:t xml:space="preserve">, misurata dall’IPCA, </w:t>
      </w:r>
      <w:r>
        <w:rPr>
          <w:rFonts w:ascii="Arial" w:hAnsi="Arial" w:cs="Arial"/>
          <w:iCs/>
          <w:sz w:val="21"/>
          <w:szCs w:val="21"/>
        </w:rPr>
        <w:t>sulle famiglie distinte per livelli di consumo, tutte le famiglie sono ordinate in base alla loro spesa equivalente (per tener conto della numerosità di ciascun nucleo familiare e permettere confronti diretti tra i livelli di spesa di famiglie di ampiezza diversa) e quindi suddivise in cinque classi (quinti) di pari numero: nel primo quinto (o gruppo) sono presenti le famiglie con la spesa mensile equivalente più bassa (generalmente le meno abbienti) e nell’ultimo quinto quelle con la spesa mensile più alta.</w:t>
      </w:r>
    </w:p>
    <w:p w:rsidR="00A70458" w:rsidRPr="00434704" w:rsidRDefault="00A70458" w:rsidP="00A70458">
      <w:pPr>
        <w:widowControl/>
        <w:tabs>
          <w:tab w:val="left" w:pos="0"/>
          <w:tab w:val="left" w:pos="6300"/>
        </w:tabs>
        <w:overflowPunct/>
        <w:autoSpaceDE/>
        <w:autoSpaceDN/>
        <w:adjustRightInd/>
        <w:spacing w:before="0" w:after="120"/>
        <w:jc w:val="both"/>
        <w:rPr>
          <w:rFonts w:ascii="Arial" w:hAnsi="Arial" w:cs="Arial"/>
          <w:color w:val="000000"/>
          <w:kern w:val="0"/>
          <w:sz w:val="21"/>
          <w:szCs w:val="21"/>
        </w:rPr>
      </w:pPr>
      <w:r>
        <w:rPr>
          <w:rFonts w:ascii="Arial" w:hAnsi="Arial" w:cs="Arial"/>
          <w:color w:val="000000"/>
          <w:kern w:val="0"/>
          <w:sz w:val="21"/>
          <w:szCs w:val="21"/>
        </w:rPr>
        <w:t>Il marcato</w:t>
      </w:r>
      <w:r w:rsidRPr="00BD70E3">
        <w:rPr>
          <w:rFonts w:ascii="Arial" w:hAnsi="Arial" w:cs="Arial"/>
          <w:color w:val="000000"/>
          <w:kern w:val="0"/>
          <w:sz w:val="21"/>
          <w:szCs w:val="21"/>
        </w:rPr>
        <w:t xml:space="preserve"> </w:t>
      </w:r>
      <w:r>
        <w:rPr>
          <w:rFonts w:ascii="Arial" w:hAnsi="Arial" w:cs="Arial"/>
          <w:color w:val="000000"/>
          <w:kern w:val="0"/>
          <w:sz w:val="21"/>
          <w:szCs w:val="21"/>
        </w:rPr>
        <w:t>rallentamento</w:t>
      </w:r>
      <w:r w:rsidRPr="00BD70E3">
        <w:rPr>
          <w:rFonts w:ascii="Arial" w:hAnsi="Arial" w:cs="Arial"/>
          <w:color w:val="000000"/>
          <w:kern w:val="0"/>
          <w:sz w:val="21"/>
          <w:szCs w:val="21"/>
        </w:rPr>
        <w:t xml:space="preserve"> dell’inflazione generale</w:t>
      </w:r>
      <w:r>
        <w:rPr>
          <w:rFonts w:ascii="Arial" w:hAnsi="Arial" w:cs="Arial"/>
          <w:color w:val="000000"/>
          <w:kern w:val="0"/>
          <w:sz w:val="21"/>
          <w:szCs w:val="21"/>
        </w:rPr>
        <w:t>,</w:t>
      </w:r>
      <w:r w:rsidRPr="00BD70E3">
        <w:rPr>
          <w:rFonts w:ascii="Arial" w:hAnsi="Arial" w:cs="Arial"/>
          <w:color w:val="000000"/>
          <w:kern w:val="0"/>
          <w:sz w:val="21"/>
          <w:szCs w:val="21"/>
        </w:rPr>
        <w:t xml:space="preserve"> che ha caratterizzato tutto il 202</w:t>
      </w:r>
      <w:r>
        <w:rPr>
          <w:rFonts w:ascii="Arial" w:hAnsi="Arial" w:cs="Arial"/>
          <w:color w:val="000000"/>
          <w:kern w:val="0"/>
          <w:sz w:val="21"/>
          <w:szCs w:val="21"/>
        </w:rPr>
        <w:t>3, è determinato</w:t>
      </w:r>
      <w:r w:rsidRPr="00BD70E3">
        <w:rPr>
          <w:rFonts w:ascii="Arial" w:hAnsi="Arial" w:cs="Arial"/>
          <w:color w:val="000000"/>
          <w:kern w:val="0"/>
          <w:sz w:val="21"/>
          <w:szCs w:val="21"/>
        </w:rPr>
        <w:t xml:space="preserve"> quasi interamente dalla dinamica dei prezzi dei beni e in particolare da quella dei Beni energetici</w:t>
      </w:r>
      <w:r>
        <w:rPr>
          <w:rFonts w:ascii="Arial" w:hAnsi="Arial" w:cs="Arial"/>
          <w:color w:val="000000"/>
          <w:kern w:val="0"/>
          <w:sz w:val="21"/>
          <w:szCs w:val="21"/>
        </w:rPr>
        <w:t xml:space="preserve">, mentre </w:t>
      </w:r>
      <w:r w:rsidRPr="00BD70E3">
        <w:rPr>
          <w:rFonts w:ascii="Arial" w:hAnsi="Arial" w:cs="Arial"/>
          <w:color w:val="000000"/>
          <w:kern w:val="0"/>
          <w:sz w:val="21"/>
          <w:szCs w:val="21"/>
        </w:rPr>
        <w:t xml:space="preserve">i prezzi dei servizi </w:t>
      </w:r>
      <w:r>
        <w:rPr>
          <w:rFonts w:ascii="Arial" w:hAnsi="Arial" w:cs="Arial"/>
          <w:color w:val="000000"/>
          <w:kern w:val="0"/>
          <w:sz w:val="21"/>
          <w:szCs w:val="21"/>
        </w:rPr>
        <w:t>risultano in moderata accelerazione</w:t>
      </w:r>
      <w:r w:rsidRPr="00BD70E3">
        <w:rPr>
          <w:rFonts w:ascii="Arial" w:hAnsi="Arial" w:cs="Arial"/>
          <w:color w:val="000000"/>
          <w:kern w:val="0"/>
          <w:sz w:val="21"/>
          <w:szCs w:val="21"/>
        </w:rPr>
        <w:t xml:space="preserve">. </w:t>
      </w:r>
      <w:r w:rsidRPr="0004107D">
        <w:rPr>
          <w:rFonts w:ascii="Arial" w:hAnsi="Arial" w:cs="Arial"/>
          <w:color w:val="000000"/>
          <w:kern w:val="0"/>
          <w:sz w:val="21"/>
          <w:szCs w:val="21"/>
        </w:rPr>
        <w:t>Poiché i beni incidono in misura maggiore sulle spese delle famiglie meno abbienti e viceversa i servizi pesano maggiormente sul bilancio di quelle più agiate,</w:t>
      </w:r>
      <w:r>
        <w:rPr>
          <w:rFonts w:ascii="Arial" w:hAnsi="Arial" w:cs="Arial"/>
          <w:color w:val="000000"/>
          <w:kern w:val="0"/>
          <w:sz w:val="21"/>
          <w:szCs w:val="21"/>
        </w:rPr>
        <w:t xml:space="preserve"> il rallentamento dell’</w:t>
      </w:r>
      <w:r w:rsidRPr="0004107D">
        <w:rPr>
          <w:rFonts w:ascii="Arial" w:hAnsi="Arial" w:cs="Arial"/>
          <w:color w:val="000000"/>
          <w:kern w:val="0"/>
          <w:sz w:val="21"/>
          <w:szCs w:val="21"/>
        </w:rPr>
        <w:t xml:space="preserve">inflazione, che riguarda tutti i gruppi di famiglie, </w:t>
      </w:r>
      <w:r>
        <w:rPr>
          <w:rFonts w:ascii="Arial" w:hAnsi="Arial" w:cs="Arial"/>
          <w:color w:val="000000"/>
          <w:kern w:val="0"/>
          <w:sz w:val="21"/>
          <w:szCs w:val="21"/>
        </w:rPr>
        <w:t xml:space="preserve">è più ampio </w:t>
      </w:r>
      <w:r w:rsidRPr="0004107D">
        <w:rPr>
          <w:rFonts w:ascii="Arial" w:hAnsi="Arial" w:cs="Arial"/>
          <w:color w:val="000000"/>
          <w:kern w:val="0"/>
          <w:sz w:val="21"/>
          <w:szCs w:val="21"/>
        </w:rPr>
        <w:t xml:space="preserve">per le famiglie del primo gruppo rispetto a quelle del quinto gruppo. In particolare, per le famiglie del primo </w:t>
      </w:r>
      <w:r>
        <w:rPr>
          <w:rFonts w:ascii="Arial" w:hAnsi="Arial" w:cs="Arial"/>
          <w:color w:val="000000"/>
          <w:kern w:val="0"/>
          <w:sz w:val="21"/>
          <w:szCs w:val="21"/>
        </w:rPr>
        <w:t>quinto, l’inflazione in media d’</w:t>
      </w:r>
      <w:r w:rsidRPr="0004107D">
        <w:rPr>
          <w:rFonts w:ascii="Arial" w:hAnsi="Arial" w:cs="Arial"/>
          <w:color w:val="000000"/>
          <w:kern w:val="0"/>
          <w:sz w:val="21"/>
          <w:szCs w:val="21"/>
        </w:rPr>
        <w:t xml:space="preserve">anno </w:t>
      </w:r>
      <w:r>
        <w:rPr>
          <w:rFonts w:ascii="Arial" w:hAnsi="Arial" w:cs="Arial"/>
          <w:color w:val="000000"/>
          <w:kern w:val="0"/>
          <w:sz w:val="21"/>
          <w:szCs w:val="21"/>
        </w:rPr>
        <w:t>rallenta di 5,6 punti percentuali</w:t>
      </w:r>
      <w:r w:rsidRPr="0004107D">
        <w:rPr>
          <w:rFonts w:ascii="Arial" w:hAnsi="Arial" w:cs="Arial"/>
          <w:color w:val="000000"/>
          <w:kern w:val="0"/>
          <w:sz w:val="21"/>
          <w:szCs w:val="21"/>
        </w:rPr>
        <w:t xml:space="preserve"> passando</w:t>
      </w:r>
      <w:r>
        <w:rPr>
          <w:rFonts w:ascii="Arial" w:hAnsi="Arial" w:cs="Arial"/>
          <w:color w:val="000000"/>
          <w:kern w:val="0"/>
          <w:sz w:val="21"/>
          <w:szCs w:val="21"/>
        </w:rPr>
        <w:t xml:space="preserve"> da +12,1% del 2022 a</w:t>
      </w:r>
      <w:r w:rsidRPr="0004107D">
        <w:rPr>
          <w:rFonts w:ascii="Arial" w:hAnsi="Arial" w:cs="Arial"/>
          <w:color w:val="000000"/>
          <w:kern w:val="0"/>
          <w:sz w:val="21"/>
          <w:szCs w:val="21"/>
        </w:rPr>
        <w:t xml:space="preserve"> +</w:t>
      </w:r>
      <w:r>
        <w:rPr>
          <w:rFonts w:ascii="Arial" w:hAnsi="Arial" w:cs="Arial"/>
          <w:color w:val="000000"/>
          <w:kern w:val="0"/>
          <w:sz w:val="21"/>
          <w:szCs w:val="21"/>
        </w:rPr>
        <w:t>6,5</w:t>
      </w:r>
      <w:r w:rsidRPr="0004107D">
        <w:rPr>
          <w:rFonts w:ascii="Arial" w:hAnsi="Arial" w:cs="Arial"/>
          <w:color w:val="000000"/>
          <w:kern w:val="0"/>
          <w:sz w:val="21"/>
          <w:szCs w:val="21"/>
        </w:rPr>
        <w:t>% nel 202</w:t>
      </w:r>
      <w:r>
        <w:rPr>
          <w:rFonts w:ascii="Arial" w:hAnsi="Arial" w:cs="Arial"/>
          <w:color w:val="000000"/>
          <w:kern w:val="0"/>
          <w:sz w:val="21"/>
          <w:szCs w:val="21"/>
        </w:rPr>
        <w:t>3</w:t>
      </w:r>
      <w:r w:rsidRPr="0004107D">
        <w:rPr>
          <w:rFonts w:ascii="Arial" w:hAnsi="Arial" w:cs="Arial"/>
          <w:color w:val="000000"/>
          <w:kern w:val="0"/>
          <w:sz w:val="21"/>
          <w:szCs w:val="21"/>
        </w:rPr>
        <w:t xml:space="preserve">, mentre per quelle del quinto gruppo, </w:t>
      </w:r>
      <w:r>
        <w:rPr>
          <w:rFonts w:ascii="Arial" w:hAnsi="Arial" w:cs="Arial"/>
          <w:color w:val="000000"/>
          <w:kern w:val="0"/>
          <w:sz w:val="21"/>
          <w:szCs w:val="21"/>
        </w:rPr>
        <w:t>passa da +7,2% dello scorso anno a +5,7</w:t>
      </w:r>
      <w:r w:rsidRPr="0004107D">
        <w:rPr>
          <w:rFonts w:ascii="Arial" w:hAnsi="Arial" w:cs="Arial"/>
          <w:color w:val="000000"/>
          <w:kern w:val="0"/>
          <w:sz w:val="21"/>
          <w:szCs w:val="21"/>
        </w:rPr>
        <w:t xml:space="preserve">%, </w:t>
      </w:r>
      <w:r>
        <w:rPr>
          <w:rFonts w:ascii="Arial" w:hAnsi="Arial" w:cs="Arial"/>
          <w:color w:val="000000"/>
          <w:kern w:val="0"/>
          <w:sz w:val="21"/>
          <w:szCs w:val="21"/>
        </w:rPr>
        <w:t>del 2023</w:t>
      </w:r>
      <w:r w:rsidRPr="0004107D">
        <w:rPr>
          <w:rFonts w:ascii="Arial" w:hAnsi="Arial" w:cs="Arial"/>
          <w:color w:val="000000"/>
          <w:kern w:val="0"/>
          <w:sz w:val="21"/>
          <w:szCs w:val="21"/>
        </w:rPr>
        <w:t xml:space="preserve"> (Prospetto 14 e Figura 9</w:t>
      </w:r>
      <w:r w:rsidRPr="00434704">
        <w:rPr>
          <w:rFonts w:ascii="Arial" w:hAnsi="Arial" w:cs="Arial"/>
          <w:color w:val="000000"/>
          <w:kern w:val="0"/>
          <w:sz w:val="21"/>
          <w:szCs w:val="21"/>
        </w:rPr>
        <w:t>). Pertanto, rispetto al 202</w:t>
      </w:r>
      <w:r>
        <w:rPr>
          <w:rFonts w:ascii="Arial" w:hAnsi="Arial" w:cs="Arial"/>
          <w:color w:val="000000"/>
          <w:kern w:val="0"/>
          <w:sz w:val="21"/>
          <w:szCs w:val="21"/>
        </w:rPr>
        <w:t>2</w:t>
      </w:r>
      <w:r w:rsidRPr="00434704">
        <w:rPr>
          <w:rFonts w:ascii="Arial" w:hAnsi="Arial" w:cs="Arial"/>
          <w:color w:val="000000"/>
          <w:kern w:val="0"/>
          <w:sz w:val="21"/>
          <w:szCs w:val="21"/>
        </w:rPr>
        <w:t xml:space="preserve">, il differenziale inflazionistico tra la prima e la quinta classe si </w:t>
      </w:r>
      <w:r>
        <w:rPr>
          <w:rFonts w:ascii="Arial" w:hAnsi="Arial" w:cs="Arial"/>
          <w:color w:val="000000"/>
          <w:kern w:val="0"/>
          <w:sz w:val="21"/>
          <w:szCs w:val="21"/>
        </w:rPr>
        <w:t>riduce</w:t>
      </w:r>
      <w:r w:rsidRPr="00434704">
        <w:rPr>
          <w:rFonts w:ascii="Arial" w:hAnsi="Arial" w:cs="Arial"/>
          <w:color w:val="000000"/>
          <w:kern w:val="0"/>
          <w:sz w:val="21"/>
          <w:szCs w:val="21"/>
        </w:rPr>
        <w:t xml:space="preserve"> ed è pari a </w:t>
      </w:r>
      <w:r>
        <w:rPr>
          <w:rFonts w:ascii="Arial" w:hAnsi="Arial" w:cs="Arial"/>
          <w:color w:val="000000"/>
          <w:kern w:val="0"/>
          <w:sz w:val="21"/>
          <w:szCs w:val="21"/>
        </w:rPr>
        <w:t xml:space="preserve">0,8 </w:t>
      </w:r>
      <w:r w:rsidRPr="00434704">
        <w:rPr>
          <w:rFonts w:ascii="Arial" w:hAnsi="Arial" w:cs="Arial"/>
          <w:color w:val="000000"/>
          <w:kern w:val="0"/>
          <w:sz w:val="21"/>
          <w:szCs w:val="21"/>
        </w:rPr>
        <w:t>punti percentual</w:t>
      </w:r>
      <w:r>
        <w:rPr>
          <w:rFonts w:ascii="Arial" w:hAnsi="Arial" w:cs="Arial"/>
          <w:color w:val="000000"/>
          <w:kern w:val="0"/>
          <w:sz w:val="21"/>
          <w:szCs w:val="21"/>
        </w:rPr>
        <w:t>i</w:t>
      </w:r>
      <w:r w:rsidRPr="00434704">
        <w:rPr>
          <w:rFonts w:ascii="Arial" w:hAnsi="Arial" w:cs="Arial"/>
          <w:color w:val="000000"/>
          <w:kern w:val="0"/>
          <w:sz w:val="21"/>
          <w:szCs w:val="21"/>
        </w:rPr>
        <w:t>.</w:t>
      </w:r>
    </w:p>
    <w:p w:rsidR="00A70458" w:rsidRDefault="00A70458" w:rsidP="00A70458">
      <w:pPr>
        <w:tabs>
          <w:tab w:val="left" w:pos="0"/>
          <w:tab w:val="left" w:pos="6300"/>
        </w:tabs>
        <w:spacing w:after="120"/>
        <w:jc w:val="both"/>
        <w:rPr>
          <w:rFonts w:ascii="Arial" w:hAnsi="Arial" w:cs="Arial"/>
          <w:iCs/>
          <w:sz w:val="21"/>
          <w:szCs w:val="21"/>
        </w:rPr>
      </w:pPr>
      <w:r w:rsidRPr="00EC1401">
        <w:rPr>
          <w:rFonts w:ascii="Arial" w:hAnsi="Arial" w:cs="Arial"/>
          <w:iCs/>
          <w:sz w:val="21"/>
          <w:szCs w:val="21"/>
        </w:rPr>
        <w:t xml:space="preserve">L’analisi degli andamenti in corso d’anno mostra come, per le famiglie con minori capacità di spesa, l’inflazione </w:t>
      </w:r>
      <w:r>
        <w:rPr>
          <w:rFonts w:ascii="Arial" w:hAnsi="Arial" w:cs="Arial"/>
          <w:iCs/>
          <w:sz w:val="21"/>
          <w:szCs w:val="21"/>
        </w:rPr>
        <w:t>rallenta</w:t>
      </w:r>
      <w:r w:rsidRPr="00EC1401">
        <w:rPr>
          <w:rFonts w:ascii="Arial" w:hAnsi="Arial" w:cs="Arial"/>
          <w:iCs/>
          <w:sz w:val="21"/>
          <w:szCs w:val="21"/>
        </w:rPr>
        <w:t xml:space="preserve"> in maniera </w:t>
      </w:r>
      <w:r>
        <w:rPr>
          <w:rFonts w:ascii="Arial" w:hAnsi="Arial" w:cs="Arial"/>
          <w:iCs/>
          <w:sz w:val="21"/>
          <w:szCs w:val="21"/>
        </w:rPr>
        <w:t>marcata</w:t>
      </w:r>
      <w:r w:rsidRPr="00EC1401">
        <w:rPr>
          <w:rFonts w:ascii="Arial" w:hAnsi="Arial" w:cs="Arial"/>
          <w:iCs/>
          <w:sz w:val="21"/>
          <w:szCs w:val="21"/>
        </w:rPr>
        <w:t xml:space="preserve"> sin dal primo trimestre dell’anno, passando da +</w:t>
      </w:r>
      <w:r>
        <w:rPr>
          <w:rFonts w:ascii="Arial" w:hAnsi="Arial" w:cs="Arial"/>
          <w:iCs/>
          <w:sz w:val="21"/>
          <w:szCs w:val="21"/>
        </w:rPr>
        <w:t>18,4% dell’ultimo trimestre 2022 a +12,5</w:t>
      </w:r>
      <w:r w:rsidRPr="00EC1401">
        <w:rPr>
          <w:rFonts w:ascii="Arial" w:hAnsi="Arial" w:cs="Arial"/>
          <w:iCs/>
          <w:sz w:val="21"/>
          <w:szCs w:val="21"/>
        </w:rPr>
        <w:t xml:space="preserve">%, </w:t>
      </w:r>
      <w:r w:rsidRPr="00146C4E">
        <w:rPr>
          <w:rFonts w:ascii="Arial" w:hAnsi="Arial" w:cs="Arial"/>
          <w:iCs/>
          <w:sz w:val="21"/>
          <w:szCs w:val="21"/>
        </w:rPr>
        <w:t xml:space="preserve">proseguendo con </w:t>
      </w:r>
      <w:r>
        <w:rPr>
          <w:rFonts w:ascii="Arial" w:hAnsi="Arial" w:cs="Arial"/>
          <w:iCs/>
          <w:sz w:val="21"/>
          <w:szCs w:val="21"/>
        </w:rPr>
        <w:t>rallentamenti</w:t>
      </w:r>
      <w:r w:rsidRPr="00146C4E">
        <w:rPr>
          <w:rFonts w:ascii="Arial" w:hAnsi="Arial" w:cs="Arial"/>
          <w:iCs/>
          <w:sz w:val="21"/>
          <w:szCs w:val="21"/>
        </w:rPr>
        <w:t xml:space="preserve"> della crescita</w:t>
      </w:r>
      <w:r>
        <w:rPr>
          <w:rFonts w:ascii="Arial" w:hAnsi="Arial" w:cs="Arial"/>
          <w:iCs/>
          <w:sz w:val="21"/>
          <w:szCs w:val="21"/>
        </w:rPr>
        <w:t xml:space="preserve"> sia nel secondo (+9,4</w:t>
      </w:r>
      <w:r w:rsidRPr="00EC1401">
        <w:rPr>
          <w:rFonts w:ascii="Arial" w:hAnsi="Arial" w:cs="Arial"/>
          <w:iCs/>
          <w:sz w:val="21"/>
          <w:szCs w:val="21"/>
        </w:rPr>
        <w:t>%</w:t>
      </w:r>
      <w:r>
        <w:rPr>
          <w:rFonts w:ascii="Arial" w:hAnsi="Arial" w:cs="Arial"/>
          <w:iCs/>
          <w:sz w:val="21"/>
          <w:szCs w:val="21"/>
        </w:rPr>
        <w:t>) che nel terzo trimestre (</w:t>
      </w:r>
      <w:r w:rsidRPr="00EC1401">
        <w:rPr>
          <w:rFonts w:ascii="Arial" w:hAnsi="Arial" w:cs="Arial"/>
          <w:iCs/>
          <w:sz w:val="21"/>
          <w:szCs w:val="21"/>
        </w:rPr>
        <w:t>+</w:t>
      </w:r>
      <w:r>
        <w:rPr>
          <w:rFonts w:ascii="Arial" w:hAnsi="Arial" w:cs="Arial"/>
          <w:iCs/>
          <w:sz w:val="21"/>
          <w:szCs w:val="21"/>
        </w:rPr>
        <w:t>6,7</w:t>
      </w:r>
      <w:r w:rsidRPr="00EC1401">
        <w:rPr>
          <w:rFonts w:ascii="Arial" w:hAnsi="Arial" w:cs="Arial"/>
          <w:iCs/>
          <w:sz w:val="21"/>
          <w:szCs w:val="21"/>
        </w:rPr>
        <w:t>%</w:t>
      </w:r>
      <w:r>
        <w:rPr>
          <w:rFonts w:ascii="Arial" w:hAnsi="Arial" w:cs="Arial"/>
          <w:iCs/>
          <w:sz w:val="21"/>
          <w:szCs w:val="21"/>
        </w:rPr>
        <w:t>)</w:t>
      </w:r>
      <w:r w:rsidRPr="00EC1401">
        <w:rPr>
          <w:rFonts w:ascii="Arial" w:hAnsi="Arial" w:cs="Arial"/>
          <w:iCs/>
          <w:sz w:val="21"/>
          <w:szCs w:val="21"/>
        </w:rPr>
        <w:t xml:space="preserve"> fino a </w:t>
      </w:r>
      <w:r>
        <w:rPr>
          <w:rFonts w:ascii="Arial" w:hAnsi="Arial" w:cs="Arial"/>
          <w:iCs/>
          <w:sz w:val="21"/>
          <w:szCs w:val="21"/>
        </w:rPr>
        <w:t xml:space="preserve">segnare un’inversione di tendenza portandosi </w:t>
      </w:r>
      <w:r w:rsidRPr="00EC1401">
        <w:rPr>
          <w:rFonts w:ascii="Arial" w:hAnsi="Arial" w:cs="Arial"/>
          <w:iCs/>
          <w:sz w:val="21"/>
          <w:szCs w:val="21"/>
        </w:rPr>
        <w:t xml:space="preserve">a </w:t>
      </w:r>
      <w:r>
        <w:rPr>
          <w:rFonts w:ascii="Arial" w:hAnsi="Arial" w:cs="Arial"/>
          <w:iCs/>
          <w:sz w:val="21"/>
          <w:szCs w:val="21"/>
        </w:rPr>
        <w:t>-</w:t>
      </w:r>
      <w:r w:rsidRPr="00EC1401">
        <w:rPr>
          <w:rFonts w:ascii="Arial" w:hAnsi="Arial" w:cs="Arial"/>
          <w:iCs/>
          <w:sz w:val="21"/>
          <w:szCs w:val="21"/>
        </w:rPr>
        <w:t>1</w:t>
      </w:r>
      <w:r>
        <w:rPr>
          <w:rFonts w:ascii="Arial" w:hAnsi="Arial" w:cs="Arial"/>
          <w:iCs/>
          <w:sz w:val="21"/>
          <w:szCs w:val="21"/>
        </w:rPr>
        <w:t>,4% nel quarto trimestre dell’anno</w:t>
      </w:r>
      <w:r w:rsidRPr="00EC1401">
        <w:rPr>
          <w:rFonts w:ascii="Arial" w:hAnsi="Arial" w:cs="Arial"/>
          <w:iCs/>
          <w:sz w:val="21"/>
          <w:szCs w:val="21"/>
        </w:rPr>
        <w:t>.</w:t>
      </w:r>
    </w:p>
    <w:p w:rsidR="00A70458" w:rsidRDefault="00A70458" w:rsidP="00A70458">
      <w:pPr>
        <w:tabs>
          <w:tab w:val="left" w:pos="0"/>
          <w:tab w:val="left" w:pos="6300"/>
        </w:tabs>
        <w:spacing w:after="120"/>
        <w:jc w:val="both"/>
        <w:rPr>
          <w:rFonts w:ascii="Arial" w:hAnsi="Arial" w:cs="Arial"/>
          <w:iCs/>
          <w:sz w:val="21"/>
          <w:szCs w:val="21"/>
        </w:rPr>
      </w:pPr>
    </w:p>
    <w:p w:rsidR="00A70458" w:rsidRDefault="00A70458" w:rsidP="00A70458">
      <w:pPr>
        <w:spacing w:after="120"/>
        <w:rPr>
          <w:rFonts w:ascii="Arial Narrow" w:hAnsi="Arial Narrow" w:cs="Arial"/>
          <w:color w:val="5F5F5F"/>
        </w:rPr>
      </w:pPr>
      <w:r w:rsidRPr="00AA0C22">
        <w:rPr>
          <w:rFonts w:ascii="Arial Narrow" w:hAnsi="Arial Narrow" w:cs="Arial"/>
          <w:b/>
          <w:color w:val="E42618"/>
          <w:sz w:val="22"/>
          <w:szCs w:val="22"/>
        </w:rPr>
        <w:t>PROSPETTO 14.</w:t>
      </w:r>
      <w:r w:rsidRPr="00AA0C22">
        <w:rPr>
          <w:rFonts w:ascii="Arial Narrow" w:hAnsi="Arial Narrow" w:cs="Arial"/>
          <w:b/>
          <w:color w:val="5F5F5F"/>
          <w:sz w:val="22"/>
          <w:szCs w:val="22"/>
        </w:rPr>
        <w:t xml:space="preserve"> </w:t>
      </w:r>
      <w:r w:rsidRPr="00AA0C22">
        <w:rPr>
          <w:rFonts w:ascii="Arial Narrow" w:hAnsi="Arial Narrow" w:cs="Calibri"/>
          <w:b/>
          <w:bCs/>
          <w:color w:val="5F5F5F"/>
          <w:sz w:val="22"/>
          <w:szCs w:val="22"/>
        </w:rPr>
        <w:t>INDICI DEI PREZZI AL CONSUMO IPCA PER CLASSI DI SPESA DELLE FAMIGLIE</w:t>
      </w:r>
      <w:r w:rsidRPr="00AA0C22">
        <w:rPr>
          <w:rFonts w:ascii="Arial Narrow" w:hAnsi="Arial Narrow" w:cs="Arial"/>
          <w:b/>
          <w:color w:val="5F5F5F"/>
          <w:sz w:val="22"/>
          <w:szCs w:val="22"/>
        </w:rPr>
        <w:br/>
      </w:r>
      <w:r>
        <w:rPr>
          <w:rFonts w:ascii="Arial Narrow" w:hAnsi="Arial Narrow" w:cs="Arial"/>
          <w:color w:val="5F5F5F"/>
        </w:rPr>
        <w:t xml:space="preserve">Anni 2022– 2023, variazioni percentuali tendenziali (base 2015=100) </w:t>
      </w:r>
    </w:p>
    <w:tbl>
      <w:tblPr>
        <w:tblW w:w="10083" w:type="dxa"/>
        <w:tblCellMar>
          <w:left w:w="70" w:type="dxa"/>
          <w:right w:w="70" w:type="dxa"/>
        </w:tblCellMar>
        <w:tblLook w:val="04A0" w:firstRow="1" w:lastRow="0" w:firstColumn="1" w:lastColumn="0" w:noHBand="0" w:noVBand="1"/>
      </w:tblPr>
      <w:tblGrid>
        <w:gridCol w:w="1495"/>
        <w:gridCol w:w="1495"/>
        <w:gridCol w:w="1419"/>
        <w:gridCol w:w="1418"/>
        <w:gridCol w:w="1418"/>
        <w:gridCol w:w="1418"/>
        <w:gridCol w:w="1420"/>
      </w:tblGrid>
      <w:tr w:rsidR="00A70458" w:rsidRPr="00FD4E8A" w:rsidTr="0073439D">
        <w:trPr>
          <w:trHeight w:val="348"/>
        </w:trPr>
        <w:tc>
          <w:tcPr>
            <w:tcW w:w="1495" w:type="dxa"/>
            <w:vMerge w:val="restart"/>
            <w:tcBorders>
              <w:top w:val="single" w:sz="4" w:space="0" w:color="auto"/>
              <w:left w:val="nil"/>
              <w:bottom w:val="single" w:sz="4" w:space="0" w:color="000000"/>
              <w:right w:val="nil"/>
            </w:tcBorders>
            <w:shd w:val="clear" w:color="auto" w:fill="auto"/>
            <w:vAlign w:val="center"/>
            <w:hideMark/>
          </w:tcPr>
          <w:p w:rsidR="00A70458" w:rsidRPr="0073439D" w:rsidRDefault="00A70458" w:rsidP="00DC6658">
            <w:pPr>
              <w:widowControl/>
              <w:overflowPunct/>
              <w:autoSpaceDE/>
              <w:autoSpaceDN/>
              <w:adjustRightInd/>
              <w:spacing w:before="0" w:after="0"/>
              <w:jc w:val="center"/>
              <w:rPr>
                <w:rFonts w:ascii="Arial Narrow" w:hAnsi="Arial Narrow" w:cs="Arial"/>
                <w:b/>
                <w:bCs/>
                <w:kern w:val="0"/>
                <w:sz w:val="18"/>
                <w:szCs w:val="18"/>
              </w:rPr>
            </w:pPr>
            <w:r w:rsidRPr="0073439D">
              <w:rPr>
                <w:rFonts w:ascii="Arial Narrow" w:hAnsi="Arial Narrow" w:cs="Arial"/>
                <w:b/>
                <w:bCs/>
                <w:kern w:val="0"/>
                <w:sz w:val="18"/>
                <w:szCs w:val="18"/>
              </w:rPr>
              <w:t>CLASSI DI SPESA</w:t>
            </w:r>
          </w:p>
        </w:tc>
        <w:tc>
          <w:tcPr>
            <w:tcW w:w="2914" w:type="dxa"/>
            <w:gridSpan w:val="2"/>
            <w:tcBorders>
              <w:top w:val="single" w:sz="4" w:space="0" w:color="auto"/>
              <w:left w:val="nil"/>
              <w:bottom w:val="single" w:sz="4" w:space="0" w:color="auto"/>
              <w:right w:val="nil"/>
            </w:tcBorders>
            <w:shd w:val="clear" w:color="000000" w:fill="D9D9D9"/>
            <w:vAlign w:val="center"/>
            <w:hideMark/>
          </w:tcPr>
          <w:p w:rsidR="00A70458" w:rsidRPr="0073439D" w:rsidRDefault="00A70458" w:rsidP="0073439D">
            <w:pPr>
              <w:widowControl/>
              <w:overflowPunct/>
              <w:autoSpaceDE/>
              <w:autoSpaceDN/>
              <w:adjustRightInd/>
              <w:spacing w:before="0" w:after="0"/>
              <w:jc w:val="center"/>
              <w:rPr>
                <w:rFonts w:ascii="Arial Narrow" w:hAnsi="Arial Narrow" w:cs="Calibri"/>
                <w:b/>
                <w:bCs/>
                <w:kern w:val="0"/>
                <w:sz w:val="18"/>
                <w:szCs w:val="18"/>
              </w:rPr>
            </w:pPr>
            <w:r w:rsidRPr="0073439D">
              <w:rPr>
                <w:rFonts w:ascii="Arial Narrow" w:hAnsi="Arial Narrow" w:cs="Calibri"/>
                <w:b/>
                <w:bCs/>
                <w:kern w:val="0"/>
                <w:sz w:val="18"/>
                <w:szCs w:val="18"/>
              </w:rPr>
              <w:t>Variazioni medie</w:t>
            </w:r>
          </w:p>
        </w:tc>
        <w:tc>
          <w:tcPr>
            <w:tcW w:w="5674" w:type="dxa"/>
            <w:gridSpan w:val="4"/>
            <w:tcBorders>
              <w:top w:val="single" w:sz="4" w:space="0" w:color="auto"/>
              <w:left w:val="nil"/>
              <w:bottom w:val="single" w:sz="4" w:space="0" w:color="auto"/>
              <w:right w:val="nil"/>
            </w:tcBorders>
            <w:shd w:val="clear" w:color="auto" w:fill="auto"/>
            <w:noWrap/>
            <w:vAlign w:val="center"/>
            <w:hideMark/>
          </w:tcPr>
          <w:p w:rsidR="00A70458" w:rsidRPr="0073439D" w:rsidRDefault="00A70458" w:rsidP="0073439D">
            <w:pPr>
              <w:widowControl/>
              <w:overflowPunct/>
              <w:autoSpaceDE/>
              <w:autoSpaceDN/>
              <w:adjustRightInd/>
              <w:spacing w:before="0" w:after="0"/>
              <w:jc w:val="center"/>
              <w:rPr>
                <w:rFonts w:ascii="Arial Narrow" w:hAnsi="Arial Narrow" w:cs="Calibri"/>
                <w:b/>
                <w:bCs/>
                <w:color w:val="000000"/>
                <w:kern w:val="0"/>
                <w:sz w:val="18"/>
                <w:szCs w:val="18"/>
              </w:rPr>
            </w:pPr>
            <w:r w:rsidRPr="0073439D">
              <w:rPr>
                <w:rFonts w:ascii="Arial Narrow" w:hAnsi="Arial Narrow" w:cs="Calibri"/>
                <w:b/>
                <w:bCs/>
                <w:color w:val="000000"/>
                <w:kern w:val="0"/>
                <w:sz w:val="18"/>
                <w:szCs w:val="18"/>
              </w:rPr>
              <w:t>Variazioni tendenziali</w:t>
            </w:r>
          </w:p>
        </w:tc>
      </w:tr>
      <w:tr w:rsidR="00A70458" w:rsidRPr="00FD4E8A" w:rsidTr="0073439D">
        <w:trPr>
          <w:trHeight w:val="450"/>
        </w:trPr>
        <w:tc>
          <w:tcPr>
            <w:tcW w:w="1495" w:type="dxa"/>
            <w:vMerge/>
            <w:tcBorders>
              <w:top w:val="single" w:sz="4" w:space="0" w:color="auto"/>
              <w:left w:val="nil"/>
              <w:bottom w:val="single" w:sz="4" w:space="0" w:color="000000"/>
              <w:right w:val="nil"/>
            </w:tcBorders>
            <w:vAlign w:val="center"/>
            <w:hideMark/>
          </w:tcPr>
          <w:p w:rsidR="00A70458" w:rsidRPr="0073439D" w:rsidRDefault="00A70458" w:rsidP="00DC6658">
            <w:pPr>
              <w:widowControl/>
              <w:overflowPunct/>
              <w:autoSpaceDE/>
              <w:autoSpaceDN/>
              <w:adjustRightInd/>
              <w:spacing w:before="0" w:after="0"/>
              <w:rPr>
                <w:rFonts w:ascii="Arial Narrow" w:hAnsi="Arial Narrow" w:cs="Arial"/>
                <w:b/>
                <w:bCs/>
                <w:kern w:val="0"/>
                <w:sz w:val="18"/>
                <w:szCs w:val="18"/>
              </w:rPr>
            </w:pPr>
          </w:p>
        </w:tc>
        <w:tc>
          <w:tcPr>
            <w:tcW w:w="1495" w:type="dxa"/>
            <w:tcBorders>
              <w:top w:val="nil"/>
              <w:left w:val="nil"/>
              <w:bottom w:val="single" w:sz="4" w:space="0" w:color="auto"/>
              <w:right w:val="nil"/>
            </w:tcBorders>
            <w:shd w:val="clear" w:color="auto" w:fill="auto"/>
            <w:vAlign w:val="center"/>
            <w:hideMark/>
          </w:tcPr>
          <w:p w:rsidR="00A70458" w:rsidRPr="0073439D" w:rsidRDefault="00A70458" w:rsidP="00DC6658">
            <w:pPr>
              <w:widowControl/>
              <w:overflowPunct/>
              <w:autoSpaceDE/>
              <w:autoSpaceDN/>
              <w:adjustRightInd/>
              <w:spacing w:before="0" w:after="0"/>
              <w:jc w:val="right"/>
              <w:rPr>
                <w:rFonts w:ascii="Arial Narrow" w:hAnsi="Arial Narrow" w:cs="Calibri"/>
                <w:bCs/>
                <w:kern w:val="0"/>
                <w:sz w:val="18"/>
                <w:szCs w:val="18"/>
                <w:u w:val="single"/>
              </w:rPr>
            </w:pPr>
            <w:r w:rsidRPr="0073439D">
              <w:rPr>
                <w:rFonts w:ascii="Arial Narrow" w:hAnsi="Arial Narrow" w:cs="Calibri"/>
                <w:bCs/>
                <w:kern w:val="0"/>
                <w:sz w:val="18"/>
                <w:szCs w:val="18"/>
                <w:u w:val="single"/>
              </w:rPr>
              <w:t>2022</w:t>
            </w:r>
            <w:r w:rsidRPr="0073439D">
              <w:rPr>
                <w:rFonts w:ascii="Arial Narrow" w:hAnsi="Arial Narrow" w:cs="Calibri"/>
                <w:bCs/>
                <w:kern w:val="0"/>
                <w:sz w:val="18"/>
                <w:szCs w:val="18"/>
                <w:u w:val="single"/>
              </w:rPr>
              <w:br/>
            </w:r>
            <w:r w:rsidRPr="0073439D">
              <w:rPr>
                <w:rFonts w:ascii="Arial Narrow" w:hAnsi="Arial Narrow" w:cs="Calibri"/>
                <w:bCs/>
                <w:kern w:val="0"/>
                <w:sz w:val="18"/>
                <w:szCs w:val="18"/>
              </w:rPr>
              <w:t>2021</w:t>
            </w:r>
          </w:p>
        </w:tc>
        <w:tc>
          <w:tcPr>
            <w:tcW w:w="1418" w:type="dxa"/>
            <w:tcBorders>
              <w:top w:val="nil"/>
              <w:left w:val="nil"/>
              <w:bottom w:val="single" w:sz="4" w:space="0" w:color="auto"/>
              <w:right w:val="nil"/>
            </w:tcBorders>
            <w:shd w:val="clear" w:color="000000" w:fill="D9D9D9"/>
            <w:vAlign w:val="center"/>
            <w:hideMark/>
          </w:tcPr>
          <w:p w:rsidR="00A70458" w:rsidRPr="0073439D" w:rsidRDefault="00A70458" w:rsidP="00DC6658">
            <w:pPr>
              <w:widowControl/>
              <w:overflowPunct/>
              <w:autoSpaceDE/>
              <w:autoSpaceDN/>
              <w:adjustRightInd/>
              <w:spacing w:before="0" w:after="0"/>
              <w:jc w:val="right"/>
              <w:rPr>
                <w:rFonts w:ascii="Arial Narrow" w:hAnsi="Arial Narrow" w:cs="Calibri"/>
                <w:bCs/>
                <w:kern w:val="0"/>
                <w:sz w:val="18"/>
                <w:szCs w:val="18"/>
                <w:u w:val="single"/>
              </w:rPr>
            </w:pPr>
            <w:r w:rsidRPr="0073439D">
              <w:rPr>
                <w:rFonts w:ascii="Arial Narrow" w:hAnsi="Arial Narrow" w:cs="Calibri"/>
                <w:bCs/>
                <w:kern w:val="0"/>
                <w:sz w:val="18"/>
                <w:szCs w:val="18"/>
                <w:u w:val="single"/>
              </w:rPr>
              <w:t>2023</w:t>
            </w:r>
            <w:r w:rsidRPr="0073439D">
              <w:rPr>
                <w:rFonts w:ascii="Arial Narrow" w:hAnsi="Arial Narrow" w:cs="Calibri"/>
                <w:bCs/>
                <w:kern w:val="0"/>
                <w:sz w:val="18"/>
                <w:szCs w:val="18"/>
                <w:u w:val="single"/>
              </w:rPr>
              <w:br/>
            </w:r>
            <w:r w:rsidRPr="0073439D">
              <w:rPr>
                <w:rFonts w:ascii="Arial Narrow" w:hAnsi="Arial Narrow" w:cs="Calibri"/>
                <w:bCs/>
                <w:kern w:val="0"/>
                <w:sz w:val="18"/>
                <w:szCs w:val="18"/>
              </w:rPr>
              <w:t>2022</w:t>
            </w:r>
          </w:p>
        </w:tc>
        <w:tc>
          <w:tcPr>
            <w:tcW w:w="1418" w:type="dxa"/>
            <w:tcBorders>
              <w:top w:val="nil"/>
              <w:left w:val="nil"/>
              <w:bottom w:val="single" w:sz="4" w:space="0" w:color="auto"/>
              <w:right w:val="nil"/>
            </w:tcBorders>
            <w:shd w:val="clear" w:color="auto" w:fill="auto"/>
            <w:vAlign w:val="center"/>
            <w:hideMark/>
          </w:tcPr>
          <w:p w:rsidR="00A70458" w:rsidRPr="0073439D" w:rsidRDefault="00A70458" w:rsidP="00DC6658">
            <w:pPr>
              <w:widowControl/>
              <w:overflowPunct/>
              <w:autoSpaceDE/>
              <w:autoSpaceDN/>
              <w:adjustRightInd/>
              <w:spacing w:before="0" w:after="0"/>
              <w:jc w:val="right"/>
              <w:rPr>
                <w:rFonts w:ascii="Arial Narrow" w:hAnsi="Arial Narrow" w:cs="Calibri"/>
                <w:bCs/>
                <w:kern w:val="0"/>
                <w:sz w:val="18"/>
                <w:szCs w:val="18"/>
              </w:rPr>
            </w:pPr>
            <w:r w:rsidRPr="0073439D">
              <w:rPr>
                <w:rFonts w:ascii="Arial Narrow" w:hAnsi="Arial Narrow" w:cs="Calibri"/>
                <w:bCs/>
                <w:kern w:val="0"/>
                <w:sz w:val="18"/>
                <w:szCs w:val="18"/>
                <w:u w:val="single"/>
              </w:rPr>
              <w:t>I trim 2023</w:t>
            </w:r>
            <w:r w:rsidRPr="0073439D">
              <w:rPr>
                <w:rFonts w:ascii="Arial Narrow" w:hAnsi="Arial Narrow" w:cs="Calibri"/>
                <w:bCs/>
                <w:kern w:val="0"/>
                <w:sz w:val="18"/>
                <w:szCs w:val="18"/>
              </w:rPr>
              <w:br/>
              <w:t>I trim 2022</w:t>
            </w:r>
          </w:p>
        </w:tc>
        <w:tc>
          <w:tcPr>
            <w:tcW w:w="1418" w:type="dxa"/>
            <w:tcBorders>
              <w:top w:val="nil"/>
              <w:left w:val="nil"/>
              <w:bottom w:val="single" w:sz="4" w:space="0" w:color="auto"/>
              <w:right w:val="nil"/>
            </w:tcBorders>
            <w:shd w:val="clear" w:color="000000" w:fill="D9D9D9"/>
            <w:vAlign w:val="center"/>
            <w:hideMark/>
          </w:tcPr>
          <w:p w:rsidR="00A70458" w:rsidRPr="0073439D" w:rsidRDefault="00A70458" w:rsidP="00DC6658">
            <w:pPr>
              <w:widowControl/>
              <w:overflowPunct/>
              <w:autoSpaceDE/>
              <w:autoSpaceDN/>
              <w:adjustRightInd/>
              <w:spacing w:before="0" w:after="0"/>
              <w:jc w:val="right"/>
              <w:rPr>
                <w:rFonts w:ascii="Arial Narrow" w:hAnsi="Arial Narrow" w:cs="Calibri"/>
                <w:bCs/>
                <w:kern w:val="0"/>
                <w:sz w:val="18"/>
                <w:szCs w:val="18"/>
              </w:rPr>
            </w:pPr>
            <w:r w:rsidRPr="0073439D">
              <w:rPr>
                <w:rFonts w:ascii="Arial Narrow" w:hAnsi="Arial Narrow" w:cs="Calibri"/>
                <w:bCs/>
                <w:kern w:val="0"/>
                <w:sz w:val="18"/>
                <w:szCs w:val="18"/>
                <w:u w:val="single"/>
              </w:rPr>
              <w:t>II trim 2023</w:t>
            </w:r>
            <w:r w:rsidRPr="0073439D">
              <w:rPr>
                <w:rFonts w:ascii="Arial Narrow" w:hAnsi="Arial Narrow" w:cs="Calibri"/>
                <w:bCs/>
                <w:kern w:val="0"/>
                <w:sz w:val="18"/>
                <w:szCs w:val="18"/>
              </w:rPr>
              <w:br/>
              <w:t>II trim 2022</w:t>
            </w:r>
          </w:p>
        </w:tc>
        <w:tc>
          <w:tcPr>
            <w:tcW w:w="1418" w:type="dxa"/>
            <w:tcBorders>
              <w:top w:val="nil"/>
              <w:left w:val="nil"/>
              <w:bottom w:val="single" w:sz="4" w:space="0" w:color="auto"/>
              <w:right w:val="nil"/>
            </w:tcBorders>
            <w:shd w:val="clear" w:color="auto" w:fill="auto"/>
            <w:vAlign w:val="center"/>
            <w:hideMark/>
          </w:tcPr>
          <w:p w:rsidR="00A70458" w:rsidRPr="0073439D" w:rsidRDefault="00A70458" w:rsidP="00DC6658">
            <w:pPr>
              <w:widowControl/>
              <w:overflowPunct/>
              <w:autoSpaceDE/>
              <w:autoSpaceDN/>
              <w:adjustRightInd/>
              <w:spacing w:before="0" w:after="0"/>
              <w:jc w:val="right"/>
              <w:rPr>
                <w:rFonts w:ascii="Arial Narrow" w:hAnsi="Arial Narrow" w:cs="Calibri"/>
                <w:bCs/>
                <w:kern w:val="0"/>
                <w:sz w:val="18"/>
                <w:szCs w:val="18"/>
              </w:rPr>
            </w:pPr>
            <w:r w:rsidRPr="0073439D">
              <w:rPr>
                <w:rFonts w:ascii="Arial Narrow" w:hAnsi="Arial Narrow" w:cs="Calibri"/>
                <w:bCs/>
                <w:kern w:val="0"/>
                <w:sz w:val="18"/>
                <w:szCs w:val="18"/>
                <w:u w:val="single"/>
              </w:rPr>
              <w:t>III trim 2023</w:t>
            </w:r>
            <w:r w:rsidRPr="0073439D">
              <w:rPr>
                <w:rFonts w:ascii="Arial Narrow" w:hAnsi="Arial Narrow" w:cs="Calibri"/>
                <w:bCs/>
                <w:kern w:val="0"/>
                <w:sz w:val="18"/>
                <w:szCs w:val="18"/>
              </w:rPr>
              <w:br/>
              <w:t>III trim 2022</w:t>
            </w:r>
          </w:p>
        </w:tc>
        <w:tc>
          <w:tcPr>
            <w:tcW w:w="1418" w:type="dxa"/>
            <w:tcBorders>
              <w:top w:val="nil"/>
              <w:left w:val="nil"/>
              <w:bottom w:val="single" w:sz="4" w:space="0" w:color="auto"/>
              <w:right w:val="nil"/>
            </w:tcBorders>
            <w:shd w:val="clear" w:color="000000" w:fill="D9D9D9"/>
            <w:vAlign w:val="center"/>
            <w:hideMark/>
          </w:tcPr>
          <w:p w:rsidR="00A70458" w:rsidRPr="0073439D" w:rsidRDefault="00A70458" w:rsidP="00DC6658">
            <w:pPr>
              <w:widowControl/>
              <w:overflowPunct/>
              <w:autoSpaceDE/>
              <w:autoSpaceDN/>
              <w:adjustRightInd/>
              <w:spacing w:before="0" w:after="0"/>
              <w:jc w:val="right"/>
              <w:rPr>
                <w:rFonts w:ascii="Arial Narrow" w:hAnsi="Arial Narrow" w:cs="Calibri"/>
                <w:bCs/>
                <w:kern w:val="0"/>
                <w:sz w:val="18"/>
                <w:szCs w:val="18"/>
              </w:rPr>
            </w:pPr>
            <w:r w:rsidRPr="0073439D">
              <w:rPr>
                <w:rFonts w:ascii="Arial Narrow" w:hAnsi="Arial Narrow" w:cs="Calibri"/>
                <w:bCs/>
                <w:kern w:val="0"/>
                <w:sz w:val="18"/>
                <w:szCs w:val="18"/>
                <w:u w:val="single"/>
              </w:rPr>
              <w:t>IV trim 2023</w:t>
            </w:r>
            <w:r w:rsidRPr="0073439D">
              <w:rPr>
                <w:rFonts w:ascii="Arial Narrow" w:hAnsi="Arial Narrow" w:cs="Calibri"/>
                <w:bCs/>
                <w:kern w:val="0"/>
                <w:sz w:val="18"/>
                <w:szCs w:val="18"/>
              </w:rPr>
              <w:br/>
              <w:t>IV trim 2022</w:t>
            </w:r>
          </w:p>
        </w:tc>
      </w:tr>
      <w:tr w:rsidR="00A70458" w:rsidRPr="00FD4E8A" w:rsidTr="0073439D">
        <w:trPr>
          <w:trHeight w:val="255"/>
        </w:trPr>
        <w:tc>
          <w:tcPr>
            <w:tcW w:w="1495" w:type="dxa"/>
            <w:tcBorders>
              <w:top w:val="nil"/>
              <w:left w:val="nil"/>
              <w:bottom w:val="single" w:sz="4" w:space="0" w:color="808080"/>
              <w:right w:val="nil"/>
            </w:tcBorders>
            <w:shd w:val="clear" w:color="auto" w:fill="auto"/>
            <w:noWrap/>
            <w:vAlign w:val="center"/>
            <w:hideMark/>
          </w:tcPr>
          <w:p w:rsidR="00A70458" w:rsidRPr="0073439D" w:rsidRDefault="00A70458" w:rsidP="0073439D">
            <w:pPr>
              <w:widowControl/>
              <w:overflowPunct/>
              <w:autoSpaceDE/>
              <w:autoSpaceDN/>
              <w:adjustRightInd/>
              <w:spacing w:before="0" w:after="0"/>
              <w:rPr>
                <w:rFonts w:ascii="Arial Narrow" w:hAnsi="Arial Narrow" w:cs="Calibri"/>
                <w:kern w:val="0"/>
                <w:sz w:val="18"/>
                <w:szCs w:val="18"/>
              </w:rPr>
            </w:pPr>
            <w:r w:rsidRPr="0073439D">
              <w:rPr>
                <w:rFonts w:ascii="Arial Narrow" w:hAnsi="Arial Narrow" w:cs="Calibri"/>
                <w:kern w:val="0"/>
                <w:sz w:val="18"/>
                <w:szCs w:val="18"/>
              </w:rPr>
              <w:t>1°gruppo</w:t>
            </w:r>
          </w:p>
        </w:tc>
        <w:tc>
          <w:tcPr>
            <w:tcW w:w="1495" w:type="dxa"/>
            <w:tcBorders>
              <w:top w:val="nil"/>
              <w:left w:val="nil"/>
              <w:bottom w:val="single" w:sz="4" w:space="0" w:color="808080"/>
              <w:right w:val="nil"/>
            </w:tcBorders>
            <w:shd w:val="clear" w:color="auto" w:fill="auto"/>
            <w:noWrap/>
            <w:vAlign w:val="center"/>
            <w:hideMark/>
          </w:tcPr>
          <w:p w:rsidR="00A70458" w:rsidRPr="0073439D" w:rsidRDefault="0073439D" w:rsidP="0073439D">
            <w:pPr>
              <w:widowControl/>
              <w:overflowPunct/>
              <w:autoSpaceDE/>
              <w:autoSpaceDN/>
              <w:adjustRightInd/>
              <w:spacing w:before="0" w:after="0"/>
              <w:jc w:val="right"/>
              <w:rPr>
                <w:rFonts w:ascii="Arial Narrow" w:hAnsi="Arial Narrow" w:cs="Calibri"/>
                <w:kern w:val="0"/>
                <w:sz w:val="18"/>
                <w:szCs w:val="18"/>
              </w:rPr>
            </w:pPr>
            <w:r>
              <w:rPr>
                <w:rFonts w:ascii="Arial Narrow" w:hAnsi="Arial Narrow" w:cs="Calibri"/>
                <w:kern w:val="0"/>
                <w:sz w:val="18"/>
                <w:szCs w:val="18"/>
              </w:rPr>
              <w:t>+</w:t>
            </w:r>
            <w:r w:rsidR="00A70458" w:rsidRPr="0073439D">
              <w:rPr>
                <w:rFonts w:ascii="Arial Narrow" w:hAnsi="Arial Narrow" w:cs="Calibri"/>
                <w:kern w:val="0"/>
                <w:sz w:val="18"/>
                <w:szCs w:val="18"/>
              </w:rPr>
              <w:t>12,1</w:t>
            </w:r>
          </w:p>
        </w:tc>
        <w:tc>
          <w:tcPr>
            <w:tcW w:w="1418" w:type="dxa"/>
            <w:tcBorders>
              <w:top w:val="single" w:sz="4" w:space="0" w:color="808080"/>
              <w:left w:val="nil"/>
              <w:bottom w:val="single" w:sz="4" w:space="0" w:color="808080"/>
              <w:right w:val="nil"/>
            </w:tcBorders>
            <w:shd w:val="clear" w:color="000000" w:fill="D9D9D9"/>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+6,5</w:t>
            </w:r>
          </w:p>
        </w:tc>
        <w:tc>
          <w:tcPr>
            <w:tcW w:w="1418" w:type="dxa"/>
            <w:tcBorders>
              <w:top w:val="single" w:sz="4" w:space="0" w:color="808080"/>
              <w:left w:val="nil"/>
              <w:bottom w:val="single" w:sz="4" w:space="0" w:color="808080"/>
              <w:right w:val="nil"/>
            </w:tcBorders>
            <w:shd w:val="clear" w:color="auto" w:fill="auto"/>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+12,5</w:t>
            </w:r>
          </w:p>
        </w:tc>
        <w:tc>
          <w:tcPr>
            <w:tcW w:w="1418" w:type="dxa"/>
            <w:tcBorders>
              <w:top w:val="single" w:sz="4" w:space="0" w:color="808080"/>
              <w:left w:val="nil"/>
              <w:bottom w:val="single" w:sz="4" w:space="0" w:color="808080"/>
              <w:right w:val="nil"/>
            </w:tcBorders>
            <w:shd w:val="clear" w:color="000000" w:fill="D9D9D9"/>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+9,4</w:t>
            </w:r>
          </w:p>
        </w:tc>
        <w:tc>
          <w:tcPr>
            <w:tcW w:w="1418" w:type="dxa"/>
            <w:tcBorders>
              <w:top w:val="single" w:sz="4" w:space="0" w:color="808080"/>
              <w:left w:val="nil"/>
              <w:bottom w:val="single" w:sz="4" w:space="0" w:color="808080"/>
              <w:right w:val="nil"/>
            </w:tcBorders>
            <w:shd w:val="clear" w:color="auto" w:fill="auto"/>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+6,7</w:t>
            </w:r>
          </w:p>
        </w:tc>
        <w:tc>
          <w:tcPr>
            <w:tcW w:w="1418" w:type="dxa"/>
            <w:tcBorders>
              <w:top w:val="single" w:sz="4" w:space="0" w:color="808080"/>
              <w:left w:val="nil"/>
              <w:bottom w:val="single" w:sz="4" w:space="0" w:color="808080"/>
              <w:right w:val="nil"/>
            </w:tcBorders>
            <w:shd w:val="clear" w:color="000000" w:fill="D9D9D9"/>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-1,4</w:t>
            </w:r>
          </w:p>
        </w:tc>
      </w:tr>
      <w:tr w:rsidR="00A70458" w:rsidRPr="00FD4E8A" w:rsidTr="0073439D">
        <w:trPr>
          <w:trHeight w:val="255"/>
        </w:trPr>
        <w:tc>
          <w:tcPr>
            <w:tcW w:w="1495" w:type="dxa"/>
            <w:tcBorders>
              <w:top w:val="nil"/>
              <w:left w:val="nil"/>
              <w:bottom w:val="single" w:sz="4" w:space="0" w:color="808080"/>
              <w:right w:val="nil"/>
            </w:tcBorders>
            <w:shd w:val="clear" w:color="auto" w:fill="auto"/>
            <w:noWrap/>
            <w:vAlign w:val="center"/>
            <w:hideMark/>
          </w:tcPr>
          <w:p w:rsidR="00A70458" w:rsidRPr="0073439D" w:rsidRDefault="00A70458" w:rsidP="0073439D">
            <w:pPr>
              <w:widowControl/>
              <w:overflowPunct/>
              <w:autoSpaceDE/>
              <w:autoSpaceDN/>
              <w:adjustRightInd/>
              <w:spacing w:before="0" w:after="0"/>
              <w:rPr>
                <w:rFonts w:ascii="Arial Narrow" w:hAnsi="Arial Narrow" w:cs="Calibri"/>
                <w:kern w:val="0"/>
                <w:sz w:val="18"/>
                <w:szCs w:val="18"/>
              </w:rPr>
            </w:pPr>
            <w:r w:rsidRPr="0073439D">
              <w:rPr>
                <w:rFonts w:ascii="Arial Narrow" w:hAnsi="Arial Narrow" w:cs="Calibri"/>
                <w:kern w:val="0"/>
                <w:sz w:val="18"/>
                <w:szCs w:val="18"/>
              </w:rPr>
              <w:t>2°gruppo</w:t>
            </w:r>
          </w:p>
        </w:tc>
        <w:tc>
          <w:tcPr>
            <w:tcW w:w="1495" w:type="dxa"/>
            <w:tcBorders>
              <w:top w:val="nil"/>
              <w:left w:val="nil"/>
              <w:bottom w:val="single" w:sz="4" w:space="0" w:color="808080"/>
              <w:right w:val="nil"/>
            </w:tcBorders>
            <w:shd w:val="clear" w:color="auto" w:fill="auto"/>
            <w:noWrap/>
            <w:vAlign w:val="center"/>
            <w:hideMark/>
          </w:tcPr>
          <w:p w:rsidR="00A70458" w:rsidRPr="0073439D" w:rsidRDefault="0073439D" w:rsidP="0073439D">
            <w:pPr>
              <w:widowControl/>
              <w:overflowPunct/>
              <w:autoSpaceDE/>
              <w:autoSpaceDN/>
              <w:adjustRightInd/>
              <w:spacing w:before="0" w:after="0"/>
              <w:jc w:val="right"/>
              <w:rPr>
                <w:rFonts w:ascii="Arial Narrow" w:hAnsi="Arial Narrow" w:cs="Calibri"/>
                <w:kern w:val="0"/>
                <w:sz w:val="18"/>
                <w:szCs w:val="18"/>
              </w:rPr>
            </w:pPr>
            <w:r>
              <w:rPr>
                <w:rFonts w:ascii="Arial Narrow" w:hAnsi="Arial Narrow" w:cs="Calibri"/>
                <w:kern w:val="0"/>
                <w:sz w:val="18"/>
                <w:szCs w:val="18"/>
              </w:rPr>
              <w:t>+</w:t>
            </w:r>
            <w:r w:rsidR="00A70458" w:rsidRPr="0073439D">
              <w:rPr>
                <w:rFonts w:ascii="Arial Narrow" w:hAnsi="Arial Narrow" w:cs="Calibri"/>
                <w:kern w:val="0"/>
                <w:sz w:val="18"/>
                <w:szCs w:val="18"/>
              </w:rPr>
              <w:t>10,6</w:t>
            </w:r>
          </w:p>
        </w:tc>
        <w:tc>
          <w:tcPr>
            <w:tcW w:w="1418" w:type="dxa"/>
            <w:tcBorders>
              <w:top w:val="nil"/>
              <w:left w:val="nil"/>
              <w:bottom w:val="single" w:sz="4" w:space="0" w:color="808080"/>
              <w:right w:val="nil"/>
            </w:tcBorders>
            <w:shd w:val="clear" w:color="000000" w:fill="D9D9D9"/>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+6,2</w:t>
            </w:r>
          </w:p>
        </w:tc>
        <w:tc>
          <w:tcPr>
            <w:tcW w:w="1418" w:type="dxa"/>
            <w:tcBorders>
              <w:top w:val="nil"/>
              <w:left w:val="nil"/>
              <w:bottom w:val="single" w:sz="4" w:space="0" w:color="808080"/>
              <w:right w:val="nil"/>
            </w:tcBorders>
            <w:shd w:val="clear" w:color="auto" w:fill="auto"/>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+11,1</w:t>
            </w:r>
          </w:p>
        </w:tc>
        <w:tc>
          <w:tcPr>
            <w:tcW w:w="1418" w:type="dxa"/>
            <w:tcBorders>
              <w:top w:val="nil"/>
              <w:left w:val="nil"/>
              <w:bottom w:val="single" w:sz="4" w:space="0" w:color="808080"/>
              <w:right w:val="nil"/>
            </w:tcBorders>
            <w:shd w:val="clear" w:color="000000" w:fill="D9D9D9"/>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+8,5</w:t>
            </w:r>
          </w:p>
        </w:tc>
        <w:tc>
          <w:tcPr>
            <w:tcW w:w="1418" w:type="dxa"/>
            <w:tcBorders>
              <w:top w:val="nil"/>
              <w:left w:val="nil"/>
              <w:bottom w:val="single" w:sz="4" w:space="0" w:color="808080"/>
              <w:right w:val="nil"/>
            </w:tcBorders>
            <w:shd w:val="clear" w:color="auto" w:fill="auto"/>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+6,2</w:t>
            </w:r>
          </w:p>
        </w:tc>
        <w:tc>
          <w:tcPr>
            <w:tcW w:w="1418" w:type="dxa"/>
            <w:tcBorders>
              <w:top w:val="nil"/>
              <w:left w:val="nil"/>
              <w:bottom w:val="single" w:sz="4" w:space="0" w:color="808080"/>
              <w:right w:val="nil"/>
            </w:tcBorders>
            <w:shd w:val="clear" w:color="000000" w:fill="D9D9D9"/>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-0,3</w:t>
            </w:r>
          </w:p>
        </w:tc>
      </w:tr>
      <w:tr w:rsidR="00A70458" w:rsidRPr="00FD4E8A" w:rsidTr="0073439D">
        <w:trPr>
          <w:trHeight w:val="255"/>
        </w:trPr>
        <w:tc>
          <w:tcPr>
            <w:tcW w:w="1495" w:type="dxa"/>
            <w:tcBorders>
              <w:top w:val="nil"/>
              <w:left w:val="nil"/>
              <w:bottom w:val="single" w:sz="4" w:space="0" w:color="808080"/>
              <w:right w:val="nil"/>
            </w:tcBorders>
            <w:shd w:val="clear" w:color="auto" w:fill="auto"/>
            <w:noWrap/>
            <w:vAlign w:val="center"/>
            <w:hideMark/>
          </w:tcPr>
          <w:p w:rsidR="00A70458" w:rsidRPr="0073439D" w:rsidRDefault="00A70458" w:rsidP="0073439D">
            <w:pPr>
              <w:widowControl/>
              <w:overflowPunct/>
              <w:autoSpaceDE/>
              <w:autoSpaceDN/>
              <w:adjustRightInd/>
              <w:spacing w:before="0" w:after="0"/>
              <w:rPr>
                <w:rFonts w:ascii="Arial Narrow" w:hAnsi="Arial Narrow" w:cs="Calibri"/>
                <w:kern w:val="0"/>
                <w:sz w:val="18"/>
                <w:szCs w:val="18"/>
              </w:rPr>
            </w:pPr>
            <w:r w:rsidRPr="0073439D">
              <w:rPr>
                <w:rFonts w:ascii="Arial Narrow" w:hAnsi="Arial Narrow" w:cs="Calibri"/>
                <w:kern w:val="0"/>
                <w:sz w:val="18"/>
                <w:szCs w:val="18"/>
              </w:rPr>
              <w:t>3°gruppo</w:t>
            </w:r>
          </w:p>
        </w:tc>
        <w:tc>
          <w:tcPr>
            <w:tcW w:w="1495" w:type="dxa"/>
            <w:tcBorders>
              <w:top w:val="nil"/>
              <w:left w:val="nil"/>
              <w:bottom w:val="single" w:sz="4" w:space="0" w:color="808080"/>
              <w:right w:val="nil"/>
            </w:tcBorders>
            <w:shd w:val="clear" w:color="auto" w:fill="auto"/>
            <w:noWrap/>
            <w:vAlign w:val="center"/>
            <w:hideMark/>
          </w:tcPr>
          <w:p w:rsidR="00A70458" w:rsidRPr="0073439D" w:rsidRDefault="0073439D" w:rsidP="0073439D">
            <w:pPr>
              <w:widowControl/>
              <w:overflowPunct/>
              <w:autoSpaceDE/>
              <w:autoSpaceDN/>
              <w:adjustRightInd/>
              <w:spacing w:before="0" w:after="0"/>
              <w:jc w:val="right"/>
              <w:rPr>
                <w:rFonts w:ascii="Arial Narrow" w:hAnsi="Arial Narrow" w:cs="Calibri"/>
                <w:kern w:val="0"/>
                <w:sz w:val="18"/>
                <w:szCs w:val="18"/>
              </w:rPr>
            </w:pPr>
            <w:r>
              <w:rPr>
                <w:rFonts w:ascii="Arial Narrow" w:hAnsi="Arial Narrow" w:cs="Calibri"/>
                <w:kern w:val="0"/>
                <w:sz w:val="18"/>
                <w:szCs w:val="18"/>
              </w:rPr>
              <w:t>+</w:t>
            </w:r>
            <w:r w:rsidR="00A70458" w:rsidRPr="0073439D">
              <w:rPr>
                <w:rFonts w:ascii="Arial Narrow" w:hAnsi="Arial Narrow" w:cs="Calibri"/>
                <w:kern w:val="0"/>
                <w:sz w:val="18"/>
                <w:szCs w:val="18"/>
              </w:rPr>
              <w:t>9,4</w:t>
            </w:r>
          </w:p>
        </w:tc>
        <w:tc>
          <w:tcPr>
            <w:tcW w:w="1418" w:type="dxa"/>
            <w:tcBorders>
              <w:top w:val="nil"/>
              <w:left w:val="nil"/>
              <w:bottom w:val="single" w:sz="4" w:space="0" w:color="808080"/>
              <w:right w:val="nil"/>
            </w:tcBorders>
            <w:shd w:val="clear" w:color="000000" w:fill="D9D9D9"/>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+5,9</w:t>
            </w:r>
          </w:p>
        </w:tc>
        <w:tc>
          <w:tcPr>
            <w:tcW w:w="1418" w:type="dxa"/>
            <w:tcBorders>
              <w:top w:val="nil"/>
              <w:left w:val="nil"/>
              <w:bottom w:val="single" w:sz="4" w:space="0" w:color="808080"/>
              <w:right w:val="nil"/>
            </w:tcBorders>
            <w:shd w:val="clear" w:color="auto" w:fill="auto"/>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+9,9</w:t>
            </w:r>
          </w:p>
        </w:tc>
        <w:tc>
          <w:tcPr>
            <w:tcW w:w="1418" w:type="dxa"/>
            <w:tcBorders>
              <w:top w:val="nil"/>
              <w:left w:val="nil"/>
              <w:bottom w:val="single" w:sz="4" w:space="0" w:color="808080"/>
              <w:right w:val="nil"/>
            </w:tcBorders>
            <w:shd w:val="clear" w:color="000000" w:fill="D9D9D9"/>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+7,8</w:t>
            </w:r>
          </w:p>
        </w:tc>
        <w:tc>
          <w:tcPr>
            <w:tcW w:w="1418" w:type="dxa"/>
            <w:tcBorders>
              <w:top w:val="nil"/>
              <w:left w:val="nil"/>
              <w:bottom w:val="single" w:sz="4" w:space="0" w:color="808080"/>
              <w:right w:val="nil"/>
            </w:tcBorders>
            <w:shd w:val="clear" w:color="auto" w:fill="auto"/>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+5,8</w:t>
            </w:r>
          </w:p>
        </w:tc>
        <w:tc>
          <w:tcPr>
            <w:tcW w:w="1418" w:type="dxa"/>
            <w:tcBorders>
              <w:top w:val="nil"/>
              <w:left w:val="nil"/>
              <w:bottom w:val="single" w:sz="4" w:space="0" w:color="808080"/>
              <w:right w:val="nil"/>
            </w:tcBorders>
            <w:shd w:val="clear" w:color="000000" w:fill="D9D9D9"/>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+0,4</w:t>
            </w:r>
          </w:p>
        </w:tc>
      </w:tr>
      <w:tr w:rsidR="00A70458" w:rsidRPr="00FD4E8A" w:rsidTr="0073439D">
        <w:trPr>
          <w:trHeight w:val="255"/>
        </w:trPr>
        <w:tc>
          <w:tcPr>
            <w:tcW w:w="1495" w:type="dxa"/>
            <w:tcBorders>
              <w:top w:val="nil"/>
              <w:left w:val="nil"/>
              <w:bottom w:val="single" w:sz="4" w:space="0" w:color="808080"/>
              <w:right w:val="nil"/>
            </w:tcBorders>
            <w:shd w:val="clear" w:color="auto" w:fill="auto"/>
            <w:noWrap/>
            <w:vAlign w:val="center"/>
            <w:hideMark/>
          </w:tcPr>
          <w:p w:rsidR="00A70458" w:rsidRPr="0073439D" w:rsidRDefault="00A70458" w:rsidP="0073439D">
            <w:pPr>
              <w:widowControl/>
              <w:overflowPunct/>
              <w:autoSpaceDE/>
              <w:autoSpaceDN/>
              <w:adjustRightInd/>
              <w:spacing w:before="0" w:after="0"/>
              <w:rPr>
                <w:rFonts w:ascii="Arial Narrow" w:hAnsi="Arial Narrow" w:cs="Calibri"/>
                <w:kern w:val="0"/>
                <w:sz w:val="18"/>
                <w:szCs w:val="18"/>
              </w:rPr>
            </w:pPr>
            <w:r w:rsidRPr="0073439D">
              <w:rPr>
                <w:rFonts w:ascii="Arial Narrow" w:hAnsi="Arial Narrow" w:cs="Calibri"/>
                <w:kern w:val="0"/>
                <w:sz w:val="18"/>
                <w:szCs w:val="18"/>
              </w:rPr>
              <w:t>4°gruppo</w:t>
            </w:r>
          </w:p>
        </w:tc>
        <w:tc>
          <w:tcPr>
            <w:tcW w:w="1495" w:type="dxa"/>
            <w:tcBorders>
              <w:top w:val="nil"/>
              <w:left w:val="nil"/>
              <w:bottom w:val="single" w:sz="4" w:space="0" w:color="808080"/>
              <w:right w:val="nil"/>
            </w:tcBorders>
            <w:shd w:val="clear" w:color="auto" w:fill="auto"/>
            <w:noWrap/>
            <w:vAlign w:val="center"/>
            <w:hideMark/>
          </w:tcPr>
          <w:p w:rsidR="00A70458" w:rsidRPr="0073439D" w:rsidRDefault="0073439D" w:rsidP="0073439D">
            <w:pPr>
              <w:widowControl/>
              <w:overflowPunct/>
              <w:autoSpaceDE/>
              <w:autoSpaceDN/>
              <w:adjustRightInd/>
              <w:spacing w:before="0" w:after="0"/>
              <w:jc w:val="right"/>
              <w:rPr>
                <w:rFonts w:ascii="Arial Narrow" w:hAnsi="Arial Narrow" w:cs="Calibri"/>
                <w:kern w:val="0"/>
                <w:sz w:val="18"/>
                <w:szCs w:val="18"/>
              </w:rPr>
            </w:pPr>
            <w:r>
              <w:rPr>
                <w:rFonts w:ascii="Arial Narrow" w:hAnsi="Arial Narrow" w:cs="Calibri"/>
                <w:kern w:val="0"/>
                <w:sz w:val="18"/>
                <w:szCs w:val="18"/>
              </w:rPr>
              <w:t>+</w:t>
            </w:r>
            <w:r w:rsidR="00A70458" w:rsidRPr="0073439D">
              <w:rPr>
                <w:rFonts w:ascii="Arial Narrow" w:hAnsi="Arial Narrow" w:cs="Calibri"/>
                <w:kern w:val="0"/>
                <w:sz w:val="18"/>
                <w:szCs w:val="18"/>
              </w:rPr>
              <w:t>8,5</w:t>
            </w:r>
          </w:p>
        </w:tc>
        <w:tc>
          <w:tcPr>
            <w:tcW w:w="1418" w:type="dxa"/>
            <w:tcBorders>
              <w:top w:val="nil"/>
              <w:left w:val="nil"/>
              <w:bottom w:val="single" w:sz="4" w:space="0" w:color="808080"/>
              <w:right w:val="nil"/>
            </w:tcBorders>
            <w:shd w:val="clear" w:color="000000" w:fill="D9D9D9"/>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+5,8</w:t>
            </w:r>
          </w:p>
        </w:tc>
        <w:tc>
          <w:tcPr>
            <w:tcW w:w="1418" w:type="dxa"/>
            <w:tcBorders>
              <w:top w:val="nil"/>
              <w:left w:val="nil"/>
              <w:bottom w:val="single" w:sz="4" w:space="0" w:color="808080"/>
              <w:right w:val="nil"/>
            </w:tcBorders>
            <w:shd w:val="clear" w:color="auto" w:fill="auto"/>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+9,2</w:t>
            </w:r>
          </w:p>
        </w:tc>
        <w:tc>
          <w:tcPr>
            <w:tcW w:w="1418" w:type="dxa"/>
            <w:tcBorders>
              <w:top w:val="nil"/>
              <w:left w:val="nil"/>
              <w:bottom w:val="single" w:sz="4" w:space="0" w:color="808080"/>
              <w:right w:val="nil"/>
            </w:tcBorders>
            <w:shd w:val="clear" w:color="000000" w:fill="D9D9D9"/>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+7,5</w:t>
            </w:r>
          </w:p>
        </w:tc>
        <w:tc>
          <w:tcPr>
            <w:tcW w:w="1418" w:type="dxa"/>
            <w:tcBorders>
              <w:top w:val="nil"/>
              <w:left w:val="nil"/>
              <w:bottom w:val="single" w:sz="4" w:space="0" w:color="808080"/>
              <w:right w:val="nil"/>
            </w:tcBorders>
            <w:shd w:val="clear" w:color="auto" w:fill="auto"/>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+5,7</w:t>
            </w:r>
          </w:p>
        </w:tc>
        <w:tc>
          <w:tcPr>
            <w:tcW w:w="1418" w:type="dxa"/>
            <w:tcBorders>
              <w:top w:val="nil"/>
              <w:left w:val="nil"/>
              <w:bottom w:val="single" w:sz="4" w:space="0" w:color="808080"/>
              <w:right w:val="nil"/>
            </w:tcBorders>
            <w:shd w:val="clear" w:color="000000" w:fill="D9D9D9"/>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+1,2</w:t>
            </w:r>
          </w:p>
        </w:tc>
      </w:tr>
      <w:tr w:rsidR="00A70458" w:rsidRPr="00FD4E8A" w:rsidTr="0073439D">
        <w:trPr>
          <w:trHeight w:val="255"/>
        </w:trPr>
        <w:tc>
          <w:tcPr>
            <w:tcW w:w="1495" w:type="dxa"/>
            <w:tcBorders>
              <w:top w:val="nil"/>
              <w:left w:val="nil"/>
              <w:bottom w:val="single" w:sz="4" w:space="0" w:color="808080"/>
              <w:right w:val="nil"/>
            </w:tcBorders>
            <w:shd w:val="clear" w:color="auto" w:fill="auto"/>
            <w:noWrap/>
            <w:vAlign w:val="center"/>
            <w:hideMark/>
          </w:tcPr>
          <w:p w:rsidR="00A70458" w:rsidRPr="0073439D" w:rsidRDefault="00A70458" w:rsidP="0073439D">
            <w:pPr>
              <w:widowControl/>
              <w:overflowPunct/>
              <w:autoSpaceDE/>
              <w:autoSpaceDN/>
              <w:adjustRightInd/>
              <w:spacing w:before="0" w:after="0"/>
              <w:rPr>
                <w:rFonts w:ascii="Arial Narrow" w:hAnsi="Arial Narrow" w:cs="Calibri"/>
                <w:kern w:val="0"/>
                <w:sz w:val="18"/>
                <w:szCs w:val="18"/>
              </w:rPr>
            </w:pPr>
            <w:r w:rsidRPr="0073439D">
              <w:rPr>
                <w:rFonts w:ascii="Arial Narrow" w:hAnsi="Arial Narrow" w:cs="Calibri"/>
                <w:kern w:val="0"/>
                <w:sz w:val="18"/>
                <w:szCs w:val="18"/>
              </w:rPr>
              <w:t>5°gruppo</w:t>
            </w:r>
          </w:p>
        </w:tc>
        <w:tc>
          <w:tcPr>
            <w:tcW w:w="1495" w:type="dxa"/>
            <w:tcBorders>
              <w:top w:val="nil"/>
              <w:left w:val="nil"/>
              <w:bottom w:val="single" w:sz="4" w:space="0" w:color="808080"/>
              <w:right w:val="nil"/>
            </w:tcBorders>
            <w:shd w:val="clear" w:color="auto" w:fill="auto"/>
            <w:noWrap/>
            <w:vAlign w:val="center"/>
            <w:hideMark/>
          </w:tcPr>
          <w:p w:rsidR="00A70458" w:rsidRPr="0073439D" w:rsidRDefault="0073439D" w:rsidP="0073439D">
            <w:pPr>
              <w:widowControl/>
              <w:overflowPunct/>
              <w:autoSpaceDE/>
              <w:autoSpaceDN/>
              <w:adjustRightInd/>
              <w:spacing w:before="0" w:after="0"/>
              <w:jc w:val="right"/>
              <w:rPr>
                <w:rFonts w:ascii="Arial Narrow" w:hAnsi="Arial Narrow" w:cs="Calibri"/>
                <w:kern w:val="0"/>
                <w:sz w:val="18"/>
                <w:szCs w:val="18"/>
              </w:rPr>
            </w:pPr>
            <w:r>
              <w:rPr>
                <w:rFonts w:ascii="Arial Narrow" w:hAnsi="Arial Narrow" w:cs="Calibri"/>
                <w:kern w:val="0"/>
                <w:sz w:val="18"/>
                <w:szCs w:val="18"/>
              </w:rPr>
              <w:t>+</w:t>
            </w:r>
            <w:r w:rsidR="00A70458" w:rsidRPr="0073439D">
              <w:rPr>
                <w:rFonts w:ascii="Arial Narrow" w:hAnsi="Arial Narrow" w:cs="Calibri"/>
                <w:kern w:val="0"/>
                <w:sz w:val="18"/>
                <w:szCs w:val="18"/>
              </w:rPr>
              <w:t>7,2</w:t>
            </w:r>
          </w:p>
        </w:tc>
        <w:tc>
          <w:tcPr>
            <w:tcW w:w="1418" w:type="dxa"/>
            <w:tcBorders>
              <w:top w:val="nil"/>
              <w:left w:val="nil"/>
              <w:bottom w:val="single" w:sz="4" w:space="0" w:color="808080"/>
              <w:right w:val="nil"/>
            </w:tcBorders>
            <w:shd w:val="clear" w:color="000000" w:fill="D9D9D9"/>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+5,7</w:t>
            </w:r>
          </w:p>
        </w:tc>
        <w:tc>
          <w:tcPr>
            <w:tcW w:w="1418" w:type="dxa"/>
            <w:tcBorders>
              <w:top w:val="nil"/>
              <w:left w:val="nil"/>
              <w:bottom w:val="single" w:sz="4" w:space="0" w:color="808080"/>
              <w:right w:val="nil"/>
            </w:tcBorders>
            <w:shd w:val="clear" w:color="auto" w:fill="auto"/>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+8,2</w:t>
            </w:r>
          </w:p>
        </w:tc>
        <w:tc>
          <w:tcPr>
            <w:tcW w:w="1418" w:type="dxa"/>
            <w:tcBorders>
              <w:top w:val="nil"/>
              <w:left w:val="nil"/>
              <w:bottom w:val="single" w:sz="4" w:space="0" w:color="808080"/>
              <w:right w:val="nil"/>
            </w:tcBorders>
            <w:shd w:val="clear" w:color="000000" w:fill="D9D9D9"/>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+7,1</w:t>
            </w:r>
          </w:p>
        </w:tc>
        <w:tc>
          <w:tcPr>
            <w:tcW w:w="1418" w:type="dxa"/>
            <w:tcBorders>
              <w:top w:val="nil"/>
              <w:left w:val="nil"/>
              <w:bottom w:val="single" w:sz="4" w:space="0" w:color="808080"/>
              <w:right w:val="nil"/>
            </w:tcBorders>
            <w:shd w:val="clear" w:color="auto" w:fill="auto"/>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+5,6</w:t>
            </w:r>
          </w:p>
        </w:tc>
        <w:tc>
          <w:tcPr>
            <w:tcW w:w="1418" w:type="dxa"/>
            <w:tcBorders>
              <w:top w:val="nil"/>
              <w:left w:val="nil"/>
              <w:bottom w:val="single" w:sz="4" w:space="0" w:color="808080"/>
              <w:right w:val="nil"/>
            </w:tcBorders>
            <w:shd w:val="clear" w:color="000000" w:fill="D9D9D9"/>
            <w:noWrap/>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kern w:val="0"/>
                <w:sz w:val="18"/>
                <w:szCs w:val="18"/>
              </w:rPr>
            </w:pPr>
            <w:r w:rsidRPr="0073439D">
              <w:rPr>
                <w:rFonts w:ascii="Arial Narrow" w:hAnsi="Arial Narrow" w:cs="Calibri"/>
                <w:kern w:val="0"/>
                <w:sz w:val="18"/>
                <w:szCs w:val="18"/>
              </w:rPr>
              <w:t>+2,2</w:t>
            </w:r>
          </w:p>
        </w:tc>
      </w:tr>
      <w:tr w:rsidR="00A70458" w:rsidRPr="00FD4E8A" w:rsidTr="0073439D">
        <w:trPr>
          <w:trHeight w:val="255"/>
        </w:trPr>
        <w:tc>
          <w:tcPr>
            <w:tcW w:w="1495" w:type="dxa"/>
            <w:tcBorders>
              <w:top w:val="nil"/>
              <w:left w:val="nil"/>
              <w:bottom w:val="single" w:sz="4" w:space="0" w:color="808080"/>
              <w:right w:val="nil"/>
            </w:tcBorders>
            <w:shd w:val="clear" w:color="000000" w:fill="FF0000"/>
            <w:vAlign w:val="center"/>
            <w:hideMark/>
          </w:tcPr>
          <w:p w:rsidR="00A70458" w:rsidRPr="0073439D" w:rsidRDefault="00A70458" w:rsidP="0073439D">
            <w:pPr>
              <w:widowControl/>
              <w:overflowPunct/>
              <w:autoSpaceDE/>
              <w:autoSpaceDN/>
              <w:adjustRightInd/>
              <w:spacing w:before="0" w:after="0"/>
              <w:rPr>
                <w:rFonts w:ascii="Arial Narrow" w:hAnsi="Arial Narrow" w:cs="Calibri"/>
                <w:b/>
                <w:bCs/>
                <w:color w:val="FFFFFF"/>
                <w:kern w:val="0"/>
                <w:sz w:val="18"/>
                <w:szCs w:val="18"/>
              </w:rPr>
            </w:pPr>
            <w:r w:rsidRPr="0073439D">
              <w:rPr>
                <w:rFonts w:ascii="Arial Narrow" w:hAnsi="Arial Narrow" w:cs="Calibri"/>
                <w:b/>
                <w:bCs/>
                <w:color w:val="FFFFFF"/>
                <w:kern w:val="0"/>
                <w:sz w:val="18"/>
                <w:szCs w:val="18"/>
              </w:rPr>
              <w:t>IPCA</w:t>
            </w:r>
          </w:p>
        </w:tc>
        <w:tc>
          <w:tcPr>
            <w:tcW w:w="1495" w:type="dxa"/>
            <w:tcBorders>
              <w:top w:val="nil"/>
              <w:left w:val="nil"/>
              <w:bottom w:val="single" w:sz="4" w:space="0" w:color="808080"/>
              <w:right w:val="nil"/>
            </w:tcBorders>
            <w:shd w:val="clear" w:color="000000" w:fill="FF0000"/>
            <w:vAlign w:val="center"/>
            <w:hideMark/>
          </w:tcPr>
          <w:p w:rsidR="00A70458" w:rsidRPr="0073439D" w:rsidRDefault="0073439D" w:rsidP="0073439D">
            <w:pPr>
              <w:widowControl/>
              <w:overflowPunct/>
              <w:autoSpaceDE/>
              <w:autoSpaceDN/>
              <w:adjustRightInd/>
              <w:spacing w:before="0" w:after="0"/>
              <w:jc w:val="right"/>
              <w:rPr>
                <w:rFonts w:ascii="Arial Narrow" w:hAnsi="Arial Narrow" w:cs="Calibri"/>
                <w:b/>
                <w:bCs/>
                <w:color w:val="FFFFFF"/>
                <w:kern w:val="0"/>
                <w:sz w:val="18"/>
                <w:szCs w:val="18"/>
              </w:rPr>
            </w:pPr>
            <w:r>
              <w:rPr>
                <w:rFonts w:ascii="Arial Narrow" w:hAnsi="Arial Narrow" w:cs="Calibri"/>
                <w:b/>
                <w:bCs/>
                <w:color w:val="FFFFFF"/>
                <w:kern w:val="0"/>
                <w:sz w:val="18"/>
                <w:szCs w:val="18"/>
              </w:rPr>
              <w:t>+</w:t>
            </w:r>
            <w:r w:rsidR="00A70458" w:rsidRPr="0073439D">
              <w:rPr>
                <w:rFonts w:ascii="Arial Narrow" w:hAnsi="Arial Narrow" w:cs="Calibri"/>
                <w:b/>
                <w:bCs/>
                <w:color w:val="FFFFFF"/>
                <w:kern w:val="0"/>
                <w:sz w:val="18"/>
                <w:szCs w:val="18"/>
              </w:rPr>
              <w:t>8,7</w:t>
            </w:r>
          </w:p>
        </w:tc>
        <w:tc>
          <w:tcPr>
            <w:tcW w:w="1418" w:type="dxa"/>
            <w:tcBorders>
              <w:top w:val="nil"/>
              <w:left w:val="nil"/>
              <w:bottom w:val="single" w:sz="4" w:space="0" w:color="808080"/>
              <w:right w:val="nil"/>
            </w:tcBorders>
            <w:shd w:val="clear" w:color="000000" w:fill="FF0000"/>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b/>
                <w:bCs/>
                <w:color w:val="FFFFFF"/>
                <w:kern w:val="0"/>
                <w:sz w:val="18"/>
                <w:szCs w:val="18"/>
              </w:rPr>
            </w:pPr>
            <w:r w:rsidRPr="0073439D">
              <w:rPr>
                <w:rFonts w:ascii="Arial Narrow" w:hAnsi="Arial Narrow" w:cs="Calibri"/>
                <w:b/>
                <w:bCs/>
                <w:color w:val="FFFFFF"/>
                <w:kern w:val="0"/>
                <w:sz w:val="18"/>
                <w:szCs w:val="18"/>
              </w:rPr>
              <w:t>+5,9</w:t>
            </w:r>
          </w:p>
        </w:tc>
        <w:tc>
          <w:tcPr>
            <w:tcW w:w="1418" w:type="dxa"/>
            <w:tcBorders>
              <w:top w:val="nil"/>
              <w:left w:val="nil"/>
              <w:bottom w:val="single" w:sz="4" w:space="0" w:color="808080"/>
              <w:right w:val="nil"/>
            </w:tcBorders>
            <w:shd w:val="clear" w:color="000000" w:fill="FF0000"/>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b/>
                <w:bCs/>
                <w:color w:val="FFFFFF"/>
                <w:kern w:val="0"/>
                <w:sz w:val="18"/>
                <w:szCs w:val="18"/>
              </w:rPr>
            </w:pPr>
            <w:r w:rsidRPr="0073439D">
              <w:rPr>
                <w:rFonts w:ascii="Arial Narrow" w:hAnsi="Arial Narrow" w:cs="Calibri"/>
                <w:b/>
                <w:bCs/>
                <w:color w:val="FFFFFF"/>
                <w:kern w:val="0"/>
                <w:sz w:val="18"/>
                <w:szCs w:val="18"/>
              </w:rPr>
              <w:t>+9,5</w:t>
            </w:r>
          </w:p>
        </w:tc>
        <w:tc>
          <w:tcPr>
            <w:tcW w:w="1418" w:type="dxa"/>
            <w:tcBorders>
              <w:top w:val="nil"/>
              <w:left w:val="nil"/>
              <w:bottom w:val="single" w:sz="4" w:space="0" w:color="808080"/>
              <w:right w:val="nil"/>
            </w:tcBorders>
            <w:shd w:val="clear" w:color="000000" w:fill="FF0000"/>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b/>
                <w:bCs/>
                <w:color w:val="FFFFFF"/>
                <w:kern w:val="0"/>
                <w:sz w:val="18"/>
                <w:szCs w:val="18"/>
              </w:rPr>
            </w:pPr>
            <w:r w:rsidRPr="0073439D">
              <w:rPr>
                <w:rFonts w:ascii="Arial Narrow" w:hAnsi="Arial Narrow" w:cs="Calibri"/>
                <w:b/>
                <w:bCs/>
                <w:color w:val="FFFFFF"/>
                <w:kern w:val="0"/>
                <w:sz w:val="18"/>
                <w:szCs w:val="18"/>
              </w:rPr>
              <w:t>+7,8</w:t>
            </w:r>
          </w:p>
        </w:tc>
        <w:tc>
          <w:tcPr>
            <w:tcW w:w="1418" w:type="dxa"/>
            <w:tcBorders>
              <w:top w:val="nil"/>
              <w:left w:val="nil"/>
              <w:bottom w:val="single" w:sz="4" w:space="0" w:color="808080"/>
              <w:right w:val="nil"/>
            </w:tcBorders>
            <w:shd w:val="clear" w:color="000000" w:fill="FF0000"/>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b/>
                <w:bCs/>
                <w:color w:val="FFFFFF"/>
                <w:kern w:val="0"/>
                <w:sz w:val="18"/>
                <w:szCs w:val="18"/>
              </w:rPr>
            </w:pPr>
            <w:r w:rsidRPr="0073439D">
              <w:rPr>
                <w:rFonts w:ascii="Arial Narrow" w:hAnsi="Arial Narrow" w:cs="Calibri"/>
                <w:b/>
                <w:bCs/>
                <w:color w:val="FFFFFF"/>
                <w:kern w:val="0"/>
                <w:sz w:val="18"/>
                <w:szCs w:val="18"/>
              </w:rPr>
              <w:t>+5,8</w:t>
            </w:r>
          </w:p>
        </w:tc>
        <w:tc>
          <w:tcPr>
            <w:tcW w:w="1418" w:type="dxa"/>
            <w:tcBorders>
              <w:top w:val="nil"/>
              <w:left w:val="nil"/>
              <w:bottom w:val="single" w:sz="4" w:space="0" w:color="808080"/>
              <w:right w:val="nil"/>
            </w:tcBorders>
            <w:shd w:val="clear" w:color="000000" w:fill="FF0000"/>
            <w:vAlign w:val="center"/>
            <w:hideMark/>
          </w:tcPr>
          <w:p w:rsidR="00A70458" w:rsidRPr="0073439D" w:rsidRDefault="00A70458" w:rsidP="0073439D">
            <w:pPr>
              <w:widowControl/>
              <w:overflowPunct/>
              <w:autoSpaceDE/>
              <w:autoSpaceDN/>
              <w:adjustRightInd/>
              <w:spacing w:before="0" w:after="0"/>
              <w:jc w:val="right"/>
              <w:rPr>
                <w:rFonts w:ascii="Arial Narrow" w:hAnsi="Arial Narrow" w:cs="Calibri"/>
                <w:b/>
                <w:bCs/>
                <w:color w:val="FFFFFF"/>
                <w:kern w:val="0"/>
                <w:sz w:val="18"/>
                <w:szCs w:val="18"/>
              </w:rPr>
            </w:pPr>
            <w:r w:rsidRPr="0073439D">
              <w:rPr>
                <w:rFonts w:ascii="Arial Narrow" w:hAnsi="Arial Narrow" w:cs="Calibri"/>
                <w:b/>
                <w:bCs/>
                <w:color w:val="FFFFFF"/>
                <w:kern w:val="0"/>
                <w:sz w:val="18"/>
                <w:szCs w:val="18"/>
              </w:rPr>
              <w:t>+1,0</w:t>
            </w:r>
          </w:p>
        </w:tc>
      </w:tr>
    </w:tbl>
    <w:p w:rsidR="00A70458" w:rsidRDefault="00A70458" w:rsidP="00A70458">
      <w:pPr>
        <w:spacing w:after="120"/>
        <w:rPr>
          <w:rFonts w:ascii="Arial Narrow" w:hAnsi="Arial Narrow" w:cs="Arial"/>
          <w:b/>
          <w:color w:val="E42618"/>
          <w:sz w:val="22"/>
          <w:szCs w:val="22"/>
        </w:rPr>
      </w:pPr>
    </w:p>
    <w:p w:rsidR="00A70458" w:rsidRDefault="00A70458" w:rsidP="00A70458">
      <w:pPr>
        <w:spacing w:after="120"/>
        <w:rPr>
          <w:rFonts w:ascii="Arial Narrow" w:hAnsi="Arial Narrow" w:cs="Arial"/>
          <w:color w:val="5F5F5F"/>
        </w:rPr>
      </w:pPr>
      <w:r w:rsidRPr="00AA0C22">
        <w:rPr>
          <w:rFonts w:ascii="Arial Narrow" w:hAnsi="Arial Narrow" w:cs="Arial"/>
          <w:b/>
          <w:color w:val="E42618"/>
          <w:sz w:val="22"/>
          <w:szCs w:val="22"/>
        </w:rPr>
        <w:t>FIGURA 9.</w:t>
      </w:r>
      <w:r w:rsidRPr="00AA0C22">
        <w:rPr>
          <w:rFonts w:ascii="Arial Narrow" w:hAnsi="Arial Narrow" w:cs="Arial"/>
          <w:b/>
          <w:color w:val="5F5F5F"/>
          <w:sz w:val="22"/>
          <w:szCs w:val="22"/>
        </w:rPr>
        <w:t xml:space="preserve"> </w:t>
      </w:r>
      <w:r w:rsidRPr="00AA0C22">
        <w:rPr>
          <w:rFonts w:ascii="Arial Narrow" w:hAnsi="Arial Narrow" w:cs="Calibri"/>
          <w:b/>
          <w:bCs/>
          <w:color w:val="5F5F5F"/>
          <w:sz w:val="22"/>
          <w:szCs w:val="22"/>
        </w:rPr>
        <w:t>INDICI DEI PREZZI AL CONSUMO IPCA PER CLASSI DI SPESA DELLE FAMIGLIE</w:t>
      </w:r>
      <w:r w:rsidRPr="00AA0C22">
        <w:rPr>
          <w:rFonts w:ascii="Arial Narrow" w:hAnsi="Arial Narrow" w:cs="Arial"/>
          <w:b/>
          <w:color w:val="5F5F5F"/>
          <w:sz w:val="22"/>
          <w:szCs w:val="22"/>
        </w:rPr>
        <w:br/>
      </w:r>
      <w:r w:rsidRPr="00AA0C22">
        <w:rPr>
          <w:rFonts w:ascii="Arial Narrow" w:hAnsi="Arial Narrow" w:cs="Arial"/>
          <w:color w:val="5F5F5F"/>
        </w:rPr>
        <w:t>Gennaio 201</w:t>
      </w:r>
      <w:r>
        <w:rPr>
          <w:rFonts w:ascii="Arial Narrow" w:hAnsi="Arial Narrow" w:cs="Arial"/>
          <w:color w:val="5F5F5F"/>
        </w:rPr>
        <w:t>8 - dicembre 2023</w:t>
      </w:r>
      <w:r w:rsidRPr="00AA0C22">
        <w:rPr>
          <w:rFonts w:ascii="Arial Narrow" w:hAnsi="Arial Narrow" w:cs="Arial"/>
          <w:color w:val="5F5F5F"/>
        </w:rPr>
        <w:t>, variazioni percentuali tendenziali (base 2015=100</w:t>
      </w:r>
      <w:r>
        <w:rPr>
          <w:rFonts w:ascii="Arial Narrow" w:hAnsi="Arial Narrow" w:cs="Arial"/>
          <w:color w:val="5F5F5F"/>
        </w:rPr>
        <w:t xml:space="preserve">) </w:t>
      </w:r>
    </w:p>
    <w:p w:rsidR="00A70458" w:rsidRDefault="003E2A9A" w:rsidP="00A70458">
      <w:pPr>
        <w:spacing w:after="120"/>
        <w:rPr>
          <w:rFonts w:ascii="Arial Narrow" w:hAnsi="Arial Narrow" w:cs="Arial"/>
          <w:color w:val="5F5F5F"/>
        </w:rPr>
      </w:pPr>
      <w:r>
        <w:rPr>
          <w:rFonts w:ascii="Arial Narrow" w:hAnsi="Arial Narrow" w:cs="Arial"/>
          <w:noProof/>
          <w:color w:val="5F5F5F"/>
        </w:rPr>
        <w:drawing>
          <wp:inline distT="0" distB="0" distL="0" distR="0" wp14:anchorId="59667005">
            <wp:extent cx="6663690" cy="2164080"/>
            <wp:effectExtent l="0" t="0" r="3810" b="762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3690" cy="2164080"/>
                    </a:xfrm>
                    <a:prstGeom prst="rect">
                      <a:avLst/>
                    </a:prstGeom>
                    <a:noFill/>
                  </pic:spPr>
                </pic:pic>
              </a:graphicData>
            </a:graphic>
          </wp:inline>
        </w:drawing>
      </w:r>
    </w:p>
    <w:p w:rsidR="00A70458" w:rsidRDefault="00A70458" w:rsidP="00A70458">
      <w:pPr>
        <w:spacing w:after="120"/>
        <w:rPr>
          <w:rFonts w:ascii="Arial Narrow" w:hAnsi="Arial Narrow" w:cs="Arial"/>
          <w:color w:val="5F5F5F"/>
        </w:rPr>
      </w:pPr>
    </w:p>
    <w:p w:rsidR="00A70458" w:rsidRDefault="00A70458" w:rsidP="00A70458">
      <w:pPr>
        <w:spacing w:after="120"/>
        <w:rPr>
          <w:rFonts w:ascii="Arial Narrow" w:hAnsi="Arial Narrow" w:cs="Arial"/>
          <w:color w:val="5F5F5F"/>
        </w:rPr>
      </w:pPr>
    </w:p>
    <w:p w:rsidR="00A70458" w:rsidRPr="00E40D9C" w:rsidRDefault="00A70458" w:rsidP="00A70458">
      <w:pPr>
        <w:tabs>
          <w:tab w:val="left" w:pos="0"/>
          <w:tab w:val="left" w:pos="6300"/>
        </w:tabs>
        <w:spacing w:after="120"/>
        <w:jc w:val="both"/>
        <w:rPr>
          <w:rFonts w:ascii="Arial" w:hAnsi="Arial" w:cs="Arial"/>
          <w:iCs/>
          <w:sz w:val="21"/>
          <w:szCs w:val="21"/>
        </w:rPr>
      </w:pPr>
      <w:r>
        <w:rPr>
          <w:rFonts w:ascii="Arial" w:hAnsi="Arial" w:cs="Arial"/>
          <w:iCs/>
          <w:sz w:val="21"/>
          <w:szCs w:val="21"/>
        </w:rPr>
        <w:t>A</w:t>
      </w:r>
      <w:r w:rsidRPr="00072B99">
        <w:rPr>
          <w:rFonts w:ascii="Arial" w:hAnsi="Arial" w:cs="Arial"/>
          <w:iCs/>
          <w:sz w:val="21"/>
          <w:szCs w:val="21"/>
        </w:rPr>
        <w:t>nche per le famiglie più abbienti</w:t>
      </w:r>
      <w:r>
        <w:rPr>
          <w:rFonts w:ascii="Arial" w:hAnsi="Arial" w:cs="Arial"/>
          <w:iCs/>
          <w:sz w:val="21"/>
          <w:szCs w:val="21"/>
        </w:rPr>
        <w:t xml:space="preserve">, l’inflazione mostra un profilo in netto rallentamento, restando per i primi tre trimestri dell’anno su valori più contenuti </w:t>
      </w:r>
      <w:r w:rsidRPr="00072B99">
        <w:rPr>
          <w:rFonts w:ascii="Arial" w:hAnsi="Arial" w:cs="Arial"/>
          <w:iCs/>
          <w:sz w:val="21"/>
          <w:szCs w:val="21"/>
        </w:rPr>
        <w:t xml:space="preserve">rispetto </w:t>
      </w:r>
      <w:r>
        <w:rPr>
          <w:rFonts w:ascii="Arial" w:hAnsi="Arial" w:cs="Arial"/>
          <w:iCs/>
          <w:sz w:val="21"/>
          <w:szCs w:val="21"/>
        </w:rPr>
        <w:t xml:space="preserve">a quelli misurati per </w:t>
      </w:r>
      <w:r w:rsidRPr="00072B99">
        <w:rPr>
          <w:rFonts w:ascii="Arial" w:hAnsi="Arial" w:cs="Arial"/>
          <w:iCs/>
          <w:sz w:val="21"/>
          <w:szCs w:val="21"/>
        </w:rPr>
        <w:t xml:space="preserve">le famiglie </w:t>
      </w:r>
      <w:r>
        <w:rPr>
          <w:rFonts w:ascii="Arial" w:hAnsi="Arial" w:cs="Arial"/>
          <w:iCs/>
          <w:sz w:val="21"/>
          <w:szCs w:val="21"/>
        </w:rPr>
        <w:t xml:space="preserve">con </w:t>
      </w:r>
      <w:r w:rsidRPr="00072B99">
        <w:rPr>
          <w:rFonts w:ascii="Arial" w:hAnsi="Arial" w:cs="Arial"/>
          <w:iCs/>
          <w:sz w:val="21"/>
          <w:szCs w:val="21"/>
        </w:rPr>
        <w:t>bassi livelli di spesa</w:t>
      </w:r>
      <w:r>
        <w:rPr>
          <w:rFonts w:ascii="Arial" w:hAnsi="Arial" w:cs="Arial"/>
          <w:iCs/>
          <w:sz w:val="21"/>
          <w:szCs w:val="21"/>
        </w:rPr>
        <w:t xml:space="preserve"> mentre segna un valore più elevato nell’ultimo trimestre.</w:t>
      </w:r>
      <w:r w:rsidRPr="00072B99">
        <w:rPr>
          <w:rFonts w:ascii="Arial" w:hAnsi="Arial" w:cs="Arial"/>
          <w:iCs/>
          <w:sz w:val="21"/>
          <w:szCs w:val="21"/>
        </w:rPr>
        <w:t xml:space="preserve"> </w:t>
      </w:r>
      <w:r w:rsidRPr="00E40D9C">
        <w:rPr>
          <w:rFonts w:ascii="Arial" w:hAnsi="Arial" w:cs="Arial"/>
          <w:iCs/>
          <w:sz w:val="21"/>
          <w:szCs w:val="21"/>
        </w:rPr>
        <w:t xml:space="preserve">In particolare l’inflazione </w:t>
      </w:r>
      <w:r>
        <w:rPr>
          <w:rFonts w:ascii="Arial" w:hAnsi="Arial" w:cs="Arial"/>
          <w:iCs/>
          <w:sz w:val="21"/>
          <w:szCs w:val="21"/>
        </w:rPr>
        <w:t xml:space="preserve">rallenta </w:t>
      </w:r>
      <w:r w:rsidRPr="00E40D9C">
        <w:rPr>
          <w:rFonts w:ascii="Arial" w:hAnsi="Arial" w:cs="Arial"/>
          <w:iCs/>
          <w:sz w:val="21"/>
          <w:szCs w:val="21"/>
        </w:rPr>
        <w:t>nel primo trimestre (da +</w:t>
      </w:r>
      <w:r>
        <w:rPr>
          <w:rFonts w:ascii="Arial" w:hAnsi="Arial" w:cs="Arial"/>
          <w:iCs/>
          <w:sz w:val="21"/>
          <w:szCs w:val="21"/>
        </w:rPr>
        <w:t>9</w:t>
      </w:r>
      <w:r w:rsidRPr="00E40D9C">
        <w:rPr>
          <w:rFonts w:ascii="Arial" w:hAnsi="Arial" w:cs="Arial"/>
          <w:iCs/>
          <w:sz w:val="21"/>
          <w:szCs w:val="21"/>
        </w:rPr>
        <w:t>,</w:t>
      </w:r>
      <w:r>
        <w:rPr>
          <w:rFonts w:ascii="Arial" w:hAnsi="Arial" w:cs="Arial"/>
          <w:iCs/>
          <w:sz w:val="21"/>
          <w:szCs w:val="21"/>
        </w:rPr>
        <w:t>9</w:t>
      </w:r>
      <w:r w:rsidRPr="00E40D9C">
        <w:rPr>
          <w:rFonts w:ascii="Arial" w:hAnsi="Arial" w:cs="Arial"/>
          <w:iCs/>
          <w:sz w:val="21"/>
          <w:szCs w:val="21"/>
        </w:rPr>
        <w:t>% dell’ultimo trimestre 202</w:t>
      </w:r>
      <w:r>
        <w:rPr>
          <w:rFonts w:ascii="Arial" w:hAnsi="Arial" w:cs="Arial"/>
          <w:iCs/>
          <w:sz w:val="21"/>
          <w:szCs w:val="21"/>
        </w:rPr>
        <w:t>2</w:t>
      </w:r>
      <w:r w:rsidRPr="00E40D9C">
        <w:rPr>
          <w:rFonts w:ascii="Arial" w:hAnsi="Arial" w:cs="Arial"/>
          <w:iCs/>
          <w:sz w:val="21"/>
          <w:szCs w:val="21"/>
        </w:rPr>
        <w:t xml:space="preserve"> a +</w:t>
      </w:r>
      <w:r>
        <w:rPr>
          <w:rFonts w:ascii="Arial" w:hAnsi="Arial" w:cs="Arial"/>
          <w:iCs/>
          <w:sz w:val="21"/>
          <w:szCs w:val="21"/>
        </w:rPr>
        <w:t>8</w:t>
      </w:r>
      <w:r w:rsidRPr="00E40D9C">
        <w:rPr>
          <w:rFonts w:ascii="Arial" w:hAnsi="Arial" w:cs="Arial"/>
          <w:iCs/>
          <w:sz w:val="21"/>
          <w:szCs w:val="21"/>
        </w:rPr>
        <w:t>,</w:t>
      </w:r>
      <w:r>
        <w:rPr>
          <w:rFonts w:ascii="Arial" w:hAnsi="Arial" w:cs="Arial"/>
          <w:iCs/>
          <w:sz w:val="21"/>
          <w:szCs w:val="21"/>
        </w:rPr>
        <w:t>2%) proseguendo il rallentamento</w:t>
      </w:r>
      <w:r w:rsidRPr="00E40D9C">
        <w:rPr>
          <w:rFonts w:ascii="Arial" w:hAnsi="Arial" w:cs="Arial"/>
          <w:iCs/>
          <w:sz w:val="21"/>
          <w:szCs w:val="21"/>
        </w:rPr>
        <w:t xml:space="preserve"> nei trimestri successivi fino a portarsi a +</w:t>
      </w:r>
      <w:r>
        <w:rPr>
          <w:rFonts w:ascii="Arial" w:hAnsi="Arial" w:cs="Arial"/>
          <w:iCs/>
          <w:sz w:val="21"/>
          <w:szCs w:val="21"/>
        </w:rPr>
        <w:t>2,2</w:t>
      </w:r>
      <w:r w:rsidRPr="00E40D9C">
        <w:rPr>
          <w:rFonts w:ascii="Arial" w:hAnsi="Arial" w:cs="Arial"/>
          <w:iCs/>
          <w:sz w:val="21"/>
          <w:szCs w:val="21"/>
        </w:rPr>
        <w:t xml:space="preserve">% nell’ultimo trimestre dell’anno. </w:t>
      </w:r>
    </w:p>
    <w:p w:rsidR="00A70458" w:rsidRPr="003768B3" w:rsidRDefault="00A70458" w:rsidP="00A70458">
      <w:pPr>
        <w:tabs>
          <w:tab w:val="left" w:pos="0"/>
          <w:tab w:val="left" w:pos="6300"/>
        </w:tabs>
        <w:spacing w:after="120"/>
        <w:jc w:val="both"/>
        <w:rPr>
          <w:rFonts w:ascii="Arial" w:hAnsi="Arial" w:cs="Arial"/>
          <w:iCs/>
          <w:sz w:val="21"/>
          <w:szCs w:val="21"/>
        </w:rPr>
      </w:pPr>
      <w:r w:rsidRPr="00531DD6">
        <w:rPr>
          <w:rFonts w:ascii="Arial" w:hAnsi="Arial" w:cs="Arial"/>
          <w:iCs/>
          <w:sz w:val="21"/>
          <w:szCs w:val="21"/>
        </w:rPr>
        <w:t>La dinamica dell’inflazione dei due gruppi di famiglie riflette principalmente quella del comparto dei beni (Figura 10), i cui prezzi, i</w:t>
      </w:r>
      <w:r>
        <w:rPr>
          <w:rFonts w:ascii="Arial" w:hAnsi="Arial" w:cs="Arial"/>
          <w:iCs/>
          <w:sz w:val="21"/>
          <w:szCs w:val="21"/>
        </w:rPr>
        <w:t>n media d’anno, segnano nel 2023</w:t>
      </w:r>
      <w:r w:rsidRPr="00531DD6">
        <w:rPr>
          <w:rFonts w:ascii="Arial" w:hAnsi="Arial" w:cs="Arial"/>
          <w:iCs/>
          <w:sz w:val="21"/>
          <w:szCs w:val="21"/>
        </w:rPr>
        <w:t xml:space="preserve"> un</w:t>
      </w:r>
      <w:r>
        <w:rPr>
          <w:rFonts w:ascii="Arial" w:hAnsi="Arial" w:cs="Arial"/>
          <w:iCs/>
          <w:sz w:val="21"/>
          <w:szCs w:val="21"/>
        </w:rPr>
        <w:t xml:space="preserve">a crescita </w:t>
      </w:r>
      <w:r w:rsidRPr="00531DD6">
        <w:rPr>
          <w:rFonts w:ascii="Arial" w:hAnsi="Arial" w:cs="Arial"/>
          <w:iCs/>
          <w:sz w:val="21"/>
          <w:szCs w:val="21"/>
        </w:rPr>
        <w:t xml:space="preserve">tendenziale </w:t>
      </w:r>
      <w:r>
        <w:rPr>
          <w:rFonts w:ascii="Arial" w:hAnsi="Arial" w:cs="Arial"/>
          <w:iCs/>
          <w:sz w:val="21"/>
          <w:szCs w:val="21"/>
        </w:rPr>
        <w:t>del</w:t>
      </w:r>
      <w:r w:rsidRPr="00531DD6">
        <w:rPr>
          <w:rFonts w:ascii="Arial" w:hAnsi="Arial" w:cs="Arial"/>
          <w:iCs/>
          <w:sz w:val="21"/>
          <w:szCs w:val="21"/>
        </w:rPr>
        <w:t xml:space="preserve"> +</w:t>
      </w:r>
      <w:r>
        <w:rPr>
          <w:rFonts w:ascii="Arial" w:hAnsi="Arial" w:cs="Arial"/>
          <w:iCs/>
          <w:sz w:val="21"/>
          <w:szCs w:val="21"/>
        </w:rPr>
        <w:t>7,7</w:t>
      </w:r>
      <w:r w:rsidRPr="00531DD6">
        <w:rPr>
          <w:rFonts w:ascii="Arial" w:hAnsi="Arial" w:cs="Arial"/>
          <w:iCs/>
          <w:sz w:val="21"/>
          <w:szCs w:val="21"/>
        </w:rPr>
        <w:t>% per quelle meno abbienti (era +</w:t>
      </w:r>
      <w:r>
        <w:rPr>
          <w:rFonts w:ascii="Arial" w:hAnsi="Arial" w:cs="Arial"/>
          <w:iCs/>
          <w:sz w:val="21"/>
          <w:szCs w:val="21"/>
        </w:rPr>
        <w:t>17,2</w:t>
      </w:r>
      <w:r w:rsidRPr="00531DD6">
        <w:rPr>
          <w:rFonts w:ascii="Arial" w:hAnsi="Arial" w:cs="Arial"/>
          <w:iCs/>
          <w:sz w:val="21"/>
          <w:szCs w:val="21"/>
        </w:rPr>
        <w:t xml:space="preserve">% l’anno precedente) e </w:t>
      </w:r>
      <w:r>
        <w:rPr>
          <w:rFonts w:ascii="Arial" w:hAnsi="Arial" w:cs="Arial"/>
          <w:iCs/>
          <w:sz w:val="21"/>
          <w:szCs w:val="21"/>
        </w:rPr>
        <w:t xml:space="preserve">del </w:t>
      </w:r>
      <w:r w:rsidRPr="00531DD6">
        <w:rPr>
          <w:rFonts w:ascii="Arial" w:hAnsi="Arial" w:cs="Arial"/>
          <w:iCs/>
          <w:sz w:val="21"/>
          <w:szCs w:val="21"/>
        </w:rPr>
        <w:t>+</w:t>
      </w:r>
      <w:r>
        <w:rPr>
          <w:rFonts w:ascii="Arial" w:hAnsi="Arial" w:cs="Arial"/>
          <w:iCs/>
          <w:sz w:val="21"/>
          <w:szCs w:val="21"/>
        </w:rPr>
        <w:t>6,2</w:t>
      </w:r>
      <w:r w:rsidRPr="00531DD6">
        <w:rPr>
          <w:rFonts w:ascii="Arial" w:hAnsi="Arial" w:cs="Arial"/>
          <w:iCs/>
          <w:sz w:val="21"/>
          <w:szCs w:val="21"/>
        </w:rPr>
        <w:t>% per quelle con capacità di spesa più elevata (era +</w:t>
      </w:r>
      <w:r>
        <w:rPr>
          <w:rFonts w:ascii="Arial" w:hAnsi="Arial" w:cs="Arial"/>
          <w:iCs/>
          <w:sz w:val="21"/>
          <w:szCs w:val="21"/>
        </w:rPr>
        <w:t>9,8% nel 2022</w:t>
      </w:r>
      <w:r w:rsidRPr="00531DD6">
        <w:rPr>
          <w:rFonts w:ascii="Arial" w:hAnsi="Arial" w:cs="Arial"/>
          <w:iCs/>
          <w:sz w:val="21"/>
          <w:szCs w:val="21"/>
        </w:rPr>
        <w:t xml:space="preserve">). </w:t>
      </w:r>
      <w:r>
        <w:rPr>
          <w:rFonts w:ascii="Arial" w:hAnsi="Arial" w:cs="Arial"/>
          <w:iCs/>
          <w:sz w:val="21"/>
          <w:szCs w:val="21"/>
        </w:rPr>
        <w:t xml:space="preserve">Analizzando gli andamenti infra-annuali, </w:t>
      </w:r>
      <w:r w:rsidRPr="00072089">
        <w:rPr>
          <w:rFonts w:ascii="Arial" w:hAnsi="Arial" w:cs="Arial"/>
          <w:iCs/>
          <w:sz w:val="21"/>
          <w:szCs w:val="21"/>
        </w:rPr>
        <w:t xml:space="preserve">con riferimento alle famiglie del primo quinto, i prezzi dei beni </w:t>
      </w:r>
      <w:r>
        <w:rPr>
          <w:rFonts w:ascii="Arial" w:hAnsi="Arial" w:cs="Arial"/>
          <w:iCs/>
          <w:sz w:val="21"/>
          <w:szCs w:val="21"/>
        </w:rPr>
        <w:t xml:space="preserve">segnano un primo marcato rallentamento nel primo trimestre (+16,8%, </w:t>
      </w:r>
      <w:r w:rsidRPr="00072089">
        <w:rPr>
          <w:rFonts w:ascii="Arial" w:hAnsi="Arial" w:cs="Arial"/>
          <w:iCs/>
          <w:sz w:val="21"/>
          <w:szCs w:val="21"/>
        </w:rPr>
        <w:t>da +</w:t>
      </w:r>
      <w:r>
        <w:rPr>
          <w:rFonts w:ascii="Arial" w:hAnsi="Arial" w:cs="Arial"/>
          <w:iCs/>
          <w:sz w:val="21"/>
          <w:szCs w:val="21"/>
        </w:rPr>
        <w:t>26,2</w:t>
      </w:r>
      <w:r w:rsidRPr="00072089">
        <w:rPr>
          <w:rFonts w:ascii="Arial" w:hAnsi="Arial" w:cs="Arial"/>
          <w:iCs/>
          <w:sz w:val="21"/>
          <w:szCs w:val="21"/>
        </w:rPr>
        <w:t>% nel quarto trimestre del 202</w:t>
      </w:r>
      <w:r>
        <w:rPr>
          <w:rFonts w:ascii="Arial" w:hAnsi="Arial" w:cs="Arial"/>
          <w:iCs/>
          <w:sz w:val="21"/>
          <w:szCs w:val="21"/>
        </w:rPr>
        <w:t>2</w:t>
      </w:r>
      <w:r w:rsidRPr="00072089">
        <w:rPr>
          <w:rFonts w:ascii="Arial" w:hAnsi="Arial" w:cs="Arial"/>
          <w:iCs/>
          <w:sz w:val="21"/>
          <w:szCs w:val="21"/>
        </w:rPr>
        <w:t>), prosegu</w:t>
      </w:r>
      <w:r>
        <w:rPr>
          <w:rFonts w:ascii="Arial" w:hAnsi="Arial" w:cs="Arial"/>
          <w:iCs/>
          <w:sz w:val="21"/>
          <w:szCs w:val="21"/>
        </w:rPr>
        <w:t xml:space="preserve">ono il rallentamento </w:t>
      </w:r>
      <w:r w:rsidRPr="00072089">
        <w:rPr>
          <w:rFonts w:ascii="Arial" w:hAnsi="Arial" w:cs="Arial"/>
          <w:iCs/>
          <w:sz w:val="21"/>
          <w:szCs w:val="21"/>
        </w:rPr>
        <w:t>nel secondo e nel terzo trimestre (rispettivamente +1</w:t>
      </w:r>
      <w:r>
        <w:rPr>
          <w:rFonts w:ascii="Arial" w:hAnsi="Arial" w:cs="Arial"/>
          <w:iCs/>
          <w:sz w:val="21"/>
          <w:szCs w:val="21"/>
        </w:rPr>
        <w:t>1,9</w:t>
      </w:r>
      <w:r w:rsidRPr="00072089">
        <w:rPr>
          <w:rFonts w:ascii="Arial" w:hAnsi="Arial" w:cs="Arial"/>
          <w:iCs/>
          <w:sz w:val="21"/>
          <w:szCs w:val="21"/>
        </w:rPr>
        <w:t>% e +</w:t>
      </w:r>
      <w:r>
        <w:rPr>
          <w:rFonts w:ascii="Arial" w:hAnsi="Arial" w:cs="Arial"/>
          <w:iCs/>
          <w:sz w:val="21"/>
          <w:szCs w:val="21"/>
        </w:rPr>
        <w:t>7,9</w:t>
      </w:r>
      <w:r w:rsidRPr="00072089">
        <w:rPr>
          <w:rFonts w:ascii="Arial" w:hAnsi="Arial" w:cs="Arial"/>
          <w:iCs/>
          <w:sz w:val="21"/>
          <w:szCs w:val="21"/>
        </w:rPr>
        <w:t>%)</w:t>
      </w:r>
      <w:r>
        <w:rPr>
          <w:rFonts w:ascii="Arial" w:hAnsi="Arial" w:cs="Arial"/>
          <w:iCs/>
          <w:sz w:val="21"/>
          <w:szCs w:val="21"/>
        </w:rPr>
        <w:t>, fino a invertire la tendenza n</w:t>
      </w:r>
      <w:r w:rsidRPr="00072089">
        <w:rPr>
          <w:rFonts w:ascii="Arial" w:hAnsi="Arial" w:cs="Arial"/>
          <w:iCs/>
          <w:sz w:val="21"/>
          <w:szCs w:val="21"/>
        </w:rPr>
        <w:t>el quarto</w:t>
      </w:r>
      <w:r>
        <w:rPr>
          <w:rFonts w:ascii="Arial" w:hAnsi="Arial" w:cs="Arial"/>
          <w:iCs/>
          <w:sz w:val="21"/>
          <w:szCs w:val="21"/>
        </w:rPr>
        <w:t xml:space="preserve"> portandosi a -3</w:t>
      </w:r>
      <w:r w:rsidRPr="00072089">
        <w:rPr>
          <w:rFonts w:ascii="Arial" w:hAnsi="Arial" w:cs="Arial"/>
          <w:iCs/>
          <w:sz w:val="21"/>
          <w:szCs w:val="21"/>
        </w:rPr>
        <w:t>,</w:t>
      </w:r>
      <w:r>
        <w:rPr>
          <w:rFonts w:ascii="Arial" w:hAnsi="Arial" w:cs="Arial"/>
          <w:iCs/>
          <w:sz w:val="21"/>
          <w:szCs w:val="21"/>
        </w:rPr>
        <w:t>6</w:t>
      </w:r>
      <w:r w:rsidRPr="00072089">
        <w:rPr>
          <w:rFonts w:ascii="Arial" w:hAnsi="Arial" w:cs="Arial"/>
          <w:iCs/>
          <w:sz w:val="21"/>
          <w:szCs w:val="21"/>
        </w:rPr>
        <w:t xml:space="preserve">%. </w:t>
      </w:r>
      <w:r w:rsidRPr="003768B3">
        <w:rPr>
          <w:rFonts w:ascii="Arial" w:hAnsi="Arial" w:cs="Arial"/>
          <w:iCs/>
          <w:sz w:val="21"/>
          <w:szCs w:val="21"/>
        </w:rPr>
        <w:t xml:space="preserve">Anche per le famiglie con maggiori capacità di spesa, l’inflazione riferita ai beni </w:t>
      </w:r>
      <w:r>
        <w:rPr>
          <w:rFonts w:ascii="Arial" w:hAnsi="Arial" w:cs="Arial"/>
          <w:iCs/>
          <w:sz w:val="21"/>
          <w:szCs w:val="21"/>
        </w:rPr>
        <w:t xml:space="preserve">rallenta, seppure in maniera meno marcata rispetto alle famiglie del primo quinto, </w:t>
      </w:r>
      <w:r w:rsidRPr="003768B3">
        <w:rPr>
          <w:rFonts w:ascii="Arial" w:hAnsi="Arial" w:cs="Arial"/>
          <w:iCs/>
          <w:sz w:val="21"/>
          <w:szCs w:val="21"/>
        </w:rPr>
        <w:t>portandosi a +</w:t>
      </w:r>
      <w:r>
        <w:rPr>
          <w:rFonts w:ascii="Arial" w:hAnsi="Arial" w:cs="Arial"/>
          <w:iCs/>
          <w:sz w:val="21"/>
          <w:szCs w:val="21"/>
        </w:rPr>
        <w:t>10,5</w:t>
      </w:r>
      <w:r w:rsidRPr="003768B3">
        <w:rPr>
          <w:rFonts w:ascii="Arial" w:hAnsi="Arial" w:cs="Arial"/>
          <w:iCs/>
          <w:sz w:val="21"/>
          <w:szCs w:val="21"/>
        </w:rPr>
        <w:t>% nel primo trimestre (era +</w:t>
      </w:r>
      <w:r>
        <w:rPr>
          <w:rFonts w:ascii="Arial" w:hAnsi="Arial" w:cs="Arial"/>
          <w:iCs/>
          <w:sz w:val="21"/>
          <w:szCs w:val="21"/>
        </w:rPr>
        <w:t>13,8% nell’ultimo trimestre del 2022</w:t>
      </w:r>
      <w:r w:rsidRPr="003768B3">
        <w:rPr>
          <w:rFonts w:ascii="Arial" w:hAnsi="Arial" w:cs="Arial"/>
          <w:iCs/>
          <w:sz w:val="21"/>
          <w:szCs w:val="21"/>
        </w:rPr>
        <w:t xml:space="preserve">), continuando </w:t>
      </w:r>
      <w:r>
        <w:rPr>
          <w:rFonts w:ascii="Arial" w:hAnsi="Arial" w:cs="Arial"/>
          <w:iCs/>
          <w:sz w:val="21"/>
          <w:szCs w:val="21"/>
        </w:rPr>
        <w:t>a rallentare</w:t>
      </w:r>
      <w:r w:rsidRPr="003768B3">
        <w:rPr>
          <w:rFonts w:ascii="Arial" w:hAnsi="Arial" w:cs="Arial"/>
          <w:iCs/>
          <w:sz w:val="21"/>
          <w:szCs w:val="21"/>
        </w:rPr>
        <w:t xml:space="preserve"> nei trimestri successivi</w:t>
      </w:r>
      <w:r>
        <w:rPr>
          <w:rFonts w:ascii="Arial" w:hAnsi="Arial" w:cs="Arial"/>
          <w:iCs/>
          <w:sz w:val="21"/>
          <w:szCs w:val="21"/>
        </w:rPr>
        <w:t xml:space="preserve"> e arrivando </w:t>
      </w:r>
      <w:r w:rsidRPr="003768B3">
        <w:rPr>
          <w:rFonts w:ascii="Arial" w:hAnsi="Arial" w:cs="Arial"/>
          <w:iCs/>
          <w:sz w:val="21"/>
          <w:szCs w:val="21"/>
        </w:rPr>
        <w:t>a +</w:t>
      </w:r>
      <w:r>
        <w:rPr>
          <w:rFonts w:ascii="Arial" w:hAnsi="Arial" w:cs="Arial"/>
          <w:iCs/>
          <w:sz w:val="21"/>
          <w:szCs w:val="21"/>
        </w:rPr>
        <w:t>0,7</w:t>
      </w:r>
      <w:r w:rsidRPr="003768B3">
        <w:rPr>
          <w:rFonts w:ascii="Arial" w:hAnsi="Arial" w:cs="Arial"/>
          <w:iCs/>
          <w:sz w:val="21"/>
          <w:szCs w:val="21"/>
        </w:rPr>
        <w:t xml:space="preserve">% nell’ultimo trimestre dell’anno. </w:t>
      </w:r>
    </w:p>
    <w:p w:rsidR="0061421C" w:rsidRDefault="00A70458" w:rsidP="0061421C">
      <w:pPr>
        <w:tabs>
          <w:tab w:val="left" w:pos="0"/>
          <w:tab w:val="left" w:pos="6300"/>
        </w:tabs>
        <w:spacing w:after="120"/>
        <w:jc w:val="both"/>
        <w:rPr>
          <w:rFonts w:ascii="Arial" w:hAnsi="Arial" w:cs="Arial"/>
          <w:iCs/>
          <w:sz w:val="21"/>
          <w:szCs w:val="21"/>
        </w:rPr>
      </w:pPr>
      <w:r w:rsidRPr="00FA76D6">
        <w:rPr>
          <w:rFonts w:ascii="Arial" w:hAnsi="Arial" w:cs="Arial"/>
          <w:iCs/>
          <w:sz w:val="21"/>
          <w:szCs w:val="21"/>
        </w:rPr>
        <w:t>L’andamento dei prezzi dei beni e le conseguenti differenze in termini di impatto sul primo e sul quinto gruppo di famiglie sono da ricondurre interamente a</w:t>
      </w:r>
      <w:r>
        <w:rPr>
          <w:rFonts w:ascii="Arial" w:hAnsi="Arial" w:cs="Arial"/>
          <w:iCs/>
          <w:sz w:val="21"/>
          <w:szCs w:val="21"/>
        </w:rPr>
        <w:t>i prezzi</w:t>
      </w:r>
      <w:r w:rsidRPr="00FA76D6">
        <w:rPr>
          <w:rFonts w:ascii="Arial" w:hAnsi="Arial" w:cs="Arial"/>
          <w:iCs/>
          <w:sz w:val="21"/>
          <w:szCs w:val="21"/>
        </w:rPr>
        <w:t xml:space="preserve"> dell’Energia</w:t>
      </w:r>
      <w:r>
        <w:rPr>
          <w:rFonts w:ascii="Arial" w:hAnsi="Arial" w:cs="Arial"/>
          <w:iCs/>
          <w:sz w:val="21"/>
          <w:szCs w:val="21"/>
        </w:rPr>
        <w:t xml:space="preserve"> che segnano, per entrambi i gruppi di famiglie, un marcato rallentamento della crescita dei prezzi sin dal primo trimestre dell’anno (rispettivamente +32,7% da +86,2% nell’ultimo del 2022 e +24,2% da +60,7%) fino a invertire la tendenza nell’ultimo, portandosi a -28,2% per le famiglie con minore capacità di spesa e a  -20,3% per quelle più agiate</w:t>
      </w:r>
      <w:r w:rsidRPr="00A3118C">
        <w:rPr>
          <w:rFonts w:ascii="Arial" w:hAnsi="Arial" w:cs="Arial"/>
          <w:iCs/>
          <w:sz w:val="21"/>
          <w:szCs w:val="21"/>
        </w:rPr>
        <w:t>. L’impatto inflazionistico è risultato relativamente più ampio per le famiglie con più bassi livelli di spesa, che sono solite destinare all’acquisto di tali prodotti una quota maggiore del loro bilancio (1</w:t>
      </w:r>
      <w:r>
        <w:rPr>
          <w:rFonts w:ascii="Arial" w:hAnsi="Arial" w:cs="Arial"/>
          <w:iCs/>
          <w:sz w:val="21"/>
          <w:szCs w:val="21"/>
        </w:rPr>
        <w:t>6</w:t>
      </w:r>
      <w:r w:rsidRPr="00A3118C">
        <w:rPr>
          <w:rFonts w:ascii="Arial" w:hAnsi="Arial" w:cs="Arial"/>
          <w:iCs/>
          <w:sz w:val="21"/>
          <w:szCs w:val="21"/>
        </w:rPr>
        <w:t>,</w:t>
      </w:r>
      <w:r>
        <w:rPr>
          <w:rFonts w:ascii="Arial" w:hAnsi="Arial" w:cs="Arial"/>
          <w:iCs/>
          <w:sz w:val="21"/>
          <w:szCs w:val="21"/>
        </w:rPr>
        <w:t>2</w:t>
      </w:r>
      <w:r w:rsidRPr="00A3118C">
        <w:rPr>
          <w:rFonts w:ascii="Arial" w:hAnsi="Arial" w:cs="Arial"/>
          <w:iCs/>
          <w:sz w:val="21"/>
          <w:szCs w:val="21"/>
        </w:rPr>
        <w:t>%) rispetto a quello delle</w:t>
      </w:r>
      <w:r>
        <w:rPr>
          <w:rFonts w:ascii="Arial" w:hAnsi="Arial" w:cs="Arial"/>
          <w:iCs/>
          <w:sz w:val="21"/>
          <w:szCs w:val="21"/>
        </w:rPr>
        <w:t xml:space="preserve"> famiglie della quinta classe (7,4</w:t>
      </w:r>
      <w:r w:rsidRPr="00A3118C">
        <w:rPr>
          <w:rFonts w:ascii="Arial" w:hAnsi="Arial" w:cs="Arial"/>
          <w:iCs/>
          <w:sz w:val="21"/>
          <w:szCs w:val="21"/>
        </w:rPr>
        <w:t>%).</w:t>
      </w:r>
    </w:p>
    <w:p w:rsidR="0061421C" w:rsidRDefault="0061421C" w:rsidP="0061421C">
      <w:pPr>
        <w:tabs>
          <w:tab w:val="left" w:pos="0"/>
          <w:tab w:val="left" w:pos="6300"/>
        </w:tabs>
        <w:spacing w:after="120"/>
        <w:jc w:val="both"/>
        <w:rPr>
          <w:rFonts w:ascii="Arial" w:hAnsi="Arial" w:cs="Arial"/>
          <w:iCs/>
          <w:sz w:val="21"/>
          <w:szCs w:val="21"/>
        </w:rPr>
      </w:pPr>
    </w:p>
    <w:p w:rsidR="00A70458" w:rsidRDefault="00A70458" w:rsidP="0061421C">
      <w:pPr>
        <w:tabs>
          <w:tab w:val="left" w:pos="0"/>
          <w:tab w:val="left" w:pos="6300"/>
        </w:tabs>
        <w:spacing w:after="120"/>
        <w:jc w:val="both"/>
        <w:rPr>
          <w:rFonts w:ascii="Arial Narrow" w:hAnsi="Arial Narrow" w:cs="Arial"/>
          <w:color w:val="5F5F5F"/>
        </w:rPr>
      </w:pPr>
      <w:r w:rsidRPr="00416AAD">
        <w:rPr>
          <w:rFonts w:ascii="Arial Narrow" w:hAnsi="Arial Narrow" w:cs="Arial"/>
          <w:b/>
          <w:color w:val="E42618"/>
          <w:sz w:val="22"/>
          <w:szCs w:val="22"/>
        </w:rPr>
        <w:t>FIGURA 10.</w:t>
      </w:r>
      <w:r w:rsidRPr="00416AAD">
        <w:rPr>
          <w:rFonts w:ascii="Arial Narrow" w:hAnsi="Arial Narrow" w:cs="Arial"/>
          <w:b/>
          <w:color w:val="5F5F5F"/>
          <w:sz w:val="22"/>
          <w:szCs w:val="22"/>
        </w:rPr>
        <w:t xml:space="preserve"> </w:t>
      </w:r>
      <w:r w:rsidRPr="00416AAD">
        <w:rPr>
          <w:rFonts w:ascii="Arial Narrow" w:hAnsi="Arial Narrow" w:cs="Calibri"/>
          <w:b/>
          <w:bCs/>
          <w:color w:val="5F5F5F"/>
          <w:sz w:val="22"/>
          <w:szCs w:val="22"/>
        </w:rPr>
        <w:t>INDICI DEI PREZZI AL CONSUMO IPCA PER CLASSI DI SPESA DELLE FAMIGLIE - BENI</w:t>
      </w:r>
      <w:r w:rsidRPr="00416AAD">
        <w:rPr>
          <w:rFonts w:ascii="Arial Narrow" w:hAnsi="Arial Narrow" w:cs="Arial"/>
          <w:b/>
          <w:color w:val="5F5F5F"/>
          <w:sz w:val="22"/>
          <w:szCs w:val="22"/>
        </w:rPr>
        <w:br/>
      </w:r>
      <w:r w:rsidRPr="00416AAD">
        <w:rPr>
          <w:rFonts w:ascii="Arial Narrow" w:hAnsi="Arial Narrow" w:cs="Arial"/>
          <w:color w:val="5F5F5F"/>
        </w:rPr>
        <w:t>Gennaio 201</w:t>
      </w:r>
      <w:r>
        <w:rPr>
          <w:rFonts w:ascii="Arial Narrow" w:hAnsi="Arial Narrow" w:cs="Arial"/>
          <w:color w:val="5F5F5F"/>
        </w:rPr>
        <w:t>8</w:t>
      </w:r>
      <w:r w:rsidRPr="00416AAD">
        <w:rPr>
          <w:rFonts w:ascii="Arial Narrow" w:hAnsi="Arial Narrow" w:cs="Arial"/>
          <w:color w:val="5F5F5F"/>
        </w:rPr>
        <w:t xml:space="preserve"> - dicembre 202</w:t>
      </w:r>
      <w:r>
        <w:rPr>
          <w:rFonts w:ascii="Arial Narrow" w:hAnsi="Arial Narrow" w:cs="Arial"/>
          <w:color w:val="5F5F5F"/>
        </w:rPr>
        <w:t>3</w:t>
      </w:r>
      <w:r w:rsidRPr="00416AAD">
        <w:rPr>
          <w:rFonts w:ascii="Arial Narrow" w:hAnsi="Arial Narrow" w:cs="Arial"/>
          <w:color w:val="5F5F5F"/>
        </w:rPr>
        <w:t>, variazioni percentuali tendenziali (base 2015=100)</w:t>
      </w:r>
      <w:r>
        <w:rPr>
          <w:rFonts w:ascii="Arial Narrow" w:hAnsi="Arial Narrow" w:cs="Arial"/>
          <w:color w:val="5F5F5F"/>
        </w:rPr>
        <w:t xml:space="preserve"> </w:t>
      </w:r>
    </w:p>
    <w:p w:rsidR="00A70458" w:rsidRDefault="000B7714" w:rsidP="00A70458">
      <w:pPr>
        <w:spacing w:after="120"/>
        <w:rPr>
          <w:rFonts w:ascii="Arial Narrow" w:hAnsi="Arial Narrow" w:cs="Arial"/>
          <w:color w:val="5F5F5F"/>
        </w:rPr>
      </w:pPr>
      <w:r>
        <w:rPr>
          <w:rFonts w:ascii="Arial Narrow" w:hAnsi="Arial Narrow" w:cs="Arial"/>
          <w:noProof/>
          <w:color w:val="5F5F5F"/>
        </w:rPr>
        <w:drawing>
          <wp:inline distT="0" distB="0" distL="0" distR="0" wp14:anchorId="6609E55F">
            <wp:extent cx="6663690" cy="2164080"/>
            <wp:effectExtent l="0" t="0" r="3810" b="762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3690" cy="2164080"/>
                    </a:xfrm>
                    <a:prstGeom prst="rect">
                      <a:avLst/>
                    </a:prstGeom>
                    <a:noFill/>
                  </pic:spPr>
                </pic:pic>
              </a:graphicData>
            </a:graphic>
          </wp:inline>
        </w:drawing>
      </w:r>
    </w:p>
    <w:p w:rsidR="0061421C" w:rsidRDefault="0061421C" w:rsidP="00A70458">
      <w:pPr>
        <w:spacing w:before="0" w:after="120"/>
        <w:jc w:val="both"/>
        <w:rPr>
          <w:rFonts w:ascii="Arial" w:hAnsi="Arial" w:cs="Arial"/>
          <w:iCs/>
          <w:sz w:val="21"/>
          <w:szCs w:val="21"/>
        </w:rPr>
      </w:pPr>
    </w:p>
    <w:p w:rsidR="00A70458" w:rsidRPr="00A30371" w:rsidRDefault="00A70458" w:rsidP="00A70458">
      <w:pPr>
        <w:spacing w:before="0" w:after="120"/>
        <w:jc w:val="both"/>
        <w:rPr>
          <w:rFonts w:ascii="Arial" w:hAnsi="Arial" w:cs="Arial"/>
          <w:iCs/>
          <w:sz w:val="21"/>
          <w:szCs w:val="21"/>
          <w:highlight w:val="yellow"/>
        </w:rPr>
      </w:pPr>
      <w:r>
        <w:rPr>
          <w:rFonts w:ascii="Arial" w:hAnsi="Arial" w:cs="Arial"/>
          <w:iCs/>
          <w:sz w:val="21"/>
          <w:szCs w:val="21"/>
        </w:rPr>
        <w:t>N</w:t>
      </w:r>
      <w:r w:rsidRPr="00516475">
        <w:rPr>
          <w:rFonts w:ascii="Arial" w:hAnsi="Arial" w:cs="Arial"/>
          <w:iCs/>
          <w:sz w:val="21"/>
          <w:szCs w:val="21"/>
        </w:rPr>
        <w:t>ell’ambito dei servizi (Figura 11), l’inflazione in media d’anno, è più ampia nel</w:t>
      </w:r>
      <w:r>
        <w:rPr>
          <w:rFonts w:ascii="Arial" w:hAnsi="Arial" w:cs="Arial"/>
          <w:iCs/>
          <w:sz w:val="21"/>
          <w:szCs w:val="21"/>
        </w:rPr>
        <w:t xml:space="preserve"> 2023</w:t>
      </w:r>
      <w:r w:rsidRPr="00516475">
        <w:rPr>
          <w:rFonts w:ascii="Arial" w:hAnsi="Arial" w:cs="Arial"/>
          <w:iCs/>
          <w:sz w:val="21"/>
          <w:szCs w:val="21"/>
        </w:rPr>
        <w:t xml:space="preserve"> rispetto al 202</w:t>
      </w:r>
      <w:r>
        <w:rPr>
          <w:rFonts w:ascii="Arial" w:hAnsi="Arial" w:cs="Arial"/>
          <w:iCs/>
          <w:sz w:val="21"/>
          <w:szCs w:val="21"/>
        </w:rPr>
        <w:t>2</w:t>
      </w:r>
      <w:r w:rsidRPr="00516475">
        <w:rPr>
          <w:rFonts w:ascii="Arial" w:hAnsi="Arial" w:cs="Arial"/>
          <w:iCs/>
          <w:sz w:val="21"/>
          <w:szCs w:val="21"/>
        </w:rPr>
        <w:t xml:space="preserve"> sia per le famiglie del primo gruppo (+</w:t>
      </w:r>
      <w:r>
        <w:rPr>
          <w:rFonts w:ascii="Arial" w:hAnsi="Arial" w:cs="Arial"/>
          <w:iCs/>
          <w:sz w:val="21"/>
          <w:szCs w:val="21"/>
        </w:rPr>
        <w:t>3</w:t>
      </w:r>
      <w:r w:rsidRPr="00516475">
        <w:rPr>
          <w:rFonts w:ascii="Arial" w:hAnsi="Arial" w:cs="Arial"/>
          <w:iCs/>
          <w:sz w:val="21"/>
          <w:szCs w:val="21"/>
        </w:rPr>
        <w:t>,3%, era +</w:t>
      </w:r>
      <w:r>
        <w:rPr>
          <w:rFonts w:ascii="Arial" w:hAnsi="Arial" w:cs="Arial"/>
          <w:iCs/>
          <w:sz w:val="21"/>
          <w:szCs w:val="21"/>
        </w:rPr>
        <w:t>2,3% nel 2022</w:t>
      </w:r>
      <w:r w:rsidRPr="00516475">
        <w:rPr>
          <w:rFonts w:ascii="Arial" w:hAnsi="Arial" w:cs="Arial"/>
          <w:iCs/>
          <w:sz w:val="21"/>
          <w:szCs w:val="21"/>
        </w:rPr>
        <w:t>) sia per le famiglie del quinto (+</w:t>
      </w:r>
      <w:r>
        <w:rPr>
          <w:rFonts w:ascii="Arial" w:hAnsi="Arial" w:cs="Arial"/>
          <w:iCs/>
          <w:sz w:val="21"/>
          <w:szCs w:val="21"/>
        </w:rPr>
        <w:t>4</w:t>
      </w:r>
      <w:r w:rsidRPr="00516475">
        <w:rPr>
          <w:rFonts w:ascii="Arial" w:hAnsi="Arial" w:cs="Arial"/>
          <w:iCs/>
          <w:sz w:val="21"/>
          <w:szCs w:val="21"/>
        </w:rPr>
        <w:t>,</w:t>
      </w:r>
      <w:r>
        <w:rPr>
          <w:rFonts w:ascii="Arial" w:hAnsi="Arial" w:cs="Arial"/>
          <w:iCs/>
          <w:sz w:val="21"/>
          <w:szCs w:val="21"/>
        </w:rPr>
        <w:t>9</w:t>
      </w:r>
      <w:r w:rsidRPr="00516475">
        <w:rPr>
          <w:rFonts w:ascii="Arial" w:hAnsi="Arial" w:cs="Arial"/>
          <w:iCs/>
          <w:sz w:val="21"/>
          <w:szCs w:val="21"/>
        </w:rPr>
        <w:t>%, dal +</w:t>
      </w:r>
      <w:r>
        <w:rPr>
          <w:rFonts w:ascii="Arial" w:hAnsi="Arial" w:cs="Arial"/>
          <w:iCs/>
          <w:sz w:val="21"/>
          <w:szCs w:val="21"/>
        </w:rPr>
        <w:t>3</w:t>
      </w:r>
      <w:r w:rsidRPr="00516475">
        <w:rPr>
          <w:rFonts w:ascii="Arial" w:hAnsi="Arial" w:cs="Arial"/>
          <w:iCs/>
          <w:sz w:val="21"/>
          <w:szCs w:val="21"/>
        </w:rPr>
        <w:t>,</w:t>
      </w:r>
      <w:r>
        <w:rPr>
          <w:rFonts w:ascii="Arial" w:hAnsi="Arial" w:cs="Arial"/>
          <w:iCs/>
          <w:sz w:val="21"/>
          <w:szCs w:val="21"/>
        </w:rPr>
        <w:t>7</w:t>
      </w:r>
      <w:r w:rsidRPr="00516475">
        <w:rPr>
          <w:rFonts w:ascii="Arial" w:hAnsi="Arial" w:cs="Arial"/>
          <w:iCs/>
          <w:sz w:val="21"/>
          <w:szCs w:val="21"/>
        </w:rPr>
        <w:t>% dell’anno precedente</w:t>
      </w:r>
      <w:r w:rsidRPr="009B0718">
        <w:rPr>
          <w:rFonts w:ascii="Arial" w:hAnsi="Arial" w:cs="Arial"/>
          <w:iCs/>
          <w:sz w:val="21"/>
          <w:szCs w:val="21"/>
        </w:rPr>
        <w:t>). In corso d’anno, per le famiglie meno abbienti, i prezzi dei servizi crescono del +</w:t>
      </w:r>
      <w:r>
        <w:rPr>
          <w:rFonts w:ascii="Arial" w:hAnsi="Arial" w:cs="Arial"/>
          <w:iCs/>
          <w:sz w:val="21"/>
          <w:szCs w:val="21"/>
        </w:rPr>
        <w:t>3</w:t>
      </w:r>
      <w:r w:rsidRPr="009B0718">
        <w:rPr>
          <w:rFonts w:ascii="Arial" w:hAnsi="Arial" w:cs="Arial"/>
          <w:iCs/>
          <w:sz w:val="21"/>
          <w:szCs w:val="21"/>
        </w:rPr>
        <w:t>,</w:t>
      </w:r>
      <w:r>
        <w:rPr>
          <w:rFonts w:ascii="Arial" w:hAnsi="Arial" w:cs="Arial"/>
          <w:iCs/>
          <w:sz w:val="21"/>
          <w:szCs w:val="21"/>
        </w:rPr>
        <w:t>3</w:t>
      </w:r>
      <w:r w:rsidRPr="009B0718">
        <w:rPr>
          <w:rFonts w:ascii="Arial" w:hAnsi="Arial" w:cs="Arial"/>
          <w:iCs/>
          <w:sz w:val="21"/>
          <w:szCs w:val="21"/>
        </w:rPr>
        <w:t xml:space="preserve">% nel primo trimestre, in lieve </w:t>
      </w:r>
      <w:r>
        <w:rPr>
          <w:rFonts w:ascii="Arial" w:hAnsi="Arial" w:cs="Arial"/>
          <w:iCs/>
          <w:sz w:val="21"/>
          <w:szCs w:val="21"/>
        </w:rPr>
        <w:t>accelerazione</w:t>
      </w:r>
      <w:r w:rsidRPr="009B0718">
        <w:rPr>
          <w:rFonts w:ascii="Arial" w:hAnsi="Arial" w:cs="Arial"/>
          <w:iCs/>
          <w:sz w:val="21"/>
          <w:szCs w:val="21"/>
        </w:rPr>
        <w:t xml:space="preserve"> dal</w:t>
      </w:r>
      <w:r>
        <w:rPr>
          <w:rFonts w:ascii="Arial" w:hAnsi="Arial" w:cs="Arial"/>
          <w:iCs/>
          <w:sz w:val="21"/>
          <w:szCs w:val="21"/>
        </w:rPr>
        <w:t xml:space="preserve"> +3,1% del quarto trimestre 2022, accelerano ulteriormente nel secondo (+3,6%) rallentando a +3,1% nel terzo e restando stabile nel quarto. Un andamento analogo, ma con valori più sostenuti, si registra per la crescita dei prezzi dei servizi relativamente alle </w:t>
      </w:r>
      <w:r w:rsidRPr="00A91972">
        <w:rPr>
          <w:rFonts w:ascii="Arial" w:hAnsi="Arial" w:cs="Arial"/>
          <w:iCs/>
          <w:sz w:val="21"/>
          <w:szCs w:val="21"/>
        </w:rPr>
        <w:t>famiglie più agiate</w:t>
      </w:r>
      <w:r>
        <w:rPr>
          <w:rFonts w:ascii="Arial" w:hAnsi="Arial" w:cs="Arial"/>
          <w:iCs/>
          <w:sz w:val="21"/>
          <w:szCs w:val="21"/>
        </w:rPr>
        <w:t>:</w:t>
      </w:r>
      <w:r w:rsidRPr="00A91972">
        <w:rPr>
          <w:rFonts w:ascii="Arial" w:hAnsi="Arial" w:cs="Arial"/>
          <w:iCs/>
          <w:sz w:val="21"/>
          <w:szCs w:val="21"/>
        </w:rPr>
        <w:t xml:space="preserve"> in accelerazione sin dal primo trimestre (+</w:t>
      </w:r>
      <w:r>
        <w:rPr>
          <w:rFonts w:ascii="Arial" w:hAnsi="Arial" w:cs="Arial"/>
          <w:iCs/>
          <w:sz w:val="21"/>
          <w:szCs w:val="21"/>
        </w:rPr>
        <w:t>5,1</w:t>
      </w:r>
      <w:r w:rsidRPr="00A91972">
        <w:rPr>
          <w:rFonts w:ascii="Arial" w:hAnsi="Arial" w:cs="Arial"/>
          <w:iCs/>
          <w:sz w:val="21"/>
          <w:szCs w:val="21"/>
        </w:rPr>
        <w:t>% da +</w:t>
      </w:r>
      <w:r>
        <w:rPr>
          <w:rFonts w:ascii="Arial" w:hAnsi="Arial" w:cs="Arial"/>
          <w:iCs/>
          <w:sz w:val="21"/>
          <w:szCs w:val="21"/>
        </w:rPr>
        <w:t>4,6% del quarto 2022</w:t>
      </w:r>
      <w:r w:rsidRPr="00A91972">
        <w:rPr>
          <w:rFonts w:ascii="Arial" w:hAnsi="Arial" w:cs="Arial"/>
          <w:iCs/>
          <w:sz w:val="21"/>
          <w:szCs w:val="21"/>
        </w:rPr>
        <w:t>)</w:t>
      </w:r>
      <w:r>
        <w:rPr>
          <w:rFonts w:ascii="Arial" w:hAnsi="Arial" w:cs="Arial"/>
          <w:iCs/>
          <w:sz w:val="21"/>
          <w:szCs w:val="21"/>
        </w:rPr>
        <w:t>, continuano a crescere nel secondo (+5,6%), rallentano nel terzo (+4,7%) per finire a +4,2% nel quarto.</w:t>
      </w:r>
    </w:p>
    <w:p w:rsidR="0061421C" w:rsidRDefault="00A70458" w:rsidP="00A70458">
      <w:pPr>
        <w:spacing w:before="0" w:after="120"/>
        <w:jc w:val="both"/>
        <w:rPr>
          <w:rFonts w:ascii="Arial" w:hAnsi="Arial" w:cs="Arial"/>
          <w:color w:val="000000"/>
          <w:kern w:val="0"/>
          <w:sz w:val="21"/>
          <w:szCs w:val="21"/>
        </w:rPr>
      </w:pPr>
      <w:r w:rsidRPr="00FD05FC">
        <w:rPr>
          <w:rFonts w:ascii="Arial" w:hAnsi="Arial" w:cs="Arial"/>
          <w:iCs/>
          <w:sz w:val="21"/>
          <w:szCs w:val="21"/>
        </w:rPr>
        <w:t>L’andamento dei prezzi dei servizi dei due gruppi di famiglie riflette</w:t>
      </w:r>
      <w:r w:rsidRPr="00FD05FC">
        <w:rPr>
          <w:rFonts w:ascii="Arial" w:hAnsi="Arial" w:cs="Arial"/>
          <w:color w:val="000000"/>
          <w:kern w:val="0"/>
          <w:sz w:val="21"/>
          <w:szCs w:val="21"/>
        </w:rPr>
        <w:t xml:space="preserve"> in larga parte l’andamento dei prezzi dei Servizi ricreativi, culturali e per la cura della persona e dei Servizi relativi ai trasporti</w:t>
      </w:r>
      <w:r>
        <w:rPr>
          <w:rFonts w:ascii="Arial" w:hAnsi="Arial" w:cs="Arial"/>
          <w:color w:val="000000"/>
          <w:kern w:val="0"/>
          <w:sz w:val="21"/>
          <w:szCs w:val="21"/>
        </w:rPr>
        <w:t xml:space="preserve"> </w:t>
      </w:r>
      <w:r w:rsidRPr="007863D8">
        <w:rPr>
          <w:rFonts w:ascii="Arial" w:hAnsi="Arial" w:cs="Arial"/>
          <w:color w:val="000000"/>
          <w:kern w:val="0"/>
          <w:sz w:val="21"/>
          <w:szCs w:val="21"/>
        </w:rPr>
        <w:t>combinato con il diverso peso che ha la spesa per questi aggregati nei bilanci delle famiglie dei due gruppi.</w:t>
      </w:r>
      <w:r w:rsidRPr="00FD05FC">
        <w:rPr>
          <w:rFonts w:ascii="Arial" w:hAnsi="Arial" w:cs="Arial"/>
          <w:color w:val="000000"/>
          <w:kern w:val="0"/>
          <w:sz w:val="21"/>
          <w:szCs w:val="21"/>
        </w:rPr>
        <w:t xml:space="preserve"> </w:t>
      </w:r>
      <w:r w:rsidRPr="007322A1">
        <w:rPr>
          <w:rFonts w:ascii="Arial" w:hAnsi="Arial" w:cs="Arial"/>
          <w:color w:val="000000"/>
          <w:kern w:val="0"/>
          <w:sz w:val="21"/>
          <w:szCs w:val="21"/>
        </w:rPr>
        <w:t>I prezzi dei Servizi ricreativi, culturali e per la cura della persona</w:t>
      </w:r>
      <w:r>
        <w:rPr>
          <w:rFonts w:ascii="Arial" w:hAnsi="Arial" w:cs="Arial"/>
          <w:color w:val="000000"/>
          <w:kern w:val="0"/>
          <w:sz w:val="21"/>
          <w:szCs w:val="21"/>
        </w:rPr>
        <w:t>,</w:t>
      </w:r>
      <w:r w:rsidRPr="007322A1">
        <w:rPr>
          <w:rFonts w:ascii="Arial" w:hAnsi="Arial" w:cs="Arial"/>
          <w:color w:val="000000"/>
          <w:kern w:val="0"/>
          <w:sz w:val="21"/>
          <w:szCs w:val="21"/>
        </w:rPr>
        <w:t xml:space="preserve"> le cui spese incidono sul bilancio delle famiglie del primo gruppo in misura </w:t>
      </w:r>
    </w:p>
    <w:p w:rsidR="0061421C" w:rsidRDefault="0061421C" w:rsidP="00A70458">
      <w:pPr>
        <w:spacing w:before="0" w:after="120"/>
        <w:jc w:val="both"/>
        <w:rPr>
          <w:rFonts w:ascii="Arial" w:hAnsi="Arial" w:cs="Arial"/>
          <w:color w:val="000000"/>
          <w:kern w:val="0"/>
          <w:sz w:val="21"/>
          <w:szCs w:val="21"/>
        </w:rPr>
      </w:pPr>
    </w:p>
    <w:p w:rsidR="00A70458" w:rsidRPr="00005F6B" w:rsidRDefault="00A70458" w:rsidP="00A70458">
      <w:pPr>
        <w:spacing w:before="0" w:after="120"/>
        <w:jc w:val="both"/>
        <w:rPr>
          <w:rFonts w:ascii="Arial" w:hAnsi="Arial" w:cs="Arial"/>
          <w:color w:val="000000"/>
          <w:kern w:val="0"/>
          <w:sz w:val="21"/>
          <w:szCs w:val="21"/>
        </w:rPr>
      </w:pPr>
      <w:r w:rsidRPr="007322A1">
        <w:rPr>
          <w:rFonts w:ascii="Arial" w:hAnsi="Arial" w:cs="Arial"/>
          <w:color w:val="000000"/>
          <w:kern w:val="0"/>
          <w:sz w:val="21"/>
          <w:szCs w:val="21"/>
        </w:rPr>
        <w:t>molto più contenuta (5,</w:t>
      </w:r>
      <w:r>
        <w:rPr>
          <w:rFonts w:ascii="Arial" w:hAnsi="Arial" w:cs="Arial"/>
          <w:color w:val="000000"/>
          <w:kern w:val="0"/>
          <w:sz w:val="21"/>
          <w:szCs w:val="21"/>
        </w:rPr>
        <w:t>9</w:t>
      </w:r>
      <w:r w:rsidRPr="007322A1">
        <w:rPr>
          <w:rFonts w:ascii="Arial" w:hAnsi="Arial" w:cs="Arial"/>
          <w:color w:val="000000"/>
          <w:kern w:val="0"/>
          <w:sz w:val="21"/>
          <w:szCs w:val="21"/>
        </w:rPr>
        <w:t xml:space="preserve">%) rispetto a quelle del quinto </w:t>
      </w:r>
      <w:r w:rsidRPr="00E612C4">
        <w:rPr>
          <w:rFonts w:ascii="Arial" w:hAnsi="Arial" w:cs="Arial"/>
          <w:color w:val="000000"/>
          <w:kern w:val="0"/>
          <w:sz w:val="21"/>
          <w:szCs w:val="21"/>
        </w:rPr>
        <w:t>gruppo (1</w:t>
      </w:r>
      <w:r>
        <w:rPr>
          <w:rFonts w:ascii="Arial" w:hAnsi="Arial" w:cs="Arial"/>
          <w:color w:val="000000"/>
          <w:kern w:val="0"/>
          <w:sz w:val="21"/>
          <w:szCs w:val="21"/>
        </w:rPr>
        <w:t>7,9</w:t>
      </w:r>
      <w:r w:rsidRPr="00E612C4">
        <w:rPr>
          <w:rFonts w:ascii="Arial" w:hAnsi="Arial" w:cs="Arial"/>
          <w:color w:val="000000"/>
          <w:kern w:val="0"/>
          <w:sz w:val="21"/>
          <w:szCs w:val="21"/>
        </w:rPr>
        <w:t>%)</w:t>
      </w:r>
      <w:r>
        <w:rPr>
          <w:rFonts w:ascii="Arial" w:hAnsi="Arial" w:cs="Arial"/>
          <w:color w:val="000000"/>
          <w:kern w:val="0"/>
          <w:sz w:val="21"/>
          <w:szCs w:val="21"/>
        </w:rPr>
        <w:t>,</w:t>
      </w:r>
      <w:r w:rsidRPr="00E612C4">
        <w:rPr>
          <w:rFonts w:ascii="Arial" w:hAnsi="Arial" w:cs="Arial"/>
          <w:color w:val="000000"/>
          <w:kern w:val="0"/>
          <w:sz w:val="21"/>
          <w:szCs w:val="21"/>
        </w:rPr>
        <w:t xml:space="preserve"> registrano</w:t>
      </w:r>
      <w:r>
        <w:rPr>
          <w:rFonts w:ascii="Arial" w:hAnsi="Arial" w:cs="Arial"/>
          <w:color w:val="000000"/>
          <w:kern w:val="0"/>
          <w:sz w:val="21"/>
          <w:szCs w:val="21"/>
        </w:rPr>
        <w:t>, in media d’anno,</w:t>
      </w:r>
      <w:r w:rsidRPr="00E612C4">
        <w:rPr>
          <w:rFonts w:ascii="Arial" w:hAnsi="Arial" w:cs="Arial"/>
          <w:color w:val="000000"/>
          <w:kern w:val="0"/>
          <w:sz w:val="21"/>
          <w:szCs w:val="21"/>
        </w:rPr>
        <w:t xml:space="preserve"> </w:t>
      </w:r>
      <w:r w:rsidRPr="00511EF6">
        <w:rPr>
          <w:rFonts w:ascii="Arial" w:hAnsi="Arial" w:cs="Arial"/>
          <w:color w:val="000000"/>
          <w:kern w:val="0"/>
          <w:sz w:val="21"/>
          <w:szCs w:val="21"/>
        </w:rPr>
        <w:t xml:space="preserve">un’accelerazione tendenziale </w:t>
      </w:r>
      <w:r>
        <w:rPr>
          <w:rFonts w:ascii="Arial" w:hAnsi="Arial" w:cs="Arial"/>
          <w:color w:val="000000"/>
          <w:kern w:val="0"/>
          <w:sz w:val="21"/>
          <w:szCs w:val="21"/>
        </w:rPr>
        <w:t xml:space="preserve">di minore entità per </w:t>
      </w:r>
      <w:r w:rsidRPr="00511EF6">
        <w:rPr>
          <w:rFonts w:ascii="Arial" w:hAnsi="Arial" w:cs="Arial"/>
          <w:color w:val="000000"/>
          <w:kern w:val="0"/>
          <w:sz w:val="21"/>
          <w:szCs w:val="21"/>
        </w:rPr>
        <w:t>le prime (da +</w:t>
      </w:r>
      <w:r>
        <w:rPr>
          <w:rFonts w:ascii="Arial" w:hAnsi="Arial" w:cs="Arial"/>
          <w:color w:val="000000"/>
          <w:kern w:val="0"/>
          <w:sz w:val="21"/>
          <w:szCs w:val="21"/>
        </w:rPr>
        <w:t>4,4% del 2022</w:t>
      </w:r>
      <w:r w:rsidRPr="00511EF6">
        <w:rPr>
          <w:rFonts w:ascii="Arial" w:hAnsi="Arial" w:cs="Arial"/>
          <w:color w:val="000000"/>
          <w:kern w:val="0"/>
          <w:sz w:val="21"/>
          <w:szCs w:val="21"/>
        </w:rPr>
        <w:t xml:space="preserve"> a +4,</w:t>
      </w:r>
      <w:r>
        <w:rPr>
          <w:rFonts w:ascii="Arial" w:hAnsi="Arial" w:cs="Arial"/>
          <w:color w:val="000000"/>
          <w:kern w:val="0"/>
          <w:sz w:val="21"/>
          <w:szCs w:val="21"/>
        </w:rPr>
        <w:t>7</w:t>
      </w:r>
      <w:r w:rsidRPr="00511EF6">
        <w:rPr>
          <w:rFonts w:ascii="Arial" w:hAnsi="Arial" w:cs="Arial"/>
          <w:color w:val="000000"/>
          <w:kern w:val="0"/>
          <w:sz w:val="21"/>
          <w:szCs w:val="21"/>
        </w:rPr>
        <w:t xml:space="preserve">%,) </w:t>
      </w:r>
      <w:r>
        <w:rPr>
          <w:rFonts w:ascii="Arial" w:hAnsi="Arial" w:cs="Arial"/>
          <w:color w:val="000000"/>
          <w:kern w:val="0"/>
          <w:sz w:val="21"/>
          <w:szCs w:val="21"/>
        </w:rPr>
        <w:t>e più marcata per</w:t>
      </w:r>
      <w:r w:rsidRPr="00511EF6">
        <w:rPr>
          <w:rFonts w:ascii="Arial" w:hAnsi="Arial" w:cs="Arial"/>
          <w:color w:val="000000"/>
          <w:kern w:val="0"/>
          <w:sz w:val="21"/>
          <w:szCs w:val="21"/>
        </w:rPr>
        <w:t xml:space="preserve"> le seconde (da +</w:t>
      </w:r>
      <w:r>
        <w:rPr>
          <w:rFonts w:ascii="Arial" w:hAnsi="Arial" w:cs="Arial"/>
          <w:color w:val="000000"/>
          <w:kern w:val="0"/>
          <w:sz w:val="21"/>
          <w:szCs w:val="21"/>
        </w:rPr>
        <w:t>5,3</w:t>
      </w:r>
      <w:r w:rsidRPr="00511EF6">
        <w:rPr>
          <w:rFonts w:ascii="Arial" w:hAnsi="Arial" w:cs="Arial"/>
          <w:color w:val="000000"/>
          <w:kern w:val="0"/>
          <w:sz w:val="21"/>
          <w:szCs w:val="21"/>
        </w:rPr>
        <w:t>% a +</w:t>
      </w:r>
      <w:r>
        <w:rPr>
          <w:rFonts w:ascii="Arial" w:hAnsi="Arial" w:cs="Arial"/>
          <w:color w:val="000000"/>
          <w:kern w:val="0"/>
          <w:sz w:val="21"/>
          <w:szCs w:val="21"/>
        </w:rPr>
        <w:t>6</w:t>
      </w:r>
      <w:r w:rsidRPr="00511EF6">
        <w:rPr>
          <w:rFonts w:ascii="Arial" w:hAnsi="Arial" w:cs="Arial"/>
          <w:color w:val="000000"/>
          <w:kern w:val="0"/>
          <w:sz w:val="21"/>
          <w:szCs w:val="21"/>
        </w:rPr>
        <w:t>,</w:t>
      </w:r>
      <w:r>
        <w:rPr>
          <w:rFonts w:ascii="Arial" w:hAnsi="Arial" w:cs="Arial"/>
          <w:color w:val="000000"/>
          <w:kern w:val="0"/>
          <w:sz w:val="21"/>
          <w:szCs w:val="21"/>
        </w:rPr>
        <w:t>9</w:t>
      </w:r>
      <w:r w:rsidRPr="00511EF6">
        <w:rPr>
          <w:rFonts w:ascii="Arial" w:hAnsi="Arial" w:cs="Arial"/>
          <w:color w:val="000000"/>
          <w:kern w:val="0"/>
          <w:sz w:val="21"/>
          <w:szCs w:val="21"/>
        </w:rPr>
        <w:t>%).</w:t>
      </w:r>
      <w:r>
        <w:rPr>
          <w:rFonts w:ascii="Arial" w:hAnsi="Arial" w:cs="Arial"/>
          <w:color w:val="000000"/>
          <w:kern w:val="0"/>
          <w:sz w:val="21"/>
          <w:szCs w:val="21"/>
        </w:rPr>
        <w:t xml:space="preserve"> I prezzi dei</w:t>
      </w:r>
      <w:r w:rsidRPr="00005F6B">
        <w:rPr>
          <w:rFonts w:ascii="Arial" w:hAnsi="Arial" w:cs="Arial"/>
          <w:color w:val="000000"/>
          <w:kern w:val="0"/>
          <w:sz w:val="21"/>
          <w:szCs w:val="21"/>
        </w:rPr>
        <w:t xml:space="preserve"> Servizi relativi ai trasporti, che gravano per il 4,7% sul bilancio del primo gruppo e per il 7,</w:t>
      </w:r>
      <w:r>
        <w:rPr>
          <w:rFonts w:ascii="Arial" w:hAnsi="Arial" w:cs="Arial"/>
          <w:color w:val="000000"/>
          <w:kern w:val="0"/>
          <w:sz w:val="21"/>
          <w:szCs w:val="21"/>
        </w:rPr>
        <w:t>7</w:t>
      </w:r>
      <w:r w:rsidRPr="00005F6B">
        <w:rPr>
          <w:rFonts w:ascii="Arial" w:hAnsi="Arial" w:cs="Arial"/>
          <w:color w:val="000000"/>
          <w:kern w:val="0"/>
          <w:sz w:val="21"/>
          <w:szCs w:val="21"/>
        </w:rPr>
        <w:t xml:space="preserve">% su quello del secondo, </w:t>
      </w:r>
      <w:r>
        <w:rPr>
          <w:rFonts w:ascii="Arial" w:hAnsi="Arial" w:cs="Arial"/>
          <w:color w:val="000000"/>
          <w:kern w:val="0"/>
          <w:sz w:val="21"/>
          <w:szCs w:val="21"/>
        </w:rPr>
        <w:t>sono invece in rallentamento sia</w:t>
      </w:r>
      <w:r w:rsidRPr="00005F6B">
        <w:rPr>
          <w:rFonts w:ascii="Arial" w:hAnsi="Arial" w:cs="Arial"/>
          <w:color w:val="000000"/>
          <w:kern w:val="0"/>
          <w:sz w:val="21"/>
          <w:szCs w:val="21"/>
        </w:rPr>
        <w:t xml:space="preserve"> </w:t>
      </w:r>
      <w:r>
        <w:rPr>
          <w:rFonts w:ascii="Arial" w:hAnsi="Arial" w:cs="Arial"/>
          <w:color w:val="000000"/>
          <w:kern w:val="0"/>
          <w:sz w:val="21"/>
          <w:szCs w:val="21"/>
        </w:rPr>
        <w:t>p</w:t>
      </w:r>
      <w:r w:rsidRPr="00005F6B">
        <w:rPr>
          <w:rFonts w:ascii="Arial" w:hAnsi="Arial" w:cs="Arial"/>
          <w:color w:val="000000"/>
          <w:kern w:val="0"/>
          <w:sz w:val="21"/>
          <w:szCs w:val="21"/>
        </w:rPr>
        <w:t>er le famiglie con minore capacità di spesa (da +</w:t>
      </w:r>
      <w:r>
        <w:rPr>
          <w:rFonts w:ascii="Arial" w:hAnsi="Arial" w:cs="Arial"/>
          <w:color w:val="000000"/>
          <w:kern w:val="0"/>
          <w:sz w:val="21"/>
          <w:szCs w:val="21"/>
        </w:rPr>
        <w:t>4</w:t>
      </w:r>
      <w:r w:rsidRPr="00005F6B">
        <w:rPr>
          <w:rFonts w:ascii="Arial" w:hAnsi="Arial" w:cs="Arial"/>
          <w:color w:val="000000"/>
          <w:kern w:val="0"/>
          <w:sz w:val="21"/>
          <w:szCs w:val="21"/>
        </w:rPr>
        <w:t>,7% a +4,</w:t>
      </w:r>
      <w:r>
        <w:rPr>
          <w:rFonts w:ascii="Arial" w:hAnsi="Arial" w:cs="Arial"/>
          <w:color w:val="000000"/>
          <w:kern w:val="0"/>
          <w:sz w:val="21"/>
          <w:szCs w:val="21"/>
        </w:rPr>
        <w:t>2</w:t>
      </w:r>
      <w:r w:rsidRPr="00005F6B">
        <w:rPr>
          <w:rFonts w:ascii="Arial" w:hAnsi="Arial" w:cs="Arial"/>
          <w:color w:val="000000"/>
          <w:kern w:val="0"/>
          <w:sz w:val="21"/>
          <w:szCs w:val="21"/>
        </w:rPr>
        <w:t>%) sia per le famiglie con capacità di spesa più elevata (da +</w:t>
      </w:r>
      <w:r>
        <w:rPr>
          <w:rFonts w:ascii="Arial" w:hAnsi="Arial" w:cs="Arial"/>
          <w:color w:val="000000"/>
          <w:kern w:val="0"/>
          <w:sz w:val="21"/>
          <w:szCs w:val="21"/>
        </w:rPr>
        <w:t>6</w:t>
      </w:r>
      <w:r w:rsidRPr="00005F6B">
        <w:rPr>
          <w:rFonts w:ascii="Arial" w:hAnsi="Arial" w:cs="Arial"/>
          <w:color w:val="000000"/>
          <w:kern w:val="0"/>
          <w:sz w:val="21"/>
          <w:szCs w:val="21"/>
        </w:rPr>
        <w:t>,1% a +</w:t>
      </w:r>
      <w:r>
        <w:rPr>
          <w:rFonts w:ascii="Arial" w:hAnsi="Arial" w:cs="Arial"/>
          <w:color w:val="000000"/>
          <w:kern w:val="0"/>
          <w:sz w:val="21"/>
          <w:szCs w:val="21"/>
        </w:rPr>
        <w:t>4</w:t>
      </w:r>
      <w:r w:rsidRPr="00005F6B">
        <w:rPr>
          <w:rFonts w:ascii="Arial" w:hAnsi="Arial" w:cs="Arial"/>
          <w:color w:val="000000"/>
          <w:kern w:val="0"/>
          <w:sz w:val="21"/>
          <w:szCs w:val="21"/>
        </w:rPr>
        <w:t>,</w:t>
      </w:r>
      <w:r>
        <w:rPr>
          <w:rFonts w:ascii="Arial" w:hAnsi="Arial" w:cs="Arial"/>
          <w:color w:val="000000"/>
          <w:kern w:val="0"/>
          <w:sz w:val="21"/>
          <w:szCs w:val="21"/>
        </w:rPr>
        <w:t>6</w:t>
      </w:r>
      <w:r w:rsidRPr="00005F6B">
        <w:rPr>
          <w:rFonts w:ascii="Arial" w:hAnsi="Arial" w:cs="Arial"/>
          <w:color w:val="000000"/>
          <w:kern w:val="0"/>
          <w:sz w:val="21"/>
          <w:szCs w:val="21"/>
        </w:rPr>
        <w:t>%).</w:t>
      </w:r>
    </w:p>
    <w:p w:rsidR="00A70458" w:rsidRPr="00A30371" w:rsidRDefault="00A70458" w:rsidP="00A70458">
      <w:pPr>
        <w:spacing w:before="0" w:after="120"/>
        <w:jc w:val="both"/>
        <w:rPr>
          <w:rFonts w:ascii="Arial" w:hAnsi="Arial" w:cs="Arial"/>
          <w:color w:val="000000"/>
          <w:kern w:val="0"/>
          <w:sz w:val="21"/>
          <w:szCs w:val="21"/>
          <w:highlight w:val="yellow"/>
        </w:rPr>
      </w:pPr>
    </w:p>
    <w:p w:rsidR="00A70458" w:rsidRDefault="00A70458" w:rsidP="00A70458">
      <w:pPr>
        <w:spacing w:after="120"/>
        <w:rPr>
          <w:rFonts w:ascii="Arial Narrow" w:hAnsi="Arial Narrow" w:cs="Arial"/>
          <w:color w:val="5F5F5F"/>
        </w:rPr>
      </w:pPr>
      <w:r w:rsidRPr="00005F6B">
        <w:rPr>
          <w:rFonts w:ascii="Arial Narrow" w:hAnsi="Arial Narrow" w:cs="Arial"/>
          <w:b/>
          <w:color w:val="E42618"/>
          <w:sz w:val="22"/>
          <w:szCs w:val="22"/>
        </w:rPr>
        <w:t>FIGURA 11.</w:t>
      </w:r>
      <w:r w:rsidRPr="00005F6B">
        <w:rPr>
          <w:rFonts w:ascii="Arial Narrow" w:hAnsi="Arial Narrow" w:cs="Arial"/>
          <w:b/>
          <w:color w:val="5F5F5F"/>
          <w:sz w:val="22"/>
          <w:szCs w:val="22"/>
        </w:rPr>
        <w:t xml:space="preserve"> </w:t>
      </w:r>
      <w:r w:rsidRPr="00005F6B">
        <w:rPr>
          <w:rFonts w:ascii="Arial Narrow" w:hAnsi="Arial Narrow" w:cs="Calibri"/>
          <w:b/>
          <w:bCs/>
          <w:color w:val="5F5F5F"/>
          <w:sz w:val="22"/>
          <w:szCs w:val="22"/>
        </w:rPr>
        <w:t>INDICI DEI PREZZI AL CONSUMO IPCA PER CLASSI DI SPESA DELLE FAMIGLIE - SERVIZI</w:t>
      </w:r>
      <w:r w:rsidRPr="00005F6B">
        <w:rPr>
          <w:rFonts w:ascii="Arial Narrow" w:hAnsi="Arial Narrow" w:cs="Arial"/>
          <w:b/>
          <w:color w:val="5F5F5F"/>
          <w:sz w:val="22"/>
          <w:szCs w:val="22"/>
        </w:rPr>
        <w:br/>
      </w:r>
      <w:r w:rsidRPr="00005F6B">
        <w:rPr>
          <w:rFonts w:ascii="Arial Narrow" w:hAnsi="Arial Narrow" w:cs="Arial"/>
          <w:color w:val="5F5F5F"/>
        </w:rPr>
        <w:t>Gennaio 201</w:t>
      </w:r>
      <w:r>
        <w:rPr>
          <w:rFonts w:ascii="Arial Narrow" w:hAnsi="Arial Narrow" w:cs="Arial"/>
          <w:color w:val="5F5F5F"/>
        </w:rPr>
        <w:t>8</w:t>
      </w:r>
      <w:r w:rsidRPr="00005F6B">
        <w:rPr>
          <w:rFonts w:ascii="Arial Narrow" w:hAnsi="Arial Narrow" w:cs="Arial"/>
          <w:color w:val="5F5F5F"/>
        </w:rPr>
        <w:t xml:space="preserve"> - dicembre 202</w:t>
      </w:r>
      <w:r>
        <w:rPr>
          <w:rFonts w:ascii="Arial Narrow" w:hAnsi="Arial Narrow" w:cs="Arial"/>
          <w:color w:val="5F5F5F"/>
        </w:rPr>
        <w:t>3</w:t>
      </w:r>
      <w:r w:rsidRPr="00005F6B">
        <w:rPr>
          <w:rFonts w:ascii="Arial Narrow" w:hAnsi="Arial Narrow" w:cs="Arial"/>
          <w:color w:val="5F5F5F"/>
        </w:rPr>
        <w:t>, variazioni percentuali tendenziali (base 2015=100)</w:t>
      </w:r>
      <w:r>
        <w:rPr>
          <w:rFonts w:ascii="Arial Narrow" w:hAnsi="Arial Narrow" w:cs="Arial"/>
          <w:color w:val="5F5F5F"/>
        </w:rPr>
        <w:t xml:space="preserve"> </w:t>
      </w:r>
    </w:p>
    <w:p w:rsidR="00A70458" w:rsidRDefault="00A70458" w:rsidP="00A70458">
      <w:pPr>
        <w:spacing w:after="120"/>
        <w:rPr>
          <w:rFonts w:ascii="Arial Narrow" w:hAnsi="Arial Narrow" w:cs="Arial"/>
          <w:color w:val="5F5F5F"/>
        </w:rPr>
      </w:pPr>
      <w:r>
        <w:rPr>
          <w:rFonts w:ascii="Arial Narrow" w:hAnsi="Arial Narrow" w:cs="Arial"/>
          <w:noProof/>
          <w:color w:val="5F5F5F"/>
        </w:rPr>
        <w:drawing>
          <wp:inline distT="0" distB="0" distL="0" distR="0" wp14:anchorId="3F266C61" wp14:editId="401888E6">
            <wp:extent cx="6657340" cy="2225040"/>
            <wp:effectExtent l="0" t="0" r="0" b="381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7340" cy="2225040"/>
                    </a:xfrm>
                    <a:prstGeom prst="rect">
                      <a:avLst/>
                    </a:prstGeom>
                    <a:noFill/>
                  </pic:spPr>
                </pic:pic>
              </a:graphicData>
            </a:graphic>
          </wp:inline>
        </w:drawing>
      </w:r>
    </w:p>
    <w:p w:rsidR="00A70458" w:rsidRPr="00E42EA2" w:rsidRDefault="00A70458" w:rsidP="00A70458">
      <w:pPr>
        <w:tabs>
          <w:tab w:val="left" w:pos="0"/>
          <w:tab w:val="left" w:pos="6300"/>
        </w:tabs>
        <w:spacing w:after="120"/>
        <w:jc w:val="both"/>
        <w:rPr>
          <w:rFonts w:ascii="Arial" w:hAnsi="Arial" w:cs="Arial"/>
          <w:color w:val="000000"/>
          <w:kern w:val="0"/>
          <w:sz w:val="21"/>
          <w:szCs w:val="21"/>
        </w:rPr>
      </w:pPr>
      <w:r w:rsidRPr="00904EC1">
        <w:rPr>
          <w:rFonts w:ascii="Arial" w:hAnsi="Arial" w:cs="Arial"/>
          <w:iCs/>
          <w:sz w:val="21"/>
          <w:szCs w:val="21"/>
        </w:rPr>
        <w:t xml:space="preserve">Con riferimento al quarto trimestre 2023 (Figura </w:t>
      </w:r>
      <w:r w:rsidRPr="00904EC1">
        <w:rPr>
          <w:rFonts w:ascii="Arial" w:hAnsi="Arial" w:cs="Arial"/>
          <w:color w:val="000000"/>
          <w:kern w:val="0"/>
          <w:sz w:val="21"/>
          <w:szCs w:val="21"/>
        </w:rPr>
        <w:t xml:space="preserve">12), il contributo dei prezzi dei beni alla variazione dell’indice generale dei prezzi al consumo risulta negativo per il primo gruppo e pari a -2,404 punti percentuali (cui l’Energia contribuisce per -4,603 punti percentuali) mentre risulta positivo per il quinto gruppo e ammonta a 0,403 punti percentuali (cui l’Energia fornisce un contributo negativo pari a -1,523 punti percentuali). Il contributo dei servizi è </w:t>
      </w:r>
      <w:r>
        <w:rPr>
          <w:rFonts w:ascii="Arial" w:hAnsi="Arial" w:cs="Arial"/>
          <w:color w:val="000000"/>
          <w:kern w:val="0"/>
          <w:sz w:val="21"/>
          <w:szCs w:val="21"/>
        </w:rPr>
        <w:t xml:space="preserve">invece </w:t>
      </w:r>
      <w:r w:rsidRPr="00904EC1">
        <w:rPr>
          <w:rFonts w:ascii="Arial" w:hAnsi="Arial" w:cs="Arial"/>
          <w:color w:val="000000"/>
          <w:kern w:val="0"/>
          <w:sz w:val="21"/>
          <w:szCs w:val="21"/>
        </w:rPr>
        <w:t>positivo per entrambi i gruppi di famiglie e</w:t>
      </w:r>
      <w:r>
        <w:rPr>
          <w:rFonts w:ascii="Arial" w:hAnsi="Arial" w:cs="Arial"/>
          <w:color w:val="000000"/>
          <w:kern w:val="0"/>
          <w:sz w:val="21"/>
          <w:szCs w:val="21"/>
        </w:rPr>
        <w:t xml:space="preserve">d è pari a </w:t>
      </w:r>
      <w:r w:rsidRPr="00904EC1">
        <w:rPr>
          <w:rFonts w:ascii="Arial" w:hAnsi="Arial" w:cs="Arial"/>
          <w:color w:val="000000"/>
          <w:kern w:val="0"/>
          <w:sz w:val="21"/>
          <w:szCs w:val="21"/>
        </w:rPr>
        <w:t>1,021 punti percentuali per le famiglie meno abbienti e a 1,783 punti percentuali per quelle più agiate.</w:t>
      </w:r>
    </w:p>
    <w:p w:rsidR="00A70458" w:rsidRDefault="00A70458" w:rsidP="00A70458">
      <w:pPr>
        <w:spacing w:after="120"/>
        <w:rPr>
          <w:rFonts w:ascii="Arial Narrow" w:hAnsi="Arial Narrow" w:cs="Arial"/>
          <w:b/>
          <w:color w:val="E42618"/>
          <w:sz w:val="22"/>
          <w:szCs w:val="22"/>
        </w:rPr>
      </w:pPr>
    </w:p>
    <w:p w:rsidR="00A70458" w:rsidRDefault="00A70458" w:rsidP="00A70458">
      <w:pPr>
        <w:spacing w:after="120"/>
        <w:rPr>
          <w:rFonts w:ascii="Arial Narrow" w:hAnsi="Arial Narrow" w:cs="Arial"/>
          <w:color w:val="5F5F5F"/>
        </w:rPr>
      </w:pPr>
      <w:r w:rsidRPr="0071622E">
        <w:rPr>
          <w:rFonts w:ascii="Arial Narrow" w:hAnsi="Arial Narrow" w:cs="Arial"/>
          <w:b/>
          <w:color w:val="E42618"/>
          <w:sz w:val="22"/>
          <w:szCs w:val="22"/>
        </w:rPr>
        <w:t>FIGURA 12.</w:t>
      </w:r>
      <w:r w:rsidRPr="0071622E">
        <w:rPr>
          <w:rFonts w:ascii="Arial Narrow" w:hAnsi="Arial Narrow" w:cs="Arial"/>
          <w:b/>
          <w:color w:val="5F5F5F"/>
          <w:sz w:val="22"/>
          <w:szCs w:val="22"/>
        </w:rPr>
        <w:t xml:space="preserve"> </w:t>
      </w:r>
      <w:r w:rsidRPr="0071622E">
        <w:rPr>
          <w:rFonts w:ascii="Arial Narrow" w:hAnsi="Arial Narrow" w:cs="Calibri"/>
          <w:b/>
          <w:bCs/>
          <w:color w:val="5F5F5F"/>
          <w:sz w:val="22"/>
          <w:szCs w:val="22"/>
        </w:rPr>
        <w:t>INDICE DEI PREZZI AL CONSUMO IPCA, CONTRIBUTI ALLA VARIAZIONE PERCENTUALE TENDENZIALE DEGLI AGGREGATI SPECIALI DELLA 1</w:t>
      </w:r>
      <w:r w:rsidRPr="0071622E">
        <w:rPr>
          <w:rFonts w:ascii="Arial Narrow" w:hAnsi="Arial Narrow" w:cs="Calibri"/>
          <w:b/>
          <w:bCs/>
          <w:color w:val="5F5F5F"/>
          <w:sz w:val="22"/>
          <w:szCs w:val="22"/>
          <w:vertAlign w:val="superscript"/>
        </w:rPr>
        <w:t xml:space="preserve">a </w:t>
      </w:r>
      <w:r w:rsidRPr="0071622E">
        <w:rPr>
          <w:rFonts w:ascii="Arial Narrow" w:hAnsi="Arial Narrow" w:cs="Calibri"/>
          <w:b/>
          <w:bCs/>
          <w:color w:val="5F5F5F"/>
          <w:sz w:val="22"/>
          <w:szCs w:val="22"/>
        </w:rPr>
        <w:t xml:space="preserve">E DELLA 5 </w:t>
      </w:r>
      <w:r w:rsidRPr="0071622E">
        <w:rPr>
          <w:rFonts w:ascii="Arial Narrow" w:hAnsi="Arial Narrow" w:cs="Calibri"/>
          <w:b/>
          <w:bCs/>
          <w:color w:val="5F5F5F"/>
          <w:sz w:val="22"/>
          <w:szCs w:val="22"/>
          <w:vertAlign w:val="superscript"/>
        </w:rPr>
        <w:t>a</w:t>
      </w:r>
      <w:r w:rsidRPr="0071622E">
        <w:rPr>
          <w:rFonts w:ascii="Arial Narrow" w:hAnsi="Arial Narrow" w:cs="Calibri"/>
          <w:b/>
          <w:bCs/>
          <w:color w:val="5F5F5F"/>
          <w:sz w:val="22"/>
          <w:szCs w:val="22"/>
        </w:rPr>
        <w:t xml:space="preserve"> CLASSE DI SPESA</w:t>
      </w:r>
      <w:r w:rsidRPr="0071622E">
        <w:rPr>
          <w:rFonts w:ascii="Arial Narrow" w:hAnsi="Arial Narrow" w:cs="Arial"/>
          <w:b/>
          <w:color w:val="5F5F5F"/>
          <w:sz w:val="22"/>
          <w:szCs w:val="22"/>
        </w:rPr>
        <w:br/>
      </w:r>
      <w:r>
        <w:rPr>
          <w:rFonts w:ascii="Arial Narrow" w:hAnsi="Arial Narrow" w:cs="Arial"/>
          <w:color w:val="5F5F5F"/>
        </w:rPr>
        <w:t>4° trimestre 2023</w:t>
      </w:r>
      <w:r w:rsidRPr="0071622E">
        <w:rPr>
          <w:rFonts w:ascii="Arial Narrow" w:hAnsi="Arial Narrow" w:cs="Arial"/>
          <w:color w:val="5F5F5F"/>
        </w:rPr>
        <w:t xml:space="preserve"> punti percentuali</w:t>
      </w:r>
    </w:p>
    <w:p w:rsidR="00A70458" w:rsidRDefault="00A70458" w:rsidP="00A70458">
      <w:pPr>
        <w:spacing w:after="120"/>
        <w:rPr>
          <w:rFonts w:ascii="Arial Narrow" w:hAnsi="Arial Narrow" w:cs="Arial"/>
          <w:color w:val="5F5F5F"/>
        </w:rPr>
      </w:pPr>
      <w:r>
        <w:rPr>
          <w:rFonts w:ascii="Arial Narrow" w:hAnsi="Arial Narrow" w:cs="Arial"/>
          <w:noProof/>
          <w:color w:val="5F5F5F"/>
        </w:rPr>
        <w:drawing>
          <wp:inline distT="0" distB="0" distL="0" distR="0" wp14:anchorId="0848BA39" wp14:editId="691CC7F0">
            <wp:extent cx="6657340" cy="2646045"/>
            <wp:effectExtent l="0" t="0" r="0" b="190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7340" cy="2646045"/>
                    </a:xfrm>
                    <a:prstGeom prst="rect">
                      <a:avLst/>
                    </a:prstGeom>
                    <a:noFill/>
                  </pic:spPr>
                </pic:pic>
              </a:graphicData>
            </a:graphic>
          </wp:inline>
        </w:drawing>
      </w:r>
    </w:p>
    <w:p w:rsidR="00A70458" w:rsidRDefault="00A70458" w:rsidP="00A70458">
      <w:pPr>
        <w:spacing w:after="120"/>
        <w:rPr>
          <w:rFonts w:ascii="Arial Narrow" w:hAnsi="Arial Narrow" w:cs="Arial"/>
          <w:color w:val="5F5F5F"/>
        </w:rPr>
      </w:pPr>
    </w:p>
    <w:p w:rsidR="009D6968" w:rsidRPr="008703DA" w:rsidRDefault="009D6968" w:rsidP="009D6968">
      <w:pPr>
        <w:spacing w:before="0" w:after="120"/>
        <w:jc w:val="both"/>
        <w:rPr>
          <w:rFonts w:ascii="Arial" w:hAnsi="Arial" w:cs="Arial"/>
          <w:iCs/>
          <w:sz w:val="6"/>
          <w:szCs w:val="21"/>
        </w:rPr>
      </w:pPr>
    </w:p>
    <w:p w:rsidR="009D6968" w:rsidRPr="00C8504B" w:rsidRDefault="009D6968" w:rsidP="009D6968">
      <w:pPr>
        <w:pStyle w:val="Corpotesto"/>
        <w:spacing w:before="120" w:after="60" w:line="240" w:lineRule="auto"/>
        <w:jc w:val="both"/>
        <w:rPr>
          <w:rFonts w:ascii="Arial" w:hAnsi="Arial" w:cs="Arial"/>
          <w:iCs/>
          <w:sz w:val="21"/>
          <w:szCs w:val="21"/>
        </w:rPr>
        <w:sectPr w:rsidR="009D6968" w:rsidRPr="00C8504B" w:rsidSect="000161B7">
          <w:headerReference w:type="default" r:id="rId43"/>
          <w:pgSz w:w="11907" w:h="16840" w:code="9"/>
          <w:pgMar w:top="1537" w:right="851" w:bottom="680" w:left="851" w:header="567" w:footer="567" w:gutter="0"/>
          <w:cols w:space="720"/>
          <w:noEndnote/>
          <w:docGrid w:linePitch="272"/>
        </w:sectPr>
      </w:pPr>
    </w:p>
    <w:p w:rsidR="009D6968" w:rsidRPr="00C8504B" w:rsidRDefault="009D6968" w:rsidP="009D6968">
      <w:pPr>
        <w:pStyle w:val="Corpotesto"/>
        <w:spacing w:before="120" w:after="60" w:line="240" w:lineRule="auto"/>
        <w:jc w:val="both"/>
        <w:rPr>
          <w:rFonts w:ascii="Arial" w:hAnsi="Arial" w:cs="Arial"/>
          <w:iCs/>
          <w:sz w:val="21"/>
          <w:szCs w:val="21"/>
        </w:rPr>
      </w:pPr>
    </w:p>
    <w:p w:rsidR="009D6968" w:rsidRPr="003D2E1C" w:rsidRDefault="009D6968" w:rsidP="009D6968">
      <w:pPr>
        <w:pStyle w:val="Corpotesto"/>
        <w:spacing w:after="120" w:line="240" w:lineRule="auto"/>
        <w:jc w:val="both"/>
        <w:rPr>
          <w:rFonts w:ascii="Arial" w:hAnsi="Arial" w:cs="Arial"/>
          <w:iCs/>
          <w:sz w:val="21"/>
          <w:szCs w:val="21"/>
        </w:rPr>
      </w:pPr>
      <w:r w:rsidRPr="003D2E1C">
        <w:rPr>
          <w:rFonts w:ascii="Arial" w:hAnsi="Arial" w:cs="Arial"/>
          <w:iCs/>
          <w:sz w:val="21"/>
          <w:szCs w:val="21"/>
        </w:rPr>
        <w:t>Le stime preliminari e definitive delle variazioni congiunturali e tendenziali degli indici generali NIC e IPCA r</w:t>
      </w:r>
      <w:r w:rsidR="003D2E1C">
        <w:rPr>
          <w:rFonts w:ascii="Arial" w:hAnsi="Arial" w:cs="Arial"/>
          <w:iCs/>
          <w:sz w:val="21"/>
          <w:szCs w:val="21"/>
        </w:rPr>
        <w:t>elative al mese di dicembre 2023</w:t>
      </w:r>
      <w:r w:rsidRPr="003D2E1C">
        <w:rPr>
          <w:rFonts w:ascii="Arial" w:hAnsi="Arial" w:cs="Arial"/>
          <w:iCs/>
          <w:sz w:val="21"/>
          <w:szCs w:val="21"/>
        </w:rPr>
        <w:t xml:space="preserve"> sono messe a confronto per valutare l’eventuale revisione intercorsa e, quindi, l’accuratezza della stima preliminare (Prospetto 16).</w:t>
      </w:r>
    </w:p>
    <w:p w:rsidR="009D6968" w:rsidRPr="003D2E1C" w:rsidRDefault="009D6968" w:rsidP="009D6968">
      <w:pPr>
        <w:pStyle w:val="Corpotesto"/>
        <w:spacing w:after="120" w:line="240" w:lineRule="auto"/>
        <w:jc w:val="both"/>
        <w:rPr>
          <w:rFonts w:ascii="Arial" w:hAnsi="Arial" w:cs="Arial"/>
          <w:iCs/>
          <w:sz w:val="21"/>
          <w:szCs w:val="21"/>
        </w:rPr>
      </w:pPr>
      <w:r w:rsidRPr="003D2E1C">
        <w:rPr>
          <w:rFonts w:ascii="Arial" w:hAnsi="Arial" w:cs="Arial"/>
          <w:iCs/>
          <w:sz w:val="21"/>
          <w:szCs w:val="21"/>
        </w:rPr>
        <w:t>Per un’analisi più ampia dell’accuratezza e una descrizione della metodologia della stima provvisoria dell’inflazione si rimanda alla nota metodologica allegata al comunicato.</w:t>
      </w:r>
    </w:p>
    <w:p w:rsidR="009D6968" w:rsidRPr="003D2E1C" w:rsidRDefault="009D6968" w:rsidP="009D6968">
      <w:pPr>
        <w:pStyle w:val="Corpodeltesto2"/>
        <w:tabs>
          <w:tab w:val="left" w:pos="0"/>
          <w:tab w:val="left" w:pos="6300"/>
        </w:tabs>
        <w:spacing w:line="240" w:lineRule="auto"/>
        <w:jc w:val="both"/>
        <w:rPr>
          <w:rFonts w:ascii="Arial" w:hAnsi="Arial" w:cs="Arial"/>
          <w:iCs/>
          <w:kern w:val="28"/>
          <w:sz w:val="21"/>
          <w:szCs w:val="21"/>
        </w:rPr>
      </w:pPr>
    </w:p>
    <w:p w:rsidR="009D6968" w:rsidRPr="003D2E1C" w:rsidRDefault="009D6968" w:rsidP="009D6968">
      <w:pPr>
        <w:pStyle w:val="Corpotesto"/>
        <w:spacing w:after="120" w:line="240" w:lineRule="auto"/>
        <w:jc w:val="both"/>
        <w:rPr>
          <w:rFonts w:ascii="Arial Narrow" w:hAnsi="Arial Narrow" w:cs="Arial"/>
          <w:sz w:val="19"/>
          <w:szCs w:val="19"/>
        </w:rPr>
      </w:pPr>
      <w:r w:rsidRPr="003D2E1C">
        <w:rPr>
          <w:rFonts w:ascii="Arial Narrow" w:hAnsi="Arial Narrow" w:cs="Arial"/>
          <w:b/>
          <w:color w:val="E42618"/>
          <w:kern w:val="0"/>
          <w:sz w:val="22"/>
          <w:szCs w:val="22"/>
        </w:rPr>
        <w:t>PROSPETTO 16.</w:t>
      </w:r>
      <w:r w:rsidRPr="003D2E1C">
        <w:rPr>
          <w:rFonts w:ascii="Arial Narrow" w:hAnsi="Arial Narrow" w:cs="Arial"/>
          <w:b/>
          <w:color w:val="5F5F5F"/>
          <w:kern w:val="0"/>
          <w:sz w:val="22"/>
          <w:szCs w:val="22"/>
        </w:rPr>
        <w:t xml:space="preserve"> </w:t>
      </w:r>
      <w:r w:rsidRPr="003D2E1C">
        <w:rPr>
          <w:rFonts w:ascii="Arial Narrow" w:hAnsi="Arial Narrow" w:cs="Calibri"/>
          <w:b/>
          <w:bCs/>
          <w:color w:val="5F5F5F"/>
          <w:kern w:val="0"/>
          <w:sz w:val="22"/>
          <w:szCs w:val="22"/>
        </w:rPr>
        <w:t>REVISIONI DEGLI INDICI DEI PREZZI AL CONSUMO</w:t>
      </w:r>
      <w:r w:rsidRPr="003D2E1C">
        <w:rPr>
          <w:rFonts w:ascii="Arial Narrow" w:hAnsi="Arial Narrow" w:cs="Arial"/>
          <w:b/>
          <w:color w:val="5F5F5F"/>
        </w:rPr>
        <w:t xml:space="preserve"> </w:t>
      </w:r>
      <w:r w:rsidRPr="003D2E1C">
        <w:rPr>
          <w:rFonts w:ascii="Arial Narrow" w:hAnsi="Arial Narrow" w:cs="Arial"/>
          <w:b/>
          <w:color w:val="5F5F5F"/>
        </w:rPr>
        <w:br/>
      </w:r>
      <w:r w:rsidRPr="003D2E1C">
        <w:rPr>
          <w:rFonts w:ascii="Arial Narrow" w:hAnsi="Arial Narrow" w:cs="Arial"/>
          <w:color w:val="5F5F5F"/>
        </w:rPr>
        <w:t>Dicembre 202</w:t>
      </w:r>
      <w:r w:rsidR="003D2E1C">
        <w:rPr>
          <w:rFonts w:ascii="Arial Narrow" w:hAnsi="Arial Narrow" w:cs="Arial"/>
          <w:color w:val="5F5F5F"/>
        </w:rPr>
        <w:t>3</w:t>
      </w:r>
      <w:r w:rsidRPr="003D2E1C">
        <w:rPr>
          <w:rFonts w:ascii="Arial Narrow" w:hAnsi="Arial Narrow" w:cs="Arial"/>
          <w:color w:val="5F5F5F"/>
        </w:rPr>
        <w:t>, indici e variazioni percentuali congiunturali e tendenziali (base 2015=100)</w:t>
      </w:r>
    </w:p>
    <w:tbl>
      <w:tblPr>
        <w:tblW w:w="10206" w:type="dxa"/>
        <w:tblInd w:w="108" w:type="dxa"/>
        <w:tblLayout w:type="fixed"/>
        <w:tblLook w:val="04A0" w:firstRow="1" w:lastRow="0" w:firstColumn="1" w:lastColumn="0" w:noHBand="0" w:noVBand="1"/>
      </w:tblPr>
      <w:tblGrid>
        <w:gridCol w:w="3100"/>
        <w:gridCol w:w="1134"/>
        <w:gridCol w:w="1134"/>
        <w:gridCol w:w="71"/>
        <w:gridCol w:w="1205"/>
        <w:gridCol w:w="1153"/>
        <w:gridCol w:w="1290"/>
        <w:gridCol w:w="1119"/>
      </w:tblGrid>
      <w:tr w:rsidR="009D6968" w:rsidRPr="003D2E1C" w:rsidTr="00DC6658">
        <w:trPr>
          <w:trHeight w:val="255"/>
        </w:trPr>
        <w:tc>
          <w:tcPr>
            <w:tcW w:w="3100" w:type="dxa"/>
            <w:vMerge w:val="restart"/>
            <w:tcBorders>
              <w:top w:val="single" w:sz="4" w:space="0" w:color="auto"/>
              <w:left w:val="nil"/>
              <w:right w:val="nil"/>
            </w:tcBorders>
            <w:shd w:val="clear" w:color="000000" w:fill="FFFFFF"/>
            <w:vAlign w:val="center"/>
            <w:hideMark/>
          </w:tcPr>
          <w:p w:rsidR="009D6968" w:rsidRPr="003D2E1C" w:rsidRDefault="009D6968" w:rsidP="00DC6658">
            <w:pPr>
              <w:widowControl/>
              <w:overflowPunct/>
              <w:autoSpaceDE/>
              <w:autoSpaceDN/>
              <w:adjustRightInd/>
              <w:spacing w:before="40" w:after="20"/>
              <w:rPr>
                <w:rFonts w:ascii="Arial Narrow" w:hAnsi="Arial Narrow"/>
                <w:color w:val="000000"/>
                <w:kern w:val="0"/>
                <w:sz w:val="18"/>
                <w:szCs w:val="18"/>
                <w:lang w:eastAsia="en-GB"/>
              </w:rPr>
            </w:pPr>
          </w:p>
        </w:tc>
        <w:tc>
          <w:tcPr>
            <w:tcW w:w="3544" w:type="dxa"/>
            <w:gridSpan w:val="4"/>
            <w:tcBorders>
              <w:top w:val="single" w:sz="4" w:space="0" w:color="auto"/>
              <w:left w:val="nil"/>
              <w:bottom w:val="single" w:sz="4" w:space="0" w:color="auto"/>
              <w:right w:val="nil"/>
            </w:tcBorders>
            <w:shd w:val="clear" w:color="auto" w:fill="D9D9D9"/>
            <w:vAlign w:val="center"/>
            <w:hideMark/>
          </w:tcPr>
          <w:p w:rsidR="009D6968" w:rsidRPr="003D2E1C" w:rsidRDefault="009D6968" w:rsidP="00DC6658">
            <w:pPr>
              <w:widowControl/>
              <w:overflowPunct/>
              <w:autoSpaceDE/>
              <w:autoSpaceDN/>
              <w:adjustRightInd/>
              <w:spacing w:before="40" w:after="20"/>
              <w:jc w:val="center"/>
              <w:rPr>
                <w:rFonts w:ascii="Arial Narrow" w:hAnsi="Arial Narrow"/>
                <w:b/>
                <w:bCs/>
                <w:color w:val="000000"/>
                <w:kern w:val="0"/>
                <w:sz w:val="18"/>
                <w:szCs w:val="18"/>
                <w:lang w:eastAsia="en-GB"/>
              </w:rPr>
            </w:pPr>
            <w:r w:rsidRPr="003D2E1C">
              <w:rPr>
                <w:rFonts w:ascii="Arial Narrow" w:hAnsi="Arial Narrow"/>
                <w:b/>
                <w:bCs/>
                <w:color w:val="000000"/>
                <w:kern w:val="0"/>
                <w:sz w:val="18"/>
                <w:szCs w:val="18"/>
                <w:lang w:eastAsia="en-GB"/>
              </w:rPr>
              <w:t>DATI PROVVISORI</w:t>
            </w:r>
          </w:p>
        </w:tc>
        <w:tc>
          <w:tcPr>
            <w:tcW w:w="3562" w:type="dxa"/>
            <w:gridSpan w:val="3"/>
            <w:tcBorders>
              <w:top w:val="single" w:sz="4" w:space="0" w:color="auto"/>
              <w:left w:val="nil"/>
              <w:bottom w:val="single" w:sz="4" w:space="0" w:color="auto"/>
              <w:right w:val="nil"/>
            </w:tcBorders>
            <w:shd w:val="clear" w:color="000000" w:fill="FFFFFF"/>
            <w:noWrap/>
            <w:vAlign w:val="center"/>
            <w:hideMark/>
          </w:tcPr>
          <w:p w:rsidR="009D6968" w:rsidRPr="003D2E1C" w:rsidRDefault="009D6968" w:rsidP="00DC6658">
            <w:pPr>
              <w:widowControl/>
              <w:overflowPunct/>
              <w:autoSpaceDE/>
              <w:autoSpaceDN/>
              <w:adjustRightInd/>
              <w:spacing w:before="40" w:after="20"/>
              <w:jc w:val="center"/>
              <w:rPr>
                <w:rFonts w:ascii="Arial Narrow" w:hAnsi="Arial Narrow"/>
                <w:b/>
                <w:bCs/>
                <w:color w:val="000000"/>
                <w:kern w:val="0"/>
                <w:sz w:val="18"/>
                <w:szCs w:val="18"/>
                <w:lang w:eastAsia="en-GB"/>
              </w:rPr>
            </w:pPr>
            <w:r w:rsidRPr="003D2E1C">
              <w:rPr>
                <w:rFonts w:ascii="Arial Narrow" w:hAnsi="Arial Narrow"/>
                <w:b/>
                <w:bCs/>
                <w:color w:val="000000"/>
                <w:kern w:val="0"/>
                <w:sz w:val="18"/>
                <w:szCs w:val="18"/>
                <w:lang w:eastAsia="en-GB"/>
              </w:rPr>
              <w:t>DATI DEFINITIVI</w:t>
            </w:r>
          </w:p>
        </w:tc>
      </w:tr>
      <w:tr w:rsidR="009D6968" w:rsidRPr="003D2E1C" w:rsidTr="00DC6658">
        <w:trPr>
          <w:trHeight w:val="255"/>
        </w:trPr>
        <w:tc>
          <w:tcPr>
            <w:tcW w:w="3100" w:type="dxa"/>
            <w:vMerge/>
            <w:tcBorders>
              <w:left w:val="nil"/>
              <w:right w:val="nil"/>
            </w:tcBorders>
            <w:shd w:val="clear" w:color="000000" w:fill="FFFFFF"/>
            <w:vAlign w:val="center"/>
            <w:hideMark/>
          </w:tcPr>
          <w:p w:rsidR="009D6968" w:rsidRPr="003D2E1C" w:rsidRDefault="009D6968" w:rsidP="00DC6658">
            <w:pPr>
              <w:spacing w:before="40" w:after="20"/>
              <w:rPr>
                <w:rFonts w:ascii="Arial Narrow" w:hAnsi="Arial Narrow"/>
                <w:color w:val="000000"/>
                <w:kern w:val="0"/>
                <w:sz w:val="18"/>
                <w:szCs w:val="18"/>
                <w:lang w:eastAsia="en-GB"/>
              </w:rPr>
            </w:pPr>
          </w:p>
        </w:tc>
        <w:tc>
          <w:tcPr>
            <w:tcW w:w="1134" w:type="dxa"/>
            <w:tcBorders>
              <w:top w:val="nil"/>
              <w:left w:val="nil"/>
              <w:bottom w:val="single" w:sz="4" w:space="0" w:color="auto"/>
              <w:right w:val="nil"/>
            </w:tcBorders>
            <w:shd w:val="clear" w:color="auto" w:fill="D9D9D9"/>
            <w:vAlign w:val="center"/>
            <w:hideMark/>
          </w:tcPr>
          <w:p w:rsidR="009D6968" w:rsidRPr="003D2E1C" w:rsidRDefault="009D6968" w:rsidP="00DC6658">
            <w:pPr>
              <w:widowControl/>
              <w:overflowPunct/>
              <w:autoSpaceDE/>
              <w:autoSpaceDN/>
              <w:adjustRightInd/>
              <w:spacing w:before="40" w:after="20"/>
              <w:jc w:val="right"/>
              <w:rPr>
                <w:rFonts w:ascii="Arial Narrow" w:hAnsi="Arial Narrow"/>
                <w:b/>
                <w:bCs/>
                <w:color w:val="000000"/>
                <w:kern w:val="0"/>
                <w:sz w:val="18"/>
                <w:szCs w:val="18"/>
                <w:lang w:eastAsia="en-GB"/>
              </w:rPr>
            </w:pPr>
            <w:r w:rsidRPr="003D2E1C">
              <w:rPr>
                <w:rFonts w:ascii="Arial Narrow" w:hAnsi="Arial Narrow" w:cs="Arial"/>
                <w:b/>
                <w:bCs/>
                <w:color w:val="000000"/>
                <w:kern w:val="0"/>
                <w:sz w:val="18"/>
                <w:szCs w:val="18"/>
                <w:lang w:eastAsia="en-GB"/>
              </w:rPr>
              <w:t>indici</w:t>
            </w:r>
          </w:p>
        </w:tc>
        <w:tc>
          <w:tcPr>
            <w:tcW w:w="1205" w:type="dxa"/>
            <w:gridSpan w:val="2"/>
            <w:tcBorders>
              <w:top w:val="nil"/>
              <w:left w:val="nil"/>
              <w:bottom w:val="single" w:sz="4" w:space="0" w:color="auto"/>
              <w:right w:val="nil"/>
            </w:tcBorders>
            <w:shd w:val="clear" w:color="auto" w:fill="FFFFFF"/>
            <w:vAlign w:val="center"/>
            <w:hideMark/>
          </w:tcPr>
          <w:p w:rsidR="009D6968" w:rsidRPr="003D2E1C" w:rsidRDefault="009D6968" w:rsidP="00DC6658">
            <w:pPr>
              <w:widowControl/>
              <w:overflowPunct/>
              <w:autoSpaceDE/>
              <w:autoSpaceDN/>
              <w:adjustRightInd/>
              <w:spacing w:before="40" w:after="20"/>
              <w:jc w:val="right"/>
              <w:rPr>
                <w:rFonts w:ascii="Arial Narrow" w:hAnsi="Arial Narrow"/>
                <w:b/>
                <w:bCs/>
                <w:color w:val="000000"/>
                <w:kern w:val="0"/>
                <w:sz w:val="18"/>
                <w:szCs w:val="18"/>
                <w:lang w:eastAsia="en-GB"/>
              </w:rPr>
            </w:pPr>
            <w:r w:rsidRPr="003D2E1C">
              <w:rPr>
                <w:rFonts w:ascii="Arial Narrow" w:hAnsi="Arial Narrow"/>
                <w:b/>
                <w:bCs/>
                <w:color w:val="000000"/>
                <w:kern w:val="0"/>
                <w:sz w:val="18"/>
                <w:szCs w:val="18"/>
                <w:lang w:eastAsia="en-GB"/>
              </w:rPr>
              <w:t>variazioni congiunturali</w:t>
            </w:r>
          </w:p>
        </w:tc>
        <w:tc>
          <w:tcPr>
            <w:tcW w:w="1205" w:type="dxa"/>
            <w:tcBorders>
              <w:top w:val="nil"/>
              <w:left w:val="nil"/>
              <w:bottom w:val="single" w:sz="4" w:space="0" w:color="auto"/>
              <w:right w:val="nil"/>
            </w:tcBorders>
            <w:shd w:val="clear" w:color="auto" w:fill="D9D9D9"/>
            <w:vAlign w:val="center"/>
          </w:tcPr>
          <w:p w:rsidR="009D6968" w:rsidRPr="003D2E1C" w:rsidRDefault="009D6968" w:rsidP="00DC6658">
            <w:pPr>
              <w:widowControl/>
              <w:overflowPunct/>
              <w:autoSpaceDE/>
              <w:autoSpaceDN/>
              <w:adjustRightInd/>
              <w:spacing w:before="40" w:after="20"/>
              <w:jc w:val="right"/>
              <w:rPr>
                <w:rFonts w:ascii="Arial Narrow" w:hAnsi="Arial Narrow"/>
                <w:b/>
                <w:bCs/>
                <w:color w:val="000000"/>
                <w:kern w:val="0"/>
                <w:sz w:val="18"/>
                <w:szCs w:val="18"/>
                <w:lang w:eastAsia="en-GB"/>
              </w:rPr>
            </w:pPr>
            <w:r w:rsidRPr="003D2E1C">
              <w:rPr>
                <w:rFonts w:ascii="Arial Narrow" w:hAnsi="Arial Narrow"/>
                <w:b/>
                <w:bCs/>
                <w:color w:val="000000"/>
                <w:kern w:val="0"/>
                <w:sz w:val="18"/>
                <w:szCs w:val="18"/>
                <w:lang w:eastAsia="en-GB"/>
              </w:rPr>
              <w:t>variazioni tendenziali</w:t>
            </w:r>
          </w:p>
        </w:tc>
        <w:tc>
          <w:tcPr>
            <w:tcW w:w="1153" w:type="dxa"/>
            <w:tcBorders>
              <w:top w:val="nil"/>
              <w:left w:val="nil"/>
              <w:bottom w:val="single" w:sz="4" w:space="0" w:color="auto"/>
              <w:right w:val="nil"/>
            </w:tcBorders>
            <w:shd w:val="clear" w:color="auto" w:fill="FFFFFF"/>
            <w:noWrap/>
            <w:vAlign w:val="center"/>
            <w:hideMark/>
          </w:tcPr>
          <w:p w:rsidR="009D6968" w:rsidRPr="003D2E1C" w:rsidRDefault="009D6968" w:rsidP="00DC6658">
            <w:pPr>
              <w:widowControl/>
              <w:overflowPunct/>
              <w:autoSpaceDE/>
              <w:autoSpaceDN/>
              <w:adjustRightInd/>
              <w:spacing w:before="40" w:after="20"/>
              <w:jc w:val="right"/>
              <w:rPr>
                <w:rFonts w:ascii="Arial Narrow" w:hAnsi="Arial Narrow"/>
                <w:b/>
                <w:bCs/>
                <w:color w:val="000000"/>
                <w:kern w:val="0"/>
                <w:sz w:val="18"/>
                <w:szCs w:val="18"/>
                <w:lang w:eastAsia="en-GB"/>
              </w:rPr>
            </w:pPr>
            <w:r w:rsidRPr="003D2E1C">
              <w:rPr>
                <w:rFonts w:ascii="Arial Narrow" w:hAnsi="Arial Narrow" w:cs="Arial"/>
                <w:b/>
                <w:bCs/>
                <w:color w:val="000000"/>
                <w:kern w:val="0"/>
                <w:sz w:val="18"/>
                <w:szCs w:val="18"/>
                <w:lang w:eastAsia="en-GB"/>
              </w:rPr>
              <w:t>indici</w:t>
            </w:r>
          </w:p>
        </w:tc>
        <w:tc>
          <w:tcPr>
            <w:tcW w:w="1290" w:type="dxa"/>
            <w:tcBorders>
              <w:top w:val="nil"/>
              <w:left w:val="nil"/>
              <w:bottom w:val="single" w:sz="4" w:space="0" w:color="auto"/>
              <w:right w:val="nil"/>
            </w:tcBorders>
            <w:shd w:val="clear" w:color="auto" w:fill="D9D9D9"/>
            <w:noWrap/>
            <w:vAlign w:val="center"/>
            <w:hideMark/>
          </w:tcPr>
          <w:p w:rsidR="009D6968" w:rsidRPr="003D2E1C" w:rsidRDefault="009D6968" w:rsidP="00DC6658">
            <w:pPr>
              <w:widowControl/>
              <w:overflowPunct/>
              <w:autoSpaceDE/>
              <w:autoSpaceDN/>
              <w:adjustRightInd/>
              <w:spacing w:before="40" w:after="20"/>
              <w:jc w:val="right"/>
              <w:rPr>
                <w:rFonts w:ascii="Arial Narrow" w:hAnsi="Arial Narrow"/>
                <w:b/>
                <w:bCs/>
                <w:color w:val="000000"/>
                <w:kern w:val="0"/>
                <w:sz w:val="18"/>
                <w:szCs w:val="18"/>
                <w:lang w:eastAsia="en-GB"/>
              </w:rPr>
            </w:pPr>
            <w:r w:rsidRPr="003D2E1C">
              <w:rPr>
                <w:rFonts w:ascii="Arial Narrow" w:hAnsi="Arial Narrow"/>
                <w:b/>
                <w:bCs/>
                <w:color w:val="000000"/>
                <w:kern w:val="0"/>
                <w:sz w:val="18"/>
                <w:szCs w:val="18"/>
                <w:lang w:eastAsia="en-GB"/>
              </w:rPr>
              <w:t>variazioni congiunturali</w:t>
            </w:r>
          </w:p>
        </w:tc>
        <w:tc>
          <w:tcPr>
            <w:tcW w:w="1119" w:type="dxa"/>
            <w:tcBorders>
              <w:top w:val="nil"/>
              <w:left w:val="nil"/>
              <w:bottom w:val="single" w:sz="4" w:space="0" w:color="auto"/>
              <w:right w:val="nil"/>
            </w:tcBorders>
            <w:shd w:val="clear" w:color="auto" w:fill="FFFFFF"/>
            <w:vAlign w:val="center"/>
          </w:tcPr>
          <w:p w:rsidR="009D6968" w:rsidRPr="003D2E1C" w:rsidRDefault="009D6968" w:rsidP="00DC6658">
            <w:pPr>
              <w:widowControl/>
              <w:overflowPunct/>
              <w:autoSpaceDE/>
              <w:autoSpaceDN/>
              <w:adjustRightInd/>
              <w:spacing w:before="40" w:after="20"/>
              <w:jc w:val="right"/>
              <w:rPr>
                <w:rFonts w:ascii="Arial Narrow" w:hAnsi="Arial Narrow"/>
                <w:b/>
                <w:bCs/>
                <w:color w:val="000000"/>
                <w:kern w:val="0"/>
                <w:sz w:val="18"/>
                <w:szCs w:val="18"/>
                <w:lang w:eastAsia="en-GB"/>
              </w:rPr>
            </w:pPr>
            <w:r w:rsidRPr="003D2E1C">
              <w:rPr>
                <w:rFonts w:ascii="Arial Narrow" w:hAnsi="Arial Narrow"/>
                <w:b/>
                <w:bCs/>
                <w:color w:val="000000"/>
                <w:kern w:val="0"/>
                <w:sz w:val="18"/>
                <w:szCs w:val="18"/>
                <w:lang w:eastAsia="en-GB"/>
              </w:rPr>
              <w:t>variazioni tendenziali</w:t>
            </w:r>
          </w:p>
        </w:tc>
      </w:tr>
      <w:tr w:rsidR="009D6968" w:rsidRPr="003D2E1C" w:rsidTr="00DC6658">
        <w:trPr>
          <w:trHeight w:val="510"/>
        </w:trPr>
        <w:tc>
          <w:tcPr>
            <w:tcW w:w="3100" w:type="dxa"/>
            <w:vMerge/>
            <w:tcBorders>
              <w:left w:val="nil"/>
              <w:bottom w:val="single" w:sz="4" w:space="0" w:color="auto"/>
              <w:right w:val="nil"/>
            </w:tcBorders>
            <w:shd w:val="clear" w:color="000000" w:fill="FFFFFF"/>
            <w:vAlign w:val="center"/>
            <w:hideMark/>
          </w:tcPr>
          <w:p w:rsidR="009D6968" w:rsidRPr="003D2E1C" w:rsidRDefault="009D6968" w:rsidP="00DC6658">
            <w:pPr>
              <w:spacing w:before="40" w:after="20"/>
              <w:rPr>
                <w:color w:val="000000"/>
                <w:kern w:val="0"/>
                <w:sz w:val="18"/>
                <w:szCs w:val="18"/>
                <w:lang w:eastAsia="en-GB"/>
              </w:rPr>
            </w:pPr>
          </w:p>
        </w:tc>
        <w:tc>
          <w:tcPr>
            <w:tcW w:w="1134" w:type="dxa"/>
            <w:tcBorders>
              <w:top w:val="nil"/>
              <w:left w:val="nil"/>
              <w:bottom w:val="single" w:sz="4" w:space="0" w:color="auto"/>
              <w:right w:val="nil"/>
            </w:tcBorders>
            <w:shd w:val="clear" w:color="auto" w:fill="auto"/>
            <w:vAlign w:val="center"/>
            <w:hideMark/>
          </w:tcPr>
          <w:p w:rsidR="009D6968" w:rsidRPr="003D2E1C" w:rsidRDefault="009D6968" w:rsidP="00DC6658">
            <w:pPr>
              <w:tabs>
                <w:tab w:val="left" w:pos="5093"/>
              </w:tabs>
              <w:spacing w:before="40" w:after="20"/>
              <w:jc w:val="right"/>
              <w:rPr>
                <w:rFonts w:ascii="Arial Narrow" w:hAnsi="Arial Narrow" w:cs="Arial"/>
                <w:bCs/>
                <w:sz w:val="18"/>
                <w:szCs w:val="18"/>
              </w:rPr>
            </w:pPr>
            <w:r w:rsidRPr="003D2E1C">
              <w:rPr>
                <w:rFonts w:ascii="Arial Narrow" w:hAnsi="Arial Narrow" w:cs="Arial"/>
                <w:bCs/>
                <w:sz w:val="18"/>
                <w:szCs w:val="18"/>
              </w:rPr>
              <w:t>Dicembre</w:t>
            </w:r>
          </w:p>
          <w:p w:rsidR="009D6968" w:rsidRPr="003D2E1C" w:rsidRDefault="009D6968" w:rsidP="00DC6658">
            <w:pPr>
              <w:tabs>
                <w:tab w:val="left" w:pos="5093"/>
              </w:tabs>
              <w:spacing w:before="40" w:after="20"/>
              <w:jc w:val="right"/>
              <w:rPr>
                <w:rFonts w:ascii="Arial Narrow" w:hAnsi="Arial Narrow" w:cs="Arial"/>
                <w:bCs/>
                <w:sz w:val="18"/>
                <w:szCs w:val="18"/>
              </w:rPr>
            </w:pPr>
            <w:r w:rsidRPr="003D2E1C">
              <w:rPr>
                <w:rFonts w:ascii="Arial Narrow" w:hAnsi="Arial Narrow" w:cs="Arial"/>
                <w:bCs/>
                <w:snapToGrid w:val="0"/>
                <w:sz w:val="18"/>
                <w:szCs w:val="18"/>
              </w:rPr>
              <w:t>202</w:t>
            </w:r>
            <w:r w:rsidR="003D2E1C">
              <w:rPr>
                <w:rFonts w:ascii="Arial Narrow" w:hAnsi="Arial Narrow" w:cs="Arial"/>
                <w:bCs/>
                <w:snapToGrid w:val="0"/>
                <w:sz w:val="18"/>
                <w:szCs w:val="18"/>
              </w:rPr>
              <w:t>3</w:t>
            </w:r>
          </w:p>
        </w:tc>
        <w:tc>
          <w:tcPr>
            <w:tcW w:w="1134" w:type="dxa"/>
            <w:tcBorders>
              <w:top w:val="nil"/>
              <w:left w:val="nil"/>
              <w:bottom w:val="single" w:sz="4" w:space="0" w:color="auto"/>
              <w:right w:val="nil"/>
            </w:tcBorders>
            <w:shd w:val="clear" w:color="auto" w:fill="auto"/>
            <w:vAlign w:val="center"/>
            <w:hideMark/>
          </w:tcPr>
          <w:p w:rsidR="009D6968" w:rsidRPr="003D2E1C" w:rsidRDefault="009D6968" w:rsidP="00DC6658">
            <w:pPr>
              <w:widowControl/>
              <w:overflowPunct/>
              <w:autoSpaceDE/>
              <w:autoSpaceDN/>
              <w:adjustRightInd/>
              <w:spacing w:before="40" w:after="0"/>
              <w:jc w:val="right"/>
              <w:rPr>
                <w:rFonts w:ascii="Arial Narrow" w:hAnsi="Arial Narrow" w:cs="Arial"/>
                <w:kern w:val="0"/>
                <w:sz w:val="18"/>
                <w:szCs w:val="18"/>
                <w:u w:val="single"/>
              </w:rPr>
            </w:pPr>
            <w:r w:rsidRPr="003D2E1C">
              <w:rPr>
                <w:rFonts w:ascii="Arial Narrow" w:hAnsi="Arial Narrow" w:cs="Arial"/>
                <w:kern w:val="0"/>
                <w:sz w:val="18"/>
                <w:szCs w:val="18"/>
                <w:u w:val="single"/>
              </w:rPr>
              <w:t>dic-2</w:t>
            </w:r>
            <w:r w:rsidR="003D2E1C">
              <w:rPr>
                <w:rFonts w:ascii="Arial Narrow" w:hAnsi="Arial Narrow" w:cs="Arial"/>
                <w:kern w:val="0"/>
                <w:sz w:val="18"/>
                <w:szCs w:val="18"/>
                <w:u w:val="single"/>
              </w:rPr>
              <w:t>3</w:t>
            </w:r>
          </w:p>
          <w:p w:rsidR="009D6968" w:rsidRPr="003D2E1C" w:rsidRDefault="009D6968" w:rsidP="003D2E1C">
            <w:pPr>
              <w:tabs>
                <w:tab w:val="left" w:pos="5093"/>
              </w:tabs>
              <w:spacing w:before="40" w:after="20"/>
              <w:jc w:val="right"/>
              <w:rPr>
                <w:rFonts w:ascii="Arial Narrow" w:hAnsi="Arial Narrow" w:cs="Arial"/>
                <w:bCs/>
                <w:sz w:val="18"/>
                <w:szCs w:val="18"/>
              </w:rPr>
            </w:pPr>
            <w:r w:rsidRPr="003D2E1C">
              <w:rPr>
                <w:rFonts w:ascii="Arial Narrow" w:hAnsi="Arial Narrow" w:cs="Arial"/>
                <w:kern w:val="0"/>
                <w:sz w:val="18"/>
                <w:szCs w:val="18"/>
              </w:rPr>
              <w:t>nov-2</w:t>
            </w:r>
            <w:r w:rsidR="003D2E1C">
              <w:rPr>
                <w:rFonts w:ascii="Arial Narrow" w:hAnsi="Arial Narrow" w:cs="Arial"/>
                <w:kern w:val="0"/>
                <w:sz w:val="18"/>
                <w:szCs w:val="18"/>
              </w:rPr>
              <w:t>3</w:t>
            </w:r>
          </w:p>
        </w:tc>
        <w:tc>
          <w:tcPr>
            <w:tcW w:w="1276" w:type="dxa"/>
            <w:gridSpan w:val="2"/>
            <w:tcBorders>
              <w:top w:val="nil"/>
              <w:left w:val="nil"/>
              <w:bottom w:val="single" w:sz="4" w:space="0" w:color="auto"/>
              <w:right w:val="nil"/>
            </w:tcBorders>
            <w:shd w:val="clear" w:color="auto" w:fill="auto"/>
            <w:vAlign w:val="center"/>
            <w:hideMark/>
          </w:tcPr>
          <w:p w:rsidR="009D6968" w:rsidRPr="003D2E1C" w:rsidRDefault="009D6968" w:rsidP="00DC6658">
            <w:pPr>
              <w:widowControl/>
              <w:overflowPunct/>
              <w:autoSpaceDE/>
              <w:autoSpaceDN/>
              <w:adjustRightInd/>
              <w:spacing w:before="40" w:after="0"/>
              <w:jc w:val="right"/>
              <w:rPr>
                <w:rFonts w:ascii="Arial Narrow" w:hAnsi="Arial Narrow" w:cs="Arial"/>
                <w:kern w:val="0"/>
                <w:sz w:val="18"/>
                <w:szCs w:val="18"/>
                <w:u w:val="single"/>
              </w:rPr>
            </w:pPr>
            <w:r w:rsidRPr="003D2E1C">
              <w:rPr>
                <w:rFonts w:ascii="Arial Narrow" w:hAnsi="Arial Narrow" w:cs="Arial"/>
                <w:kern w:val="0"/>
                <w:sz w:val="18"/>
                <w:szCs w:val="18"/>
                <w:u w:val="single"/>
              </w:rPr>
              <w:t>dic-2</w:t>
            </w:r>
            <w:r w:rsidR="003D2E1C">
              <w:rPr>
                <w:rFonts w:ascii="Arial Narrow" w:hAnsi="Arial Narrow" w:cs="Arial"/>
                <w:kern w:val="0"/>
                <w:sz w:val="18"/>
                <w:szCs w:val="18"/>
                <w:u w:val="single"/>
              </w:rPr>
              <w:t>3</w:t>
            </w:r>
          </w:p>
          <w:p w:rsidR="009D6968" w:rsidRPr="003D2E1C" w:rsidRDefault="009D6968" w:rsidP="00DC6658">
            <w:pPr>
              <w:tabs>
                <w:tab w:val="left" w:pos="5093"/>
              </w:tabs>
              <w:spacing w:before="40" w:after="20"/>
              <w:jc w:val="right"/>
              <w:rPr>
                <w:rFonts w:ascii="Arial Narrow" w:hAnsi="Arial Narrow" w:cs="Arial"/>
                <w:bCs/>
                <w:sz w:val="18"/>
                <w:szCs w:val="18"/>
              </w:rPr>
            </w:pPr>
            <w:r w:rsidRPr="003D2E1C">
              <w:rPr>
                <w:rFonts w:ascii="Arial Narrow" w:hAnsi="Arial Narrow" w:cs="Arial"/>
                <w:kern w:val="0"/>
                <w:sz w:val="18"/>
                <w:szCs w:val="18"/>
              </w:rPr>
              <w:t>dic-2</w:t>
            </w:r>
            <w:r w:rsidR="003D2E1C">
              <w:rPr>
                <w:rFonts w:ascii="Arial Narrow" w:hAnsi="Arial Narrow" w:cs="Arial"/>
                <w:kern w:val="0"/>
                <w:sz w:val="18"/>
                <w:szCs w:val="18"/>
              </w:rPr>
              <w:t>2</w:t>
            </w:r>
          </w:p>
        </w:tc>
        <w:tc>
          <w:tcPr>
            <w:tcW w:w="1153" w:type="dxa"/>
            <w:tcBorders>
              <w:top w:val="nil"/>
              <w:left w:val="nil"/>
              <w:bottom w:val="single" w:sz="4" w:space="0" w:color="auto"/>
              <w:right w:val="nil"/>
            </w:tcBorders>
            <w:shd w:val="clear" w:color="auto" w:fill="auto"/>
            <w:noWrap/>
            <w:vAlign w:val="center"/>
            <w:hideMark/>
          </w:tcPr>
          <w:p w:rsidR="009D6968" w:rsidRPr="003D2E1C" w:rsidRDefault="009D6968" w:rsidP="00DC6658">
            <w:pPr>
              <w:tabs>
                <w:tab w:val="left" w:pos="5093"/>
              </w:tabs>
              <w:spacing w:before="40" w:after="20"/>
              <w:jc w:val="right"/>
              <w:rPr>
                <w:rFonts w:ascii="Arial Narrow" w:hAnsi="Arial Narrow" w:cs="Arial"/>
                <w:bCs/>
                <w:sz w:val="18"/>
                <w:szCs w:val="18"/>
              </w:rPr>
            </w:pPr>
            <w:r w:rsidRPr="003D2E1C">
              <w:rPr>
                <w:rFonts w:ascii="Arial Narrow" w:hAnsi="Arial Narrow" w:cs="Arial"/>
                <w:bCs/>
                <w:sz w:val="18"/>
                <w:szCs w:val="18"/>
              </w:rPr>
              <w:t>Dicembre</w:t>
            </w:r>
          </w:p>
          <w:p w:rsidR="009D6968" w:rsidRPr="003D2E1C" w:rsidRDefault="009D6968" w:rsidP="00DC6658">
            <w:pPr>
              <w:tabs>
                <w:tab w:val="left" w:pos="5093"/>
              </w:tabs>
              <w:spacing w:before="40" w:after="20"/>
              <w:jc w:val="right"/>
              <w:rPr>
                <w:rFonts w:ascii="Arial Narrow" w:hAnsi="Arial Narrow" w:cs="Arial"/>
                <w:bCs/>
                <w:sz w:val="18"/>
                <w:szCs w:val="18"/>
              </w:rPr>
            </w:pPr>
            <w:r w:rsidRPr="003D2E1C">
              <w:rPr>
                <w:rFonts w:ascii="Arial Narrow" w:hAnsi="Arial Narrow" w:cs="Arial"/>
                <w:bCs/>
                <w:snapToGrid w:val="0"/>
                <w:sz w:val="18"/>
                <w:szCs w:val="18"/>
              </w:rPr>
              <w:t>202</w:t>
            </w:r>
            <w:r w:rsidR="003D2E1C">
              <w:rPr>
                <w:rFonts w:ascii="Arial Narrow" w:hAnsi="Arial Narrow" w:cs="Arial"/>
                <w:bCs/>
                <w:snapToGrid w:val="0"/>
                <w:sz w:val="18"/>
                <w:szCs w:val="18"/>
              </w:rPr>
              <w:t>3</w:t>
            </w:r>
          </w:p>
        </w:tc>
        <w:tc>
          <w:tcPr>
            <w:tcW w:w="1290" w:type="dxa"/>
            <w:tcBorders>
              <w:top w:val="nil"/>
              <w:left w:val="nil"/>
              <w:bottom w:val="single" w:sz="4" w:space="0" w:color="auto"/>
              <w:right w:val="nil"/>
            </w:tcBorders>
            <w:shd w:val="clear" w:color="auto" w:fill="auto"/>
            <w:noWrap/>
            <w:vAlign w:val="center"/>
            <w:hideMark/>
          </w:tcPr>
          <w:p w:rsidR="009D6968" w:rsidRPr="003D2E1C" w:rsidRDefault="003D2E1C" w:rsidP="00DC6658">
            <w:pPr>
              <w:widowControl/>
              <w:overflowPunct/>
              <w:autoSpaceDE/>
              <w:autoSpaceDN/>
              <w:adjustRightInd/>
              <w:spacing w:before="40" w:after="0"/>
              <w:jc w:val="right"/>
              <w:rPr>
                <w:rFonts w:ascii="Arial Narrow" w:hAnsi="Arial Narrow" w:cs="Arial"/>
                <w:kern w:val="0"/>
                <w:sz w:val="18"/>
                <w:szCs w:val="18"/>
                <w:u w:val="single"/>
              </w:rPr>
            </w:pPr>
            <w:r>
              <w:rPr>
                <w:rFonts w:ascii="Arial Narrow" w:hAnsi="Arial Narrow" w:cs="Arial"/>
                <w:kern w:val="0"/>
                <w:sz w:val="18"/>
                <w:szCs w:val="18"/>
                <w:u w:val="single"/>
              </w:rPr>
              <w:t>dic-23</w:t>
            </w:r>
          </w:p>
          <w:p w:rsidR="009D6968" w:rsidRPr="003D2E1C" w:rsidRDefault="009D6968" w:rsidP="00DC6658">
            <w:pPr>
              <w:tabs>
                <w:tab w:val="left" w:pos="5093"/>
              </w:tabs>
              <w:spacing w:before="40" w:after="20"/>
              <w:jc w:val="right"/>
              <w:rPr>
                <w:rFonts w:ascii="Arial Narrow" w:hAnsi="Arial Narrow" w:cs="Arial"/>
                <w:bCs/>
                <w:sz w:val="18"/>
                <w:szCs w:val="18"/>
              </w:rPr>
            </w:pPr>
            <w:r w:rsidRPr="003D2E1C">
              <w:rPr>
                <w:rFonts w:ascii="Arial Narrow" w:hAnsi="Arial Narrow" w:cs="Arial"/>
                <w:kern w:val="0"/>
                <w:sz w:val="18"/>
                <w:szCs w:val="18"/>
              </w:rPr>
              <w:t>nov-2</w:t>
            </w:r>
            <w:r w:rsidR="003D2E1C">
              <w:rPr>
                <w:rFonts w:ascii="Arial Narrow" w:hAnsi="Arial Narrow" w:cs="Arial"/>
                <w:kern w:val="0"/>
                <w:sz w:val="18"/>
                <w:szCs w:val="18"/>
              </w:rPr>
              <w:t>3</w:t>
            </w:r>
          </w:p>
        </w:tc>
        <w:tc>
          <w:tcPr>
            <w:tcW w:w="1119" w:type="dxa"/>
            <w:tcBorders>
              <w:top w:val="nil"/>
              <w:left w:val="nil"/>
              <w:bottom w:val="single" w:sz="4" w:space="0" w:color="auto"/>
              <w:right w:val="nil"/>
            </w:tcBorders>
            <w:shd w:val="clear" w:color="auto" w:fill="auto"/>
            <w:noWrap/>
            <w:vAlign w:val="center"/>
            <w:hideMark/>
          </w:tcPr>
          <w:p w:rsidR="009D6968" w:rsidRPr="003D2E1C" w:rsidRDefault="009D6968" w:rsidP="00DC6658">
            <w:pPr>
              <w:widowControl/>
              <w:overflowPunct/>
              <w:autoSpaceDE/>
              <w:autoSpaceDN/>
              <w:adjustRightInd/>
              <w:spacing w:before="40" w:after="0"/>
              <w:jc w:val="right"/>
              <w:rPr>
                <w:rFonts w:ascii="Arial Narrow" w:hAnsi="Arial Narrow" w:cs="Arial"/>
                <w:kern w:val="0"/>
                <w:sz w:val="18"/>
                <w:szCs w:val="18"/>
                <w:u w:val="single"/>
              </w:rPr>
            </w:pPr>
            <w:r w:rsidRPr="003D2E1C">
              <w:rPr>
                <w:rFonts w:ascii="Arial Narrow" w:hAnsi="Arial Narrow" w:cs="Arial"/>
                <w:kern w:val="0"/>
                <w:sz w:val="18"/>
                <w:szCs w:val="18"/>
                <w:u w:val="single"/>
              </w:rPr>
              <w:t>dic-2</w:t>
            </w:r>
            <w:r w:rsidR="003D2E1C">
              <w:rPr>
                <w:rFonts w:ascii="Arial Narrow" w:hAnsi="Arial Narrow" w:cs="Arial"/>
                <w:kern w:val="0"/>
                <w:sz w:val="18"/>
                <w:szCs w:val="18"/>
                <w:u w:val="single"/>
              </w:rPr>
              <w:t>3</w:t>
            </w:r>
          </w:p>
          <w:p w:rsidR="009D6968" w:rsidRPr="003D2E1C" w:rsidRDefault="009D6968" w:rsidP="003D2E1C">
            <w:pPr>
              <w:tabs>
                <w:tab w:val="left" w:pos="5093"/>
              </w:tabs>
              <w:spacing w:before="40" w:after="20"/>
              <w:jc w:val="right"/>
              <w:rPr>
                <w:rFonts w:ascii="Arial Narrow" w:hAnsi="Arial Narrow" w:cs="Arial"/>
                <w:bCs/>
                <w:sz w:val="18"/>
                <w:szCs w:val="18"/>
              </w:rPr>
            </w:pPr>
            <w:r w:rsidRPr="003D2E1C">
              <w:rPr>
                <w:rFonts w:ascii="Arial Narrow" w:hAnsi="Arial Narrow" w:cs="Arial"/>
                <w:kern w:val="0"/>
                <w:sz w:val="18"/>
                <w:szCs w:val="18"/>
              </w:rPr>
              <w:t>dic-2</w:t>
            </w:r>
            <w:r w:rsidR="003D2E1C">
              <w:rPr>
                <w:rFonts w:ascii="Arial Narrow" w:hAnsi="Arial Narrow" w:cs="Arial"/>
                <w:kern w:val="0"/>
                <w:sz w:val="18"/>
                <w:szCs w:val="18"/>
              </w:rPr>
              <w:t>2</w:t>
            </w:r>
          </w:p>
        </w:tc>
      </w:tr>
      <w:tr w:rsidR="003D2E1C" w:rsidRPr="003D2E1C" w:rsidTr="00DC6658">
        <w:trPr>
          <w:trHeight w:val="255"/>
        </w:trPr>
        <w:tc>
          <w:tcPr>
            <w:tcW w:w="3100" w:type="dxa"/>
            <w:tcBorders>
              <w:top w:val="single" w:sz="4" w:space="0" w:color="auto"/>
              <w:left w:val="nil"/>
              <w:bottom w:val="single" w:sz="4" w:space="0" w:color="auto"/>
              <w:right w:val="nil"/>
            </w:tcBorders>
            <w:shd w:val="clear" w:color="auto" w:fill="auto"/>
            <w:vAlign w:val="center"/>
            <w:hideMark/>
          </w:tcPr>
          <w:p w:rsidR="003D2E1C" w:rsidRPr="003D2E1C" w:rsidRDefault="003D2E1C" w:rsidP="003D2E1C">
            <w:pPr>
              <w:widowControl/>
              <w:overflowPunct/>
              <w:autoSpaceDE/>
              <w:autoSpaceDN/>
              <w:adjustRightInd/>
              <w:spacing w:before="40" w:after="20"/>
              <w:rPr>
                <w:rFonts w:ascii="Arial Narrow" w:hAnsi="Arial Narrow"/>
                <w:color w:val="000000"/>
                <w:kern w:val="0"/>
                <w:sz w:val="18"/>
                <w:szCs w:val="18"/>
                <w:lang w:eastAsia="en-GB"/>
              </w:rPr>
            </w:pPr>
            <w:r w:rsidRPr="003D2E1C">
              <w:rPr>
                <w:rFonts w:ascii="Arial Narrow" w:hAnsi="Arial Narrow"/>
                <w:color w:val="000000"/>
                <w:kern w:val="0"/>
                <w:sz w:val="18"/>
                <w:szCs w:val="18"/>
                <w:lang w:eastAsia="en-GB"/>
              </w:rPr>
              <w:t xml:space="preserve">Indice nazionale per l’intera collettività NIC </w:t>
            </w:r>
          </w:p>
        </w:tc>
        <w:tc>
          <w:tcPr>
            <w:tcW w:w="1134" w:type="dxa"/>
            <w:tcBorders>
              <w:top w:val="single" w:sz="4" w:space="0" w:color="auto"/>
              <w:left w:val="nil"/>
              <w:bottom w:val="single" w:sz="4" w:space="0" w:color="auto"/>
              <w:right w:val="nil"/>
            </w:tcBorders>
            <w:shd w:val="clear" w:color="000000" w:fill="D9D9D9"/>
            <w:noWrap/>
            <w:vAlign w:val="bottom"/>
          </w:tcPr>
          <w:p w:rsidR="003D2E1C" w:rsidRPr="003D2E1C" w:rsidRDefault="003D2E1C" w:rsidP="003D2E1C">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119,7</w:t>
            </w:r>
          </w:p>
        </w:tc>
        <w:tc>
          <w:tcPr>
            <w:tcW w:w="1134" w:type="dxa"/>
            <w:tcBorders>
              <w:top w:val="single" w:sz="4" w:space="0" w:color="auto"/>
              <w:left w:val="nil"/>
              <w:bottom w:val="single" w:sz="4" w:space="0" w:color="auto"/>
              <w:right w:val="nil"/>
            </w:tcBorders>
            <w:shd w:val="clear" w:color="000000" w:fill="FFFFFF"/>
            <w:noWrap/>
            <w:vAlign w:val="center"/>
          </w:tcPr>
          <w:p w:rsidR="003D2E1C" w:rsidRPr="003D2E1C" w:rsidRDefault="003D2E1C" w:rsidP="003D2E1C">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+0,2</w:t>
            </w:r>
          </w:p>
        </w:tc>
        <w:tc>
          <w:tcPr>
            <w:tcW w:w="1276" w:type="dxa"/>
            <w:gridSpan w:val="2"/>
            <w:tcBorders>
              <w:top w:val="single" w:sz="4" w:space="0" w:color="auto"/>
              <w:left w:val="nil"/>
              <w:bottom w:val="single" w:sz="4" w:space="0" w:color="auto"/>
              <w:right w:val="nil"/>
            </w:tcBorders>
            <w:shd w:val="clear" w:color="auto" w:fill="D9D9D9"/>
            <w:noWrap/>
            <w:vAlign w:val="center"/>
          </w:tcPr>
          <w:p w:rsidR="003D2E1C" w:rsidRPr="003D2E1C" w:rsidRDefault="003D2E1C" w:rsidP="003D2E1C">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+0,6</w:t>
            </w:r>
          </w:p>
        </w:tc>
        <w:tc>
          <w:tcPr>
            <w:tcW w:w="1153" w:type="dxa"/>
            <w:tcBorders>
              <w:top w:val="single" w:sz="4" w:space="0" w:color="auto"/>
              <w:left w:val="nil"/>
              <w:bottom w:val="single" w:sz="4" w:space="0" w:color="auto"/>
              <w:right w:val="nil"/>
            </w:tcBorders>
            <w:shd w:val="clear" w:color="auto" w:fill="FFFFFF"/>
            <w:noWrap/>
            <w:vAlign w:val="bottom"/>
          </w:tcPr>
          <w:p w:rsidR="003D2E1C" w:rsidRPr="003D2E1C" w:rsidRDefault="003D2E1C" w:rsidP="003D2E1C">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119,7</w:t>
            </w:r>
          </w:p>
        </w:tc>
        <w:tc>
          <w:tcPr>
            <w:tcW w:w="1290" w:type="dxa"/>
            <w:tcBorders>
              <w:top w:val="single" w:sz="4" w:space="0" w:color="auto"/>
              <w:left w:val="nil"/>
              <w:bottom w:val="single" w:sz="4" w:space="0" w:color="auto"/>
              <w:right w:val="nil"/>
            </w:tcBorders>
            <w:shd w:val="clear" w:color="auto" w:fill="D9D9D9"/>
            <w:noWrap/>
            <w:vAlign w:val="center"/>
          </w:tcPr>
          <w:p w:rsidR="003D2E1C" w:rsidRPr="003D2E1C" w:rsidRDefault="003D2E1C" w:rsidP="003D2E1C">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+0,2</w:t>
            </w:r>
          </w:p>
        </w:tc>
        <w:tc>
          <w:tcPr>
            <w:tcW w:w="1119" w:type="dxa"/>
            <w:tcBorders>
              <w:top w:val="single" w:sz="4" w:space="0" w:color="auto"/>
              <w:left w:val="nil"/>
              <w:bottom w:val="single" w:sz="4" w:space="0" w:color="auto"/>
              <w:right w:val="nil"/>
            </w:tcBorders>
            <w:shd w:val="clear" w:color="000000" w:fill="FFFFFF"/>
            <w:noWrap/>
            <w:vAlign w:val="center"/>
          </w:tcPr>
          <w:p w:rsidR="003D2E1C" w:rsidRPr="003D2E1C" w:rsidRDefault="003D2E1C" w:rsidP="003D2E1C">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+0,6</w:t>
            </w:r>
          </w:p>
        </w:tc>
      </w:tr>
      <w:tr w:rsidR="003D2E1C" w:rsidRPr="00607564" w:rsidTr="00DC6658">
        <w:trPr>
          <w:trHeight w:val="255"/>
        </w:trPr>
        <w:tc>
          <w:tcPr>
            <w:tcW w:w="3100" w:type="dxa"/>
            <w:tcBorders>
              <w:top w:val="single" w:sz="4" w:space="0" w:color="auto"/>
              <w:left w:val="nil"/>
              <w:bottom w:val="single" w:sz="4" w:space="0" w:color="auto"/>
              <w:right w:val="nil"/>
            </w:tcBorders>
            <w:shd w:val="clear" w:color="000000" w:fill="FFFFFF"/>
            <w:vAlign w:val="center"/>
            <w:hideMark/>
          </w:tcPr>
          <w:p w:rsidR="003D2E1C" w:rsidRPr="003D2E1C" w:rsidRDefault="003D2E1C" w:rsidP="003D2E1C">
            <w:pPr>
              <w:widowControl/>
              <w:overflowPunct/>
              <w:autoSpaceDE/>
              <w:autoSpaceDN/>
              <w:adjustRightInd/>
              <w:spacing w:before="40" w:after="20"/>
              <w:rPr>
                <w:rFonts w:ascii="Arial Narrow" w:hAnsi="Arial Narrow"/>
                <w:color w:val="000000"/>
                <w:kern w:val="0"/>
                <w:sz w:val="18"/>
                <w:szCs w:val="18"/>
                <w:lang w:eastAsia="en-GB"/>
              </w:rPr>
            </w:pPr>
            <w:r w:rsidRPr="003D2E1C">
              <w:rPr>
                <w:rFonts w:ascii="Arial Narrow" w:hAnsi="Arial Narrow"/>
                <w:color w:val="000000"/>
                <w:kern w:val="0"/>
                <w:sz w:val="18"/>
                <w:szCs w:val="18"/>
                <w:lang w:eastAsia="en-GB"/>
              </w:rPr>
              <w:t xml:space="preserve">Indice armonizzato IPCA </w:t>
            </w:r>
          </w:p>
        </w:tc>
        <w:tc>
          <w:tcPr>
            <w:tcW w:w="1134" w:type="dxa"/>
            <w:tcBorders>
              <w:top w:val="single" w:sz="4" w:space="0" w:color="auto"/>
              <w:left w:val="nil"/>
              <w:bottom w:val="single" w:sz="4" w:space="0" w:color="auto"/>
              <w:right w:val="nil"/>
            </w:tcBorders>
            <w:shd w:val="clear" w:color="000000" w:fill="D9D9D9"/>
            <w:vAlign w:val="bottom"/>
          </w:tcPr>
          <w:p w:rsidR="003D2E1C" w:rsidRPr="003D2E1C" w:rsidRDefault="003D2E1C" w:rsidP="003D2E1C">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121,7</w:t>
            </w:r>
          </w:p>
        </w:tc>
        <w:tc>
          <w:tcPr>
            <w:tcW w:w="1134" w:type="dxa"/>
            <w:tcBorders>
              <w:top w:val="single" w:sz="4" w:space="0" w:color="auto"/>
              <w:left w:val="nil"/>
              <w:bottom w:val="single" w:sz="4" w:space="0" w:color="auto"/>
              <w:right w:val="nil"/>
            </w:tcBorders>
            <w:shd w:val="clear" w:color="000000" w:fill="FFFFFF"/>
            <w:vAlign w:val="center"/>
          </w:tcPr>
          <w:p w:rsidR="003D2E1C" w:rsidRPr="003D2E1C" w:rsidRDefault="003D2E1C" w:rsidP="003D2E1C">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+0,2</w:t>
            </w:r>
          </w:p>
        </w:tc>
        <w:tc>
          <w:tcPr>
            <w:tcW w:w="1276" w:type="dxa"/>
            <w:gridSpan w:val="2"/>
            <w:tcBorders>
              <w:top w:val="single" w:sz="4" w:space="0" w:color="auto"/>
              <w:left w:val="nil"/>
              <w:bottom w:val="single" w:sz="4" w:space="0" w:color="auto"/>
              <w:right w:val="nil"/>
            </w:tcBorders>
            <w:shd w:val="clear" w:color="auto" w:fill="D9D9D9"/>
            <w:vAlign w:val="center"/>
          </w:tcPr>
          <w:p w:rsidR="003D2E1C" w:rsidRPr="00376D17" w:rsidRDefault="003D2E1C" w:rsidP="003D2E1C">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+0,5</w:t>
            </w:r>
          </w:p>
        </w:tc>
        <w:tc>
          <w:tcPr>
            <w:tcW w:w="1153" w:type="dxa"/>
            <w:tcBorders>
              <w:top w:val="single" w:sz="4" w:space="0" w:color="auto"/>
              <w:left w:val="nil"/>
              <w:bottom w:val="single" w:sz="4" w:space="0" w:color="auto"/>
              <w:right w:val="nil"/>
            </w:tcBorders>
            <w:shd w:val="clear" w:color="auto" w:fill="FFFFFF"/>
            <w:noWrap/>
            <w:vAlign w:val="bottom"/>
          </w:tcPr>
          <w:p w:rsidR="003D2E1C" w:rsidRPr="003D2E1C" w:rsidRDefault="003D2E1C" w:rsidP="003D2E1C">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121,7</w:t>
            </w:r>
          </w:p>
        </w:tc>
        <w:tc>
          <w:tcPr>
            <w:tcW w:w="1290" w:type="dxa"/>
            <w:tcBorders>
              <w:top w:val="single" w:sz="4" w:space="0" w:color="auto"/>
              <w:left w:val="nil"/>
              <w:bottom w:val="single" w:sz="4" w:space="0" w:color="auto"/>
              <w:right w:val="nil"/>
            </w:tcBorders>
            <w:shd w:val="clear" w:color="auto" w:fill="D9D9D9"/>
            <w:noWrap/>
            <w:vAlign w:val="center"/>
          </w:tcPr>
          <w:p w:rsidR="003D2E1C" w:rsidRPr="003D2E1C" w:rsidRDefault="003D2E1C" w:rsidP="003D2E1C">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+0,2</w:t>
            </w:r>
          </w:p>
        </w:tc>
        <w:tc>
          <w:tcPr>
            <w:tcW w:w="1119" w:type="dxa"/>
            <w:tcBorders>
              <w:top w:val="single" w:sz="4" w:space="0" w:color="auto"/>
              <w:left w:val="nil"/>
              <w:bottom w:val="single" w:sz="4" w:space="0" w:color="auto"/>
              <w:right w:val="nil"/>
            </w:tcBorders>
            <w:shd w:val="clear" w:color="000000" w:fill="FFFFFF"/>
            <w:noWrap/>
            <w:vAlign w:val="center"/>
          </w:tcPr>
          <w:p w:rsidR="003D2E1C" w:rsidRPr="00376D17" w:rsidRDefault="003D2E1C" w:rsidP="003D2E1C">
            <w:pPr>
              <w:tabs>
                <w:tab w:val="left" w:pos="5093"/>
              </w:tabs>
              <w:spacing w:before="40" w:after="20"/>
              <w:ind w:left="-57"/>
              <w:jc w:val="right"/>
              <w:rPr>
                <w:rFonts w:ascii="Arial Narrow" w:hAnsi="Arial Narrow" w:cs="Arial"/>
                <w:bCs/>
                <w:snapToGrid w:val="0"/>
                <w:sz w:val="18"/>
                <w:szCs w:val="18"/>
              </w:rPr>
            </w:pPr>
            <w:r>
              <w:rPr>
                <w:rFonts w:ascii="Arial Narrow" w:hAnsi="Arial Narrow" w:cs="Arial"/>
                <w:bCs/>
                <w:snapToGrid w:val="0"/>
                <w:sz w:val="18"/>
                <w:szCs w:val="18"/>
              </w:rPr>
              <w:t>+0,5</w:t>
            </w:r>
          </w:p>
        </w:tc>
      </w:tr>
    </w:tbl>
    <w:p w:rsidR="009D6968" w:rsidRPr="00C8504B" w:rsidRDefault="009D6968" w:rsidP="009D6968">
      <w:pPr>
        <w:pStyle w:val="Corpodeltesto2"/>
        <w:tabs>
          <w:tab w:val="left" w:pos="0"/>
          <w:tab w:val="left" w:pos="6300"/>
        </w:tabs>
        <w:spacing w:line="240" w:lineRule="auto"/>
        <w:jc w:val="both"/>
        <w:rPr>
          <w:rFonts w:ascii="Arial" w:hAnsi="Arial" w:cs="Arial"/>
          <w:iCs/>
          <w:kern w:val="28"/>
          <w:sz w:val="21"/>
          <w:szCs w:val="21"/>
        </w:rPr>
      </w:pPr>
    </w:p>
    <w:p w:rsidR="009D6968" w:rsidRDefault="009D6968" w:rsidP="009D6968">
      <w:pPr>
        <w:pStyle w:val="Corpodeltesto2"/>
        <w:tabs>
          <w:tab w:val="left" w:pos="0"/>
          <w:tab w:val="left" w:pos="6300"/>
        </w:tabs>
        <w:spacing w:line="240" w:lineRule="auto"/>
        <w:jc w:val="both"/>
        <w:rPr>
          <w:rFonts w:ascii="Arial" w:hAnsi="Arial" w:cs="Arial"/>
          <w:iCs/>
          <w:kern w:val="28"/>
          <w:sz w:val="21"/>
          <w:szCs w:val="21"/>
        </w:rPr>
      </w:pPr>
    </w:p>
    <w:p w:rsidR="009D6968" w:rsidRDefault="009D6968" w:rsidP="009D6968">
      <w:pPr>
        <w:pStyle w:val="Corpodeltesto2"/>
        <w:tabs>
          <w:tab w:val="left" w:pos="0"/>
          <w:tab w:val="left" w:pos="6300"/>
        </w:tabs>
        <w:spacing w:line="240" w:lineRule="auto"/>
        <w:jc w:val="both"/>
        <w:rPr>
          <w:rFonts w:ascii="Arial" w:hAnsi="Arial" w:cs="Arial"/>
          <w:iCs/>
          <w:kern w:val="28"/>
          <w:sz w:val="21"/>
          <w:szCs w:val="21"/>
        </w:rPr>
      </w:pPr>
    </w:p>
    <w:p w:rsidR="009D6968" w:rsidRDefault="009D6968" w:rsidP="009D6968">
      <w:pPr>
        <w:pStyle w:val="Corpodeltesto2"/>
        <w:tabs>
          <w:tab w:val="left" w:pos="0"/>
          <w:tab w:val="left" w:pos="6300"/>
        </w:tabs>
        <w:spacing w:line="240" w:lineRule="auto"/>
        <w:jc w:val="both"/>
        <w:rPr>
          <w:rFonts w:ascii="Arial" w:hAnsi="Arial" w:cs="Arial"/>
          <w:iCs/>
          <w:kern w:val="28"/>
          <w:sz w:val="21"/>
          <w:szCs w:val="21"/>
        </w:rPr>
      </w:pPr>
    </w:p>
    <w:p w:rsidR="007C11B8" w:rsidRPr="00C8504B" w:rsidRDefault="007C11B8" w:rsidP="00D77C5C">
      <w:pPr>
        <w:pStyle w:val="Corpodeltesto2"/>
        <w:tabs>
          <w:tab w:val="left" w:pos="0"/>
          <w:tab w:val="left" w:pos="6300"/>
        </w:tabs>
        <w:spacing w:line="240" w:lineRule="auto"/>
        <w:jc w:val="both"/>
        <w:rPr>
          <w:rFonts w:ascii="Arial" w:hAnsi="Arial" w:cs="Arial"/>
          <w:iCs/>
          <w:kern w:val="28"/>
          <w:sz w:val="21"/>
          <w:szCs w:val="21"/>
        </w:rPr>
        <w:sectPr w:rsidR="007C11B8" w:rsidRPr="00C8504B" w:rsidSect="000161B7">
          <w:headerReference w:type="default" r:id="rId44"/>
          <w:pgSz w:w="11907" w:h="16840" w:code="9"/>
          <w:pgMar w:top="1537" w:right="851" w:bottom="680" w:left="851" w:header="567" w:footer="567" w:gutter="0"/>
          <w:cols w:space="720"/>
          <w:noEndnote/>
          <w:docGrid w:linePitch="272"/>
        </w:sectPr>
      </w:pPr>
    </w:p>
    <w:p w:rsidR="00B03E96" w:rsidRPr="00C8504B" w:rsidRDefault="00B03E96" w:rsidP="00B03E96">
      <w:pPr>
        <w:spacing w:before="0" w:after="120"/>
        <w:jc w:val="both"/>
        <w:rPr>
          <w:rFonts w:ascii="Arial" w:hAnsi="Arial" w:cs="Arial"/>
          <w:b/>
          <w:bCs/>
        </w:rPr>
      </w:pPr>
    </w:p>
    <w:p w:rsidR="00745827" w:rsidRPr="0052659F" w:rsidRDefault="00745827" w:rsidP="00745827">
      <w:pPr>
        <w:spacing w:before="0" w:after="120"/>
        <w:jc w:val="both"/>
        <w:rPr>
          <w:rFonts w:ascii="Arial" w:hAnsi="Arial" w:cs="Arial"/>
          <w:b/>
          <w:bCs/>
        </w:rPr>
      </w:pPr>
      <w:r w:rsidRPr="0052659F">
        <w:rPr>
          <w:rFonts w:ascii="Arial" w:hAnsi="Arial" w:cs="Arial"/>
          <w:b/>
          <w:bCs/>
        </w:rPr>
        <w:t>Altri beni</w:t>
      </w:r>
      <w:r w:rsidRPr="0052659F">
        <w:rPr>
          <w:rFonts w:ascii="Arial" w:hAnsi="Arial" w:cs="Arial"/>
          <w:bCs/>
        </w:rPr>
        <w:t>:</w:t>
      </w:r>
      <w:r w:rsidRPr="0052659F">
        <w:rPr>
          <w:rFonts w:ascii="Arial" w:hAnsi="Arial" w:cs="Arial"/>
          <w:b/>
          <w:bCs/>
        </w:rPr>
        <w:t xml:space="preserve"> </w:t>
      </w:r>
      <w:r w:rsidRPr="0052659F">
        <w:rPr>
          <w:rFonts w:ascii="Arial" w:hAnsi="Arial" w:cs="Arial"/>
          <w:bCs/>
        </w:rPr>
        <w:t>comprendono i beni di consumo ad esclusione dei beni alimentari, dei beni energetici e dei tabacchi.</w:t>
      </w:r>
    </w:p>
    <w:p w:rsidR="00745827" w:rsidRPr="0052659F" w:rsidRDefault="00745827" w:rsidP="00745827">
      <w:pPr>
        <w:spacing w:before="0" w:after="120"/>
        <w:jc w:val="both"/>
        <w:rPr>
          <w:rFonts w:ascii="Arial" w:hAnsi="Arial" w:cs="Arial"/>
          <w:bCs/>
        </w:rPr>
      </w:pPr>
      <w:r w:rsidRPr="0052659F">
        <w:rPr>
          <w:rFonts w:ascii="Arial" w:hAnsi="Arial" w:cs="Arial"/>
          <w:b/>
          <w:bCs/>
        </w:rPr>
        <w:t>Altri beni regolamentati</w:t>
      </w:r>
      <w:r w:rsidRPr="0052659F">
        <w:rPr>
          <w:rFonts w:ascii="Arial" w:hAnsi="Arial" w:cs="Arial"/>
          <w:bCs/>
        </w:rPr>
        <w:t>: comprendono l’acqua potabile e i medicinali.</w:t>
      </w:r>
    </w:p>
    <w:p w:rsidR="00745827" w:rsidRPr="000F531B" w:rsidRDefault="00745827" w:rsidP="00745827">
      <w:pPr>
        <w:spacing w:before="0" w:after="120"/>
        <w:jc w:val="both"/>
        <w:rPr>
          <w:rFonts w:ascii="Arial" w:hAnsi="Arial" w:cs="Arial"/>
          <w:bCs/>
        </w:rPr>
      </w:pPr>
      <w:r w:rsidRPr="0052659F">
        <w:rPr>
          <w:rFonts w:ascii="Arial" w:hAnsi="Arial" w:cs="Arial"/>
          <w:b/>
          <w:bCs/>
        </w:rPr>
        <w:t>Beni alimentari</w:t>
      </w:r>
      <w:r w:rsidRPr="0052659F">
        <w:rPr>
          <w:rFonts w:ascii="Arial" w:hAnsi="Arial" w:cs="Arial"/>
          <w:bCs/>
        </w:rPr>
        <w:t>: comprendono oltre ai generi alimentari (come, ad esempio, il pane, la carne, i formaggi), le bevande</w:t>
      </w:r>
      <w:r w:rsidRPr="000F531B">
        <w:rPr>
          <w:rFonts w:ascii="Arial" w:hAnsi="Arial" w:cs="Arial"/>
          <w:bCs/>
        </w:rPr>
        <w:t xml:space="preserve"> analcoliche e quelle alcoliche.</w:t>
      </w:r>
      <w:r>
        <w:rPr>
          <w:rFonts w:ascii="Arial" w:hAnsi="Arial" w:cs="Arial"/>
          <w:bCs/>
        </w:rPr>
        <w:t xml:space="preserve"> </w:t>
      </w:r>
      <w:r w:rsidRPr="000F531B">
        <w:rPr>
          <w:rFonts w:ascii="Arial" w:hAnsi="Arial" w:cs="Arial"/>
          <w:bCs/>
        </w:rPr>
        <w:t xml:space="preserve">Si definiscono </w:t>
      </w:r>
      <w:r w:rsidRPr="000F531B">
        <w:rPr>
          <w:rFonts w:ascii="Arial" w:hAnsi="Arial" w:cs="Arial"/>
          <w:bCs/>
          <w:i/>
        </w:rPr>
        <w:t>lavorati</w:t>
      </w:r>
      <w:r w:rsidRPr="000F531B">
        <w:rPr>
          <w:rFonts w:ascii="Arial" w:hAnsi="Arial" w:cs="Arial"/>
          <w:bCs/>
        </w:rPr>
        <w:t xml:space="preserve"> i beni alimentari destinati al consumo finale che sono il risultato di un processo di trasformazione industriale (come</w:t>
      </w:r>
      <w:r>
        <w:rPr>
          <w:rFonts w:ascii="Arial" w:hAnsi="Arial" w:cs="Arial"/>
          <w:bCs/>
        </w:rPr>
        <w:t>,</w:t>
      </w:r>
      <w:r w:rsidRPr="000F531B">
        <w:rPr>
          <w:rFonts w:ascii="Arial" w:hAnsi="Arial" w:cs="Arial"/>
          <w:bCs/>
        </w:rPr>
        <w:t xml:space="preserve"> ad esempio</w:t>
      </w:r>
      <w:r>
        <w:rPr>
          <w:rFonts w:ascii="Arial" w:hAnsi="Arial" w:cs="Arial"/>
          <w:bCs/>
        </w:rPr>
        <w:t>,</w:t>
      </w:r>
      <w:r w:rsidRPr="000F531B">
        <w:rPr>
          <w:rFonts w:ascii="Arial" w:hAnsi="Arial" w:cs="Arial"/>
          <w:bCs/>
        </w:rPr>
        <w:t xml:space="preserve"> i succhi di frutta, gli insaccati, i prodotti surgelati). Si dicono </w:t>
      </w:r>
      <w:r w:rsidRPr="000F531B">
        <w:rPr>
          <w:rFonts w:ascii="Arial" w:hAnsi="Arial" w:cs="Arial"/>
          <w:bCs/>
          <w:i/>
        </w:rPr>
        <w:t>non lavorati</w:t>
      </w:r>
      <w:r w:rsidRPr="000F531B">
        <w:rPr>
          <w:rFonts w:ascii="Arial" w:hAnsi="Arial" w:cs="Arial"/>
          <w:bCs/>
        </w:rPr>
        <w:t xml:space="preserve"> i beni alimentari non trasformati (come la carne fresca, il pesce fresco, la frutta e la verdura fresca).</w:t>
      </w:r>
    </w:p>
    <w:p w:rsidR="00745827" w:rsidRPr="000F531B" w:rsidRDefault="00745827" w:rsidP="00745827">
      <w:pPr>
        <w:spacing w:before="0" w:after="120"/>
        <w:jc w:val="both"/>
        <w:rPr>
          <w:rFonts w:ascii="Arial" w:hAnsi="Arial" w:cs="Arial"/>
          <w:bCs/>
        </w:rPr>
      </w:pPr>
      <w:r w:rsidRPr="000F531B">
        <w:rPr>
          <w:rFonts w:ascii="Arial" w:hAnsi="Arial" w:cs="Arial"/>
          <w:b/>
          <w:bCs/>
        </w:rPr>
        <w:t>Beni alimentari, per la cura della casa e della persona</w:t>
      </w:r>
      <w:r>
        <w:rPr>
          <w:rFonts w:ascii="Arial" w:hAnsi="Arial" w:cs="Arial"/>
          <w:b/>
          <w:bCs/>
        </w:rPr>
        <w:t xml:space="preserve"> (</w:t>
      </w:r>
      <w:r w:rsidRPr="00FC185A">
        <w:rPr>
          <w:rFonts w:ascii="Arial" w:hAnsi="Arial" w:cs="Arial"/>
          <w:b/>
          <w:bCs/>
        </w:rPr>
        <w:t>cos</w:t>
      </w:r>
      <w:r>
        <w:rPr>
          <w:rFonts w:ascii="Arial" w:hAnsi="Arial" w:cs="Arial"/>
          <w:b/>
          <w:bCs/>
        </w:rPr>
        <w:t>i</w:t>
      </w:r>
      <w:r w:rsidRPr="00FC185A">
        <w:rPr>
          <w:rFonts w:ascii="Arial" w:hAnsi="Arial" w:cs="Arial"/>
          <w:b/>
          <w:bCs/>
        </w:rPr>
        <w:t>ddetto "carrello della spesa"</w:t>
      </w:r>
      <w:r>
        <w:rPr>
          <w:rFonts w:ascii="Arial" w:hAnsi="Arial" w:cs="Arial"/>
          <w:b/>
          <w:bCs/>
        </w:rPr>
        <w:t>)</w:t>
      </w:r>
      <w:r w:rsidRPr="000F531B">
        <w:rPr>
          <w:rFonts w:ascii="Arial" w:hAnsi="Arial" w:cs="Arial"/>
          <w:bCs/>
        </w:rPr>
        <w:t>: includono, oltre ai beni alimentari, i beni per la pulizia e la manutenzione ordinaria della casa e i beni per l’igiene personale e pr</w:t>
      </w:r>
      <w:r>
        <w:rPr>
          <w:rFonts w:ascii="Arial" w:hAnsi="Arial" w:cs="Arial"/>
          <w:bCs/>
        </w:rPr>
        <w:t>odotti di bellezza.</w:t>
      </w:r>
    </w:p>
    <w:p w:rsidR="00745827" w:rsidRPr="000F531B" w:rsidRDefault="00745827" w:rsidP="00745827">
      <w:pPr>
        <w:spacing w:before="0" w:after="120"/>
        <w:jc w:val="both"/>
        <w:rPr>
          <w:rFonts w:ascii="Arial" w:hAnsi="Arial" w:cs="Arial"/>
          <w:b/>
          <w:bCs/>
        </w:rPr>
      </w:pPr>
      <w:r w:rsidRPr="000F531B">
        <w:rPr>
          <w:rFonts w:ascii="Arial" w:hAnsi="Arial" w:cs="Arial"/>
          <w:b/>
          <w:bCs/>
        </w:rPr>
        <w:t>Beni durevoli</w:t>
      </w:r>
      <w:r w:rsidRPr="000F531B">
        <w:rPr>
          <w:rFonts w:ascii="Arial" w:hAnsi="Arial" w:cs="Arial"/>
          <w:bCs/>
        </w:rPr>
        <w:t>: includono le autovetture, gli articoli di arredamento, gli elettrodomestici.</w:t>
      </w:r>
    </w:p>
    <w:p w:rsidR="00745827" w:rsidRPr="000F531B" w:rsidRDefault="00745827" w:rsidP="00745827">
      <w:pPr>
        <w:spacing w:before="0" w:after="120"/>
        <w:jc w:val="both"/>
        <w:rPr>
          <w:rFonts w:ascii="Arial" w:hAnsi="Arial" w:cs="Arial"/>
          <w:b/>
          <w:bCs/>
        </w:rPr>
      </w:pPr>
      <w:r w:rsidRPr="000F531B">
        <w:rPr>
          <w:rFonts w:ascii="Arial" w:hAnsi="Arial" w:cs="Arial"/>
          <w:b/>
          <w:bCs/>
        </w:rPr>
        <w:t>Beni non durevoli</w:t>
      </w:r>
      <w:r w:rsidRPr="000F531B">
        <w:rPr>
          <w:rFonts w:ascii="Arial" w:hAnsi="Arial" w:cs="Arial"/>
          <w:bCs/>
        </w:rPr>
        <w:t>: comprendono i detergenti per la pulizia della casa, i prodotti per la cura della persona, i medicinali.</w:t>
      </w:r>
    </w:p>
    <w:p w:rsidR="00745827" w:rsidRPr="000F531B" w:rsidRDefault="00745827" w:rsidP="00745827">
      <w:pPr>
        <w:spacing w:before="0" w:after="120"/>
        <w:jc w:val="both"/>
        <w:rPr>
          <w:rFonts w:ascii="Arial" w:hAnsi="Arial" w:cs="Arial"/>
          <w:b/>
          <w:bCs/>
        </w:rPr>
      </w:pPr>
      <w:r w:rsidRPr="000F531B">
        <w:rPr>
          <w:rFonts w:ascii="Arial" w:hAnsi="Arial" w:cs="Arial"/>
          <w:b/>
          <w:bCs/>
        </w:rPr>
        <w:t>Beni semidurevoli</w:t>
      </w:r>
      <w:r w:rsidRPr="000F531B">
        <w:rPr>
          <w:rFonts w:ascii="Arial" w:hAnsi="Arial" w:cs="Arial"/>
          <w:bCs/>
        </w:rPr>
        <w:t>: comprendono i capi di abbigliamento, le calzature, i libri.</w:t>
      </w:r>
      <w:r w:rsidRPr="000F531B">
        <w:rPr>
          <w:rFonts w:ascii="Arial" w:hAnsi="Arial" w:cs="Arial"/>
          <w:b/>
          <w:bCs/>
        </w:rPr>
        <w:t xml:space="preserve"> </w:t>
      </w:r>
    </w:p>
    <w:p w:rsidR="00745827" w:rsidRPr="000F531B" w:rsidRDefault="00745827" w:rsidP="00745827">
      <w:pPr>
        <w:spacing w:before="0" w:after="120"/>
        <w:jc w:val="both"/>
        <w:rPr>
          <w:rFonts w:ascii="Arial" w:hAnsi="Arial" w:cs="Arial"/>
          <w:bCs/>
        </w:rPr>
      </w:pPr>
      <w:r w:rsidRPr="000F531B">
        <w:rPr>
          <w:rFonts w:ascii="Arial" w:hAnsi="Arial" w:cs="Arial"/>
          <w:b/>
          <w:bCs/>
        </w:rPr>
        <w:t>Beni energetici regolamentati</w:t>
      </w:r>
      <w:r w:rsidRPr="000F531B">
        <w:rPr>
          <w:rFonts w:ascii="Arial" w:hAnsi="Arial" w:cs="Arial"/>
          <w:bCs/>
        </w:rPr>
        <w:t xml:space="preserve">: includono le tariffe per l’energia elettrica </w:t>
      </w:r>
      <w:r>
        <w:rPr>
          <w:rFonts w:ascii="Arial" w:hAnsi="Arial" w:cs="Arial"/>
          <w:bCs/>
        </w:rPr>
        <w:t xml:space="preserve">mercato tutelato </w:t>
      </w:r>
      <w:r w:rsidRPr="000F531B">
        <w:rPr>
          <w:rFonts w:ascii="Arial" w:hAnsi="Arial" w:cs="Arial"/>
          <w:bCs/>
        </w:rPr>
        <w:t>e il gas di rete per uso domestico.</w:t>
      </w:r>
    </w:p>
    <w:p w:rsidR="00745827" w:rsidRPr="000F531B" w:rsidRDefault="00745827" w:rsidP="00745827">
      <w:pPr>
        <w:spacing w:before="0" w:after="120"/>
        <w:jc w:val="both"/>
        <w:rPr>
          <w:rFonts w:ascii="Arial" w:hAnsi="Arial" w:cs="Arial"/>
          <w:bCs/>
        </w:rPr>
      </w:pPr>
      <w:r w:rsidRPr="000F531B">
        <w:rPr>
          <w:rFonts w:ascii="Arial" w:hAnsi="Arial" w:cs="Arial"/>
          <w:b/>
          <w:bCs/>
        </w:rPr>
        <w:t>Beni energetici non regolamentati</w:t>
      </w:r>
      <w:r w:rsidRPr="000F531B">
        <w:rPr>
          <w:rFonts w:ascii="Arial" w:hAnsi="Arial" w:cs="Arial"/>
          <w:bCs/>
        </w:rPr>
        <w:t>: comprendono i carburanti per g</w:t>
      </w:r>
      <w:r>
        <w:rPr>
          <w:rFonts w:ascii="Arial" w:hAnsi="Arial" w:cs="Arial"/>
          <w:bCs/>
        </w:rPr>
        <w:t>li autoveicoli, i lubrificanti,</w:t>
      </w:r>
      <w:r w:rsidRPr="000F531B">
        <w:rPr>
          <w:rFonts w:ascii="Arial" w:hAnsi="Arial" w:cs="Arial"/>
          <w:bCs/>
        </w:rPr>
        <w:t xml:space="preserve"> i combustibili per u</w:t>
      </w:r>
      <w:r>
        <w:rPr>
          <w:rFonts w:ascii="Arial" w:hAnsi="Arial" w:cs="Arial"/>
          <w:bCs/>
        </w:rPr>
        <w:t xml:space="preserve">so domestico non regolamentati </w:t>
      </w:r>
      <w:r w:rsidRPr="000F531B">
        <w:rPr>
          <w:rFonts w:ascii="Arial" w:hAnsi="Arial" w:cs="Arial"/>
          <w:bCs/>
        </w:rPr>
        <w:t xml:space="preserve">e l’energia elettrica </w:t>
      </w:r>
      <w:r>
        <w:rPr>
          <w:rFonts w:ascii="Arial" w:hAnsi="Arial" w:cs="Arial"/>
          <w:bCs/>
        </w:rPr>
        <w:t>mercato libero.</w:t>
      </w:r>
    </w:p>
    <w:p w:rsidR="00745827" w:rsidRPr="000F531B" w:rsidRDefault="00745827" w:rsidP="00745827">
      <w:pPr>
        <w:spacing w:before="0" w:after="120"/>
        <w:jc w:val="both"/>
        <w:rPr>
          <w:rFonts w:ascii="Arial" w:hAnsi="Arial" w:cs="Arial"/>
          <w:bCs/>
        </w:rPr>
      </w:pPr>
      <w:r w:rsidRPr="000F531B">
        <w:rPr>
          <w:rFonts w:ascii="Arial" w:hAnsi="Arial" w:cs="Arial"/>
          <w:b/>
          <w:bCs/>
        </w:rPr>
        <w:t>Beni regolamentati</w:t>
      </w:r>
      <w:r w:rsidRPr="000F531B">
        <w:rPr>
          <w:rFonts w:ascii="Arial" w:hAnsi="Arial" w:cs="Arial"/>
          <w:bCs/>
        </w:rPr>
        <w:t>: includono i beni energetici regolamentati e gli altri beni regolamentati.</w:t>
      </w:r>
    </w:p>
    <w:p w:rsidR="00745827" w:rsidRPr="000F531B" w:rsidRDefault="00745827" w:rsidP="00745827">
      <w:pPr>
        <w:spacing w:before="0" w:after="120"/>
        <w:jc w:val="both"/>
        <w:rPr>
          <w:rFonts w:ascii="Arial" w:hAnsi="Arial" w:cs="Arial"/>
          <w:bCs/>
        </w:rPr>
      </w:pPr>
      <w:r w:rsidRPr="000F531B">
        <w:rPr>
          <w:rFonts w:ascii="Arial" w:hAnsi="Arial" w:cs="Arial"/>
          <w:b/>
          <w:bCs/>
        </w:rPr>
        <w:t>COICOP</w:t>
      </w:r>
      <w:r w:rsidRPr="000F531B">
        <w:rPr>
          <w:rFonts w:ascii="Arial" w:hAnsi="Arial" w:cs="Arial"/>
          <w:bCs/>
        </w:rPr>
        <w:t>: classificazione dei consumi individuali secondo l’utilizzo finale</w:t>
      </w:r>
      <w:r>
        <w:rPr>
          <w:rFonts w:ascii="Arial" w:hAnsi="Arial" w:cs="Arial"/>
          <w:bCs/>
        </w:rPr>
        <w:t>.</w:t>
      </w:r>
    </w:p>
    <w:p w:rsidR="00745827" w:rsidRPr="000F531B" w:rsidRDefault="00745827" w:rsidP="00745827">
      <w:pPr>
        <w:spacing w:before="0" w:after="120"/>
        <w:jc w:val="both"/>
        <w:rPr>
          <w:rFonts w:ascii="Arial" w:hAnsi="Arial" w:cs="Arial"/>
        </w:rPr>
      </w:pPr>
      <w:r w:rsidRPr="000F531B">
        <w:rPr>
          <w:rFonts w:ascii="Arial" w:hAnsi="Arial" w:cs="Arial"/>
          <w:b/>
        </w:rPr>
        <w:t>Componente di fondo</w:t>
      </w:r>
      <w:r w:rsidRPr="000F531B">
        <w:rPr>
          <w:rFonts w:ascii="Arial" w:hAnsi="Arial" w:cs="Arial"/>
        </w:rPr>
        <w:t xml:space="preserve">: viene calcolata escludendo i beni alimentari non lavorati e i beni energetici. </w:t>
      </w:r>
    </w:p>
    <w:p w:rsidR="00745827" w:rsidRPr="000F531B" w:rsidRDefault="00745827" w:rsidP="00745827">
      <w:pPr>
        <w:spacing w:before="0" w:after="120"/>
        <w:jc w:val="both"/>
        <w:rPr>
          <w:rFonts w:ascii="Arial" w:hAnsi="Arial" w:cs="Arial"/>
          <w:bCs/>
        </w:rPr>
      </w:pPr>
      <w:r w:rsidRPr="000F531B">
        <w:rPr>
          <w:rFonts w:ascii="Arial" w:hAnsi="Arial" w:cs="Arial"/>
          <w:b/>
          <w:bCs/>
        </w:rPr>
        <w:t>Contributo alla variazione tendenziale dell’indice generale</w:t>
      </w:r>
      <w:r w:rsidRPr="000F531B">
        <w:rPr>
          <w:rFonts w:ascii="Arial" w:hAnsi="Arial" w:cs="Arial"/>
          <w:bCs/>
        </w:rPr>
        <w:t>: permette di valutare l’incidenza delle variazioni di prezzo delle singole componenti sull’aumento o sulla diminuzione dell’indice aggregato. A tal fine, il tasso di variazione tendenziale dell’indice generale viene scomposto nella somma degli effetti attribuibili a ciascuna delle variazioni delle sue componenti. Poiché si tratta di un indice concatenato, il contributo della componente i-esima alla variazione dell’indice generale è funzione della dinamica di prezzo di tale componente e della modifica del suo peso relativo nei due anni a confronto. I contributi alla variazione tendenziale dell’indice generale sono calcolati a partire dagli indici elementari di prezzo dei prodotti del paniere di riferimento. Per effetto degli arrotondamenti, la loro somma può differire dalla variazione dell’indice generale.</w:t>
      </w:r>
    </w:p>
    <w:p w:rsidR="00745827" w:rsidRPr="000F531B" w:rsidRDefault="003F6E7D" w:rsidP="00745827">
      <w:pPr>
        <w:spacing w:before="0" w:after="120"/>
        <w:jc w:val="both"/>
        <w:rPr>
          <w:rFonts w:ascii="Arial" w:hAnsi="Arial" w:cs="Arial"/>
          <w:b/>
          <w:bCs/>
        </w:rPr>
      </w:pPr>
      <w:hyperlink r:id="rId45" w:history="1">
        <w:r w:rsidR="00745827" w:rsidRPr="00C55AE4">
          <w:rPr>
            <w:rStyle w:val="Collegamentoipertestuale"/>
            <w:rFonts w:ascii="Arial" w:hAnsi="Arial" w:cs="Arial"/>
            <w:b/>
            <w:bCs/>
          </w:rPr>
          <w:t>ECOICOP</w:t>
        </w:r>
      </w:hyperlink>
      <w:r w:rsidR="00745827">
        <w:rPr>
          <w:rFonts w:ascii="Arial" w:hAnsi="Arial" w:cs="Arial"/>
          <w:bCs/>
        </w:rPr>
        <w:t xml:space="preserve">: </w:t>
      </w:r>
      <w:r w:rsidR="00745827" w:rsidRPr="000F531B">
        <w:rPr>
          <w:rFonts w:ascii="Arial" w:hAnsi="Arial" w:cs="Arial"/>
          <w:bCs/>
        </w:rPr>
        <w:t>classificazione europea dei consumi individuali secondo l’utilizzo finale</w:t>
      </w:r>
      <w:r w:rsidR="00745827" w:rsidRPr="00C55AE4">
        <w:rPr>
          <w:rFonts w:ascii="Arial" w:hAnsi="Arial" w:cs="Arial"/>
          <w:bCs/>
        </w:rPr>
        <w:t>, che prevede un livello di dettaglio (le sottoclassi) maggiore rispetto alla COICOP.</w:t>
      </w:r>
    </w:p>
    <w:p w:rsidR="00745827" w:rsidRDefault="00745827" w:rsidP="00745827">
      <w:pPr>
        <w:spacing w:before="0" w:after="120"/>
        <w:jc w:val="both"/>
        <w:rPr>
          <w:rFonts w:ascii="Arial" w:hAnsi="Arial" w:cs="Arial"/>
          <w:bCs/>
        </w:rPr>
      </w:pPr>
      <w:r w:rsidRPr="000F531B">
        <w:rPr>
          <w:rFonts w:ascii="Arial" w:hAnsi="Arial" w:cs="Arial"/>
          <w:b/>
          <w:bCs/>
        </w:rPr>
        <w:t>FOI</w:t>
      </w:r>
      <w:r w:rsidRPr="000F531B">
        <w:rPr>
          <w:rFonts w:ascii="Arial" w:hAnsi="Arial" w:cs="Arial"/>
          <w:bCs/>
        </w:rPr>
        <w:t>: indice nazionale dei prezzi al consumo per le famiglie di operai e impiegati.</w:t>
      </w:r>
    </w:p>
    <w:p w:rsidR="00745827" w:rsidRDefault="00745827" w:rsidP="00745827">
      <w:pPr>
        <w:spacing w:before="0" w:after="120"/>
        <w:jc w:val="both"/>
        <w:rPr>
          <w:rFonts w:ascii="Arial" w:hAnsi="Arial" w:cs="Arial"/>
          <w:bCs/>
        </w:rPr>
      </w:pPr>
      <w:r w:rsidRPr="00C96343">
        <w:rPr>
          <w:rFonts w:ascii="Arial" w:hAnsi="Arial" w:cs="Arial"/>
          <w:b/>
          <w:bCs/>
        </w:rPr>
        <w:t>Inflazione</w:t>
      </w:r>
      <w:r w:rsidRPr="00C96343">
        <w:rPr>
          <w:rFonts w:ascii="Arial" w:hAnsi="Arial" w:cs="Arial"/>
          <w:bCs/>
        </w:rPr>
        <w:t>: misura le variazioni nel tempo dei prezzi di un insieme di prodotti (paniere) rappresentativo di tutti i beni e servizi destinati al consumo finale delle famiglie, acquistabili sul mercato attraverso transazioni monetarie.</w:t>
      </w:r>
    </w:p>
    <w:p w:rsidR="00745827" w:rsidRPr="000F531B" w:rsidRDefault="00745827" w:rsidP="00745827">
      <w:pPr>
        <w:spacing w:before="0" w:after="120"/>
        <w:jc w:val="both"/>
        <w:rPr>
          <w:rFonts w:ascii="Arial" w:hAnsi="Arial" w:cs="Arial"/>
          <w:bCs/>
        </w:rPr>
      </w:pPr>
      <w:r w:rsidRPr="000F531B">
        <w:rPr>
          <w:rFonts w:ascii="Arial" w:hAnsi="Arial" w:cs="Arial"/>
          <w:b/>
          <w:bCs/>
        </w:rPr>
        <w:t>Inflazione acquisita</w:t>
      </w:r>
      <w:r w:rsidRPr="000F531B">
        <w:rPr>
          <w:rFonts w:ascii="Arial" w:hAnsi="Arial" w:cs="Arial"/>
          <w:bCs/>
        </w:rPr>
        <w:t xml:space="preserve">: rappresenta la variazione media dell’indice nell’anno indicato, che si avrebbe ipotizzando che l’indice stesso rimanga al medesimo livello dell’ultimo dato mensile disponibile nella restante parte dell’anno. </w:t>
      </w:r>
    </w:p>
    <w:p w:rsidR="00745827" w:rsidRPr="005863C9" w:rsidRDefault="00745827" w:rsidP="00745827">
      <w:pPr>
        <w:spacing w:before="0" w:after="120"/>
        <w:jc w:val="both"/>
        <w:rPr>
          <w:rFonts w:ascii="Arial" w:hAnsi="Arial" w:cs="Arial"/>
          <w:bCs/>
        </w:rPr>
      </w:pPr>
      <w:r>
        <w:rPr>
          <w:rFonts w:ascii="Arial" w:hAnsi="Arial" w:cs="Arial"/>
          <w:b/>
          <w:bCs/>
        </w:rPr>
        <w:t>I</w:t>
      </w:r>
      <w:r w:rsidRPr="005863C9">
        <w:rPr>
          <w:rFonts w:ascii="Arial" w:hAnsi="Arial" w:cs="Arial"/>
          <w:b/>
          <w:bCs/>
        </w:rPr>
        <w:t>nflazione “ereditat</w:t>
      </w:r>
      <w:r>
        <w:rPr>
          <w:rFonts w:ascii="Arial" w:hAnsi="Arial" w:cs="Arial"/>
          <w:b/>
          <w:bCs/>
        </w:rPr>
        <w:t>a</w:t>
      </w:r>
      <w:r w:rsidRPr="005863C9">
        <w:rPr>
          <w:rFonts w:ascii="Arial" w:hAnsi="Arial" w:cs="Arial"/>
          <w:b/>
          <w:bCs/>
        </w:rPr>
        <w:t>” nell’anno t dall’anno t-1</w:t>
      </w:r>
      <w:r w:rsidRPr="005863C9">
        <w:rPr>
          <w:rFonts w:ascii="Arial" w:hAnsi="Arial" w:cs="Arial"/>
          <w:bCs/>
        </w:rPr>
        <w:t xml:space="preserve">: variazione percentuale misurata tra il mese di dicembre dell’anno t-1 e la media dell’anno t-1. </w:t>
      </w:r>
      <w:r w:rsidR="00E71001">
        <w:rPr>
          <w:rFonts w:ascii="Arial" w:hAnsi="Arial" w:cs="Arial"/>
          <w:bCs/>
        </w:rPr>
        <w:t>In altre parole, se nel corso dell’anno t non si verificassero variazioni congiunturali dell’indice generale dei prezzi, la sua variazione media annua risulterebbe pari all’inflazione ereditata.</w:t>
      </w:r>
    </w:p>
    <w:p w:rsidR="00745827" w:rsidRPr="005863C9" w:rsidRDefault="00745827" w:rsidP="00745827">
      <w:pPr>
        <w:spacing w:before="0" w:after="120"/>
        <w:jc w:val="both"/>
        <w:rPr>
          <w:rFonts w:ascii="Arial" w:hAnsi="Arial" w:cs="Arial"/>
          <w:bCs/>
        </w:rPr>
      </w:pPr>
      <w:r>
        <w:rPr>
          <w:rFonts w:ascii="Arial" w:hAnsi="Arial" w:cs="Arial"/>
          <w:b/>
          <w:bCs/>
        </w:rPr>
        <w:t>Inflazione “propria</w:t>
      </w:r>
      <w:r w:rsidRPr="005863C9">
        <w:rPr>
          <w:rFonts w:ascii="Arial" w:hAnsi="Arial" w:cs="Arial"/>
          <w:b/>
          <w:bCs/>
        </w:rPr>
        <w:t>” dell’anno t</w:t>
      </w:r>
      <w:r w:rsidRPr="005863C9">
        <w:rPr>
          <w:rFonts w:ascii="Arial" w:hAnsi="Arial" w:cs="Arial"/>
          <w:bCs/>
        </w:rPr>
        <w:t xml:space="preserve">: variazione percentuale misurata tra la media dell’anno t e il dicembre dell’anno t-1. </w:t>
      </w:r>
      <w:r w:rsidR="00E71001">
        <w:rPr>
          <w:rFonts w:ascii="Arial" w:hAnsi="Arial" w:cs="Arial"/>
          <w:bCs/>
        </w:rPr>
        <w:t>Essa rappresenta la variazione dell’indice generale dovuta alle variazioni di prezzo verificatesi nel corso dell’anno t.</w:t>
      </w:r>
    </w:p>
    <w:p w:rsidR="00745827" w:rsidRPr="000F531B" w:rsidRDefault="00745827" w:rsidP="00745827">
      <w:pPr>
        <w:spacing w:before="0" w:after="120"/>
        <w:jc w:val="both"/>
        <w:rPr>
          <w:rFonts w:ascii="Arial" w:hAnsi="Arial" w:cs="Arial"/>
          <w:bCs/>
        </w:rPr>
      </w:pPr>
      <w:r w:rsidRPr="000F531B">
        <w:rPr>
          <w:rFonts w:ascii="Arial" w:hAnsi="Arial" w:cs="Arial"/>
          <w:b/>
          <w:bCs/>
        </w:rPr>
        <w:t>IPCA</w:t>
      </w:r>
      <w:r w:rsidRPr="000F531B">
        <w:rPr>
          <w:rFonts w:ascii="Arial" w:hAnsi="Arial" w:cs="Arial"/>
          <w:bCs/>
        </w:rPr>
        <w:t>: indice armonizzato dei prezzi al consumo per i Paesi dell’Unione europea.</w:t>
      </w:r>
    </w:p>
    <w:p w:rsidR="00745827" w:rsidRPr="000F531B" w:rsidRDefault="00745827" w:rsidP="00745827">
      <w:pPr>
        <w:spacing w:before="0" w:after="120"/>
        <w:jc w:val="both"/>
        <w:rPr>
          <w:rFonts w:ascii="Arial" w:hAnsi="Arial" w:cs="Arial"/>
          <w:bCs/>
        </w:rPr>
      </w:pPr>
      <w:r w:rsidRPr="000F531B">
        <w:rPr>
          <w:rFonts w:ascii="Arial" w:hAnsi="Arial" w:cs="Arial"/>
          <w:b/>
          <w:bCs/>
        </w:rPr>
        <w:t>IPCA-AS</w:t>
      </w:r>
      <w:r w:rsidRPr="000F531B">
        <w:rPr>
          <w:rFonts w:ascii="Arial" w:hAnsi="Arial" w:cs="Arial"/>
          <w:bCs/>
        </w:rPr>
        <w:t>: indici armonizzati dei prezzi al consumo per aggregati speciali</w:t>
      </w:r>
      <w:r>
        <w:rPr>
          <w:rFonts w:ascii="Arial" w:hAnsi="Arial" w:cs="Arial"/>
          <w:bCs/>
        </w:rPr>
        <w:t xml:space="preserve"> s</w:t>
      </w:r>
      <w:r w:rsidRPr="000F531B">
        <w:rPr>
          <w:rFonts w:ascii="Arial" w:hAnsi="Arial" w:cs="Arial"/>
          <w:bCs/>
        </w:rPr>
        <w:t xml:space="preserve">ono indicatori costruiti secondo uno schema classificatorio </w:t>
      </w:r>
      <w:r>
        <w:rPr>
          <w:rFonts w:ascii="Arial" w:hAnsi="Arial" w:cs="Arial"/>
          <w:bCs/>
        </w:rPr>
        <w:t>diverso</w:t>
      </w:r>
      <w:r w:rsidRPr="000F531B">
        <w:rPr>
          <w:rFonts w:ascii="Arial" w:hAnsi="Arial" w:cs="Arial"/>
          <w:bCs/>
        </w:rPr>
        <w:t xml:space="preserve"> </w:t>
      </w:r>
      <w:r>
        <w:rPr>
          <w:rFonts w:ascii="Arial" w:hAnsi="Arial" w:cs="Arial"/>
          <w:bCs/>
        </w:rPr>
        <w:t>d</w:t>
      </w:r>
      <w:r w:rsidRPr="000F531B">
        <w:rPr>
          <w:rFonts w:ascii="Arial" w:hAnsi="Arial" w:cs="Arial"/>
          <w:bCs/>
        </w:rPr>
        <w:t>alla ECOICOP-IPCA e da quello utilizzato per gli indici NIC per tipologia di prodotto. L</w:t>
      </w:r>
      <w:r>
        <w:rPr>
          <w:rFonts w:ascii="Arial" w:hAnsi="Arial" w:cs="Arial"/>
          <w:bCs/>
        </w:rPr>
        <w:t>a struttura</w:t>
      </w:r>
      <w:r w:rsidRPr="000F531B">
        <w:rPr>
          <w:rFonts w:ascii="Arial" w:hAnsi="Arial" w:cs="Arial"/>
          <w:bCs/>
        </w:rPr>
        <w:t xml:space="preserve"> di classificazione </w:t>
      </w:r>
      <w:r>
        <w:rPr>
          <w:rFonts w:ascii="Arial" w:hAnsi="Arial" w:cs="Arial"/>
          <w:bCs/>
        </w:rPr>
        <w:t>e le procedure</w:t>
      </w:r>
      <w:r w:rsidRPr="000F531B">
        <w:rPr>
          <w:rFonts w:ascii="Arial" w:hAnsi="Arial" w:cs="Arial"/>
          <w:bCs/>
        </w:rPr>
        <w:t xml:space="preserve"> di calcolo sono comuni a quell</w:t>
      </w:r>
      <w:r>
        <w:rPr>
          <w:rFonts w:ascii="Arial" w:hAnsi="Arial" w:cs="Arial"/>
          <w:bCs/>
        </w:rPr>
        <w:t>e</w:t>
      </w:r>
      <w:r w:rsidRPr="000F531B">
        <w:rPr>
          <w:rFonts w:ascii="Arial" w:hAnsi="Arial" w:cs="Arial"/>
          <w:bCs/>
        </w:rPr>
        <w:t xml:space="preserve"> </w:t>
      </w:r>
      <w:r w:rsidRPr="000F531B">
        <w:rPr>
          <w:rFonts w:ascii="Arial" w:hAnsi="Arial" w:cs="Arial"/>
        </w:rPr>
        <w:t>utilizzat</w:t>
      </w:r>
      <w:r>
        <w:rPr>
          <w:rFonts w:ascii="Arial" w:hAnsi="Arial" w:cs="Arial"/>
        </w:rPr>
        <w:t>e</w:t>
      </w:r>
      <w:r w:rsidRPr="000F531B">
        <w:rPr>
          <w:rFonts w:ascii="Arial" w:hAnsi="Arial" w:cs="Arial"/>
        </w:rPr>
        <w:t xml:space="preserve"> da Eurostat</w:t>
      </w:r>
      <w:r>
        <w:rPr>
          <w:rFonts w:ascii="Arial" w:hAnsi="Arial" w:cs="Arial"/>
        </w:rPr>
        <w:t xml:space="preserve"> e ne condividono le innovazioni di carattere metodologico</w:t>
      </w:r>
      <w:r w:rsidRPr="000F531B">
        <w:rPr>
          <w:rFonts w:ascii="Arial" w:hAnsi="Arial" w:cs="Arial"/>
        </w:rPr>
        <w:t>.</w:t>
      </w:r>
      <w:r>
        <w:rPr>
          <w:rFonts w:ascii="Arial" w:hAnsi="Arial" w:cs="Arial"/>
        </w:rPr>
        <w:t xml:space="preserve"> In particolare, dalla diffusione degli indici definitivi di gennaio 2019 cambia il metodo di calcolo degli aggregati speciali dell’IPCA che sono ottenuti aggregando gli indici delle sottoclassi della ECOICOP (in precedenza, per il computo di questi indicatori erano utilizzati gli indici delle classi).</w:t>
      </w:r>
      <w:r w:rsidRPr="000F531B">
        <w:rPr>
          <w:rFonts w:ascii="Arial" w:hAnsi="Arial" w:cs="Arial"/>
          <w:bCs/>
        </w:rPr>
        <w:t xml:space="preserve"> </w:t>
      </w:r>
      <w:r>
        <w:rPr>
          <w:rFonts w:ascii="Arial" w:hAnsi="Arial" w:cs="Arial"/>
          <w:bCs/>
        </w:rPr>
        <w:t xml:space="preserve">Per una migliore fruibilità dei nuovi indicatori, le serie degli aggregati speciali, secondo il nuovo schema, sono state ricostruite per il </w:t>
      </w:r>
      <w:r>
        <w:rPr>
          <w:rFonts w:ascii="Arial" w:hAnsi="Arial" w:cs="Arial"/>
          <w:bCs/>
        </w:rPr>
        <w:lastRenderedPageBreak/>
        <w:t>periodo gennaio 2017 - dicembre 2018 e sostituiscono, per l’intervallo temporale in questione, quelle precedentemente diffuse, basate sulla vecchia metodologia di calcolo</w:t>
      </w:r>
      <w:r w:rsidRPr="000F531B">
        <w:rPr>
          <w:rFonts w:ascii="Arial" w:hAnsi="Arial" w:cs="Arial"/>
        </w:rPr>
        <w:t>.</w:t>
      </w:r>
      <w:r w:rsidRPr="000F531B">
        <w:rPr>
          <w:rFonts w:ascii="Arial" w:hAnsi="Arial" w:cs="Arial"/>
          <w:bCs/>
        </w:rPr>
        <w:t xml:space="preserve"> </w:t>
      </w:r>
    </w:p>
    <w:p w:rsidR="00745827" w:rsidRPr="000F531B" w:rsidRDefault="00745827" w:rsidP="00745827">
      <w:pPr>
        <w:spacing w:before="0" w:after="120"/>
        <w:jc w:val="both"/>
        <w:rPr>
          <w:rFonts w:ascii="Arial" w:hAnsi="Arial" w:cs="Arial"/>
          <w:bCs/>
        </w:rPr>
      </w:pPr>
      <w:r w:rsidRPr="000F531B">
        <w:rPr>
          <w:rFonts w:ascii="Arial" w:hAnsi="Arial" w:cs="Arial"/>
          <w:b/>
          <w:bCs/>
        </w:rPr>
        <w:t>IPCA-TC</w:t>
      </w:r>
      <w:r w:rsidRPr="000F531B">
        <w:rPr>
          <w:rFonts w:ascii="Arial" w:hAnsi="Arial" w:cs="Arial"/>
          <w:bCs/>
        </w:rPr>
        <w:t>: indice armonizzato dei prezzi al consumo a tassazione costante per i Paesi dell’Unione europea.</w:t>
      </w:r>
    </w:p>
    <w:p w:rsidR="00745827" w:rsidRPr="000F531B" w:rsidRDefault="00745827" w:rsidP="00745827">
      <w:pPr>
        <w:spacing w:before="0" w:after="120"/>
        <w:jc w:val="both"/>
        <w:rPr>
          <w:rFonts w:ascii="Arial" w:hAnsi="Arial" w:cs="Arial"/>
        </w:rPr>
      </w:pPr>
      <w:r w:rsidRPr="000F531B">
        <w:rPr>
          <w:rFonts w:ascii="Arial" w:hAnsi="Arial" w:cs="Arial"/>
          <w:b/>
        </w:rPr>
        <w:t>NIC</w:t>
      </w:r>
      <w:r w:rsidRPr="000F531B">
        <w:rPr>
          <w:rFonts w:ascii="Arial" w:hAnsi="Arial" w:cs="Arial"/>
        </w:rPr>
        <w:t>: indice nazionale dei prezzi al consumo per l’intera collettività.</w:t>
      </w:r>
    </w:p>
    <w:p w:rsidR="00745827" w:rsidRPr="000F531B" w:rsidRDefault="00745827" w:rsidP="00745827">
      <w:pPr>
        <w:widowControl/>
        <w:overflowPunct/>
        <w:autoSpaceDE/>
        <w:adjustRightInd/>
        <w:spacing w:before="0" w:after="120"/>
        <w:jc w:val="both"/>
        <w:rPr>
          <w:rFonts w:ascii="Arial" w:hAnsi="Arial" w:cs="Arial"/>
        </w:rPr>
      </w:pPr>
      <w:r w:rsidRPr="000F531B">
        <w:rPr>
          <w:rFonts w:ascii="Arial" w:hAnsi="Arial" w:cs="Arial"/>
          <w:b/>
        </w:rPr>
        <w:t>Prodotti ad alta frequenza di acquisto</w:t>
      </w:r>
      <w:r w:rsidRPr="000F531B">
        <w:rPr>
          <w:rFonts w:ascii="Arial" w:hAnsi="Arial" w:cs="Arial"/>
        </w:rPr>
        <w:t>: includono, oltre ai generi alimentari, le bevande alcoliche e analcoliche, i tabacchi, le spese per l’affitto, i beni non durevoli per la casa, i servizi per la pulizia e manutenzione della casa, i carburanti, i trasporti urbani, i giornali e i periodici, i servizi di ristorazione, le spese di assistenza.</w:t>
      </w:r>
    </w:p>
    <w:p w:rsidR="00745827" w:rsidRPr="000F531B" w:rsidRDefault="00745827" w:rsidP="00745827">
      <w:pPr>
        <w:spacing w:before="0" w:after="120"/>
        <w:ind w:right="38"/>
        <w:jc w:val="both"/>
        <w:rPr>
          <w:rFonts w:ascii="Arial" w:hAnsi="Arial" w:cs="Arial"/>
        </w:rPr>
      </w:pPr>
      <w:r w:rsidRPr="000F531B">
        <w:rPr>
          <w:rFonts w:ascii="Arial" w:hAnsi="Arial" w:cs="Arial"/>
          <w:b/>
        </w:rPr>
        <w:t>Prodotti a media frequenza</w:t>
      </w:r>
      <w:r w:rsidRPr="000F531B">
        <w:rPr>
          <w:rFonts w:ascii="Arial" w:hAnsi="Arial" w:cs="Arial"/>
        </w:rPr>
        <w:t xml:space="preserve"> </w:t>
      </w:r>
      <w:r w:rsidRPr="000F531B">
        <w:rPr>
          <w:rFonts w:ascii="Arial" w:hAnsi="Arial" w:cs="Arial"/>
          <w:b/>
        </w:rPr>
        <w:t>di acquisto</w:t>
      </w:r>
      <w:r w:rsidRPr="000F531B">
        <w:rPr>
          <w:rFonts w:ascii="Arial" w:hAnsi="Arial" w:cs="Arial"/>
        </w:rPr>
        <w:t xml:space="preserve">: comprendono, </w:t>
      </w:r>
      <w:r w:rsidRPr="00642DBC">
        <w:rPr>
          <w:rFonts w:ascii="Arial" w:hAnsi="Arial" w:cs="Arial"/>
        </w:rPr>
        <w:t>tra gli altri,</w:t>
      </w:r>
      <w:r w:rsidRPr="000F531B">
        <w:rPr>
          <w:rFonts w:ascii="Arial" w:hAnsi="Arial" w:cs="Arial"/>
        </w:rPr>
        <w:t xml:space="preserve"> le spese di abbigliamento, le tariffe elettriche e quelle relative all’acqua potabile e lo smaltimento dei rifiuti, i medicinali, i servizi medici e quelli dentistici, i trasporti stradali, ferroviari marittimi e aerei, i servizi postali e telefonici, i servizi ricreativi e culturali, i pacchetti vacanze, i libri, gli alberghi e gli altri servizi di alloggio.</w:t>
      </w:r>
    </w:p>
    <w:p w:rsidR="00745827" w:rsidRPr="000F531B" w:rsidRDefault="00745827" w:rsidP="00745827">
      <w:pPr>
        <w:spacing w:before="0" w:after="120"/>
        <w:jc w:val="both"/>
        <w:rPr>
          <w:rFonts w:ascii="Arial" w:hAnsi="Arial" w:cs="Arial"/>
        </w:rPr>
      </w:pPr>
      <w:r w:rsidRPr="000F531B">
        <w:rPr>
          <w:rFonts w:ascii="Arial" w:hAnsi="Arial" w:cs="Arial"/>
          <w:b/>
        </w:rPr>
        <w:t>Prodotti a bassa frequenza di acquisto</w:t>
      </w:r>
      <w:r w:rsidRPr="000F531B">
        <w:rPr>
          <w:rFonts w:ascii="Arial" w:hAnsi="Arial" w:cs="Arial"/>
        </w:rPr>
        <w:t>: comprendono gli elettrodomestici, i servizi ospedalieri, l’acquisto dei mezzi di trasporto, i servizi di trasloco, gli apparecchi audiovisivi, fotografici e informatici, gli articoli sportivi.</w:t>
      </w:r>
    </w:p>
    <w:p w:rsidR="00745827" w:rsidRPr="000F531B" w:rsidRDefault="00745827" w:rsidP="00745827">
      <w:pPr>
        <w:spacing w:before="0" w:after="120"/>
        <w:jc w:val="both"/>
        <w:rPr>
          <w:rFonts w:ascii="Arial" w:hAnsi="Arial" w:cs="Arial"/>
        </w:rPr>
      </w:pPr>
      <w:r w:rsidRPr="000F531B">
        <w:rPr>
          <w:rFonts w:ascii="Arial" w:hAnsi="Arial" w:cs="Arial"/>
          <w:b/>
        </w:rPr>
        <w:t>Servizi regolamentati</w:t>
      </w:r>
      <w:r w:rsidRPr="000F531B">
        <w:rPr>
          <w:rFonts w:ascii="Arial" w:hAnsi="Arial" w:cs="Arial"/>
        </w:rPr>
        <w:t>: tipologie di servizio i cui prezzi sono stabiliti da amministrazioni nazionali o locali e da servizi di pubblica utilità soggetti a regolamentazione da parte di specifiche Agenzie (Authority). Comprendono i certificati anagrafici, il passaporto, la tariffa per i rifiuti solidi, la tariffa per la raccolta di acque reflue, l’istruzione secondaria, le mense scolastiche, i trasporti urbani unimodali e multimodali (biglietti e abbonamenti), il trasporto extra-urbano su bus e quello extra-urbano multimodale, i taxi, i trasporti ferroviari regionali, i pedaggi autostradali, i concorsi pronostici, il canone tv, i servizi di telefonia fissa, la revisione auto, le tasse per il trasferimento della proprietà delle autovetture e dei motoveicoli e alcuni servizi postali.</w:t>
      </w:r>
    </w:p>
    <w:p w:rsidR="00745827" w:rsidRPr="000F531B" w:rsidRDefault="00745827" w:rsidP="00745827">
      <w:pPr>
        <w:spacing w:before="0" w:after="120"/>
        <w:jc w:val="both"/>
        <w:rPr>
          <w:rFonts w:ascii="Arial" w:hAnsi="Arial" w:cs="Arial"/>
        </w:rPr>
      </w:pPr>
      <w:r w:rsidRPr="000F531B">
        <w:rPr>
          <w:rFonts w:ascii="Arial" w:hAnsi="Arial" w:cs="Arial"/>
          <w:b/>
        </w:rPr>
        <w:t>Servizi relativi all’abitazione</w:t>
      </w:r>
      <w:r w:rsidRPr="000F531B">
        <w:rPr>
          <w:rFonts w:ascii="Arial" w:hAnsi="Arial" w:cs="Arial"/>
        </w:rPr>
        <w:t>: comprendono i servizi di riparazione, la pulizia e la manutenzione della casa, la tariffa per i rifiuti solidi, la tariffa per la raccolta acque reflue, il canone d'affitto, le spese condominiali.</w:t>
      </w:r>
    </w:p>
    <w:p w:rsidR="00745827" w:rsidRPr="000F531B" w:rsidRDefault="00745827" w:rsidP="00745827">
      <w:pPr>
        <w:spacing w:before="0" w:after="120"/>
        <w:jc w:val="both"/>
        <w:rPr>
          <w:rFonts w:ascii="Arial" w:hAnsi="Arial" w:cs="Arial"/>
        </w:rPr>
      </w:pPr>
      <w:r w:rsidRPr="000F531B">
        <w:rPr>
          <w:rFonts w:ascii="Arial" w:hAnsi="Arial" w:cs="Arial"/>
          <w:b/>
        </w:rPr>
        <w:t>Servizi relativi alle comunicazioni</w:t>
      </w:r>
      <w:r w:rsidRPr="000F531B">
        <w:rPr>
          <w:rFonts w:ascii="Arial" w:hAnsi="Arial" w:cs="Arial"/>
        </w:rPr>
        <w:t>: comprendono i servizi di telefonia e i servizi postali.</w:t>
      </w:r>
    </w:p>
    <w:p w:rsidR="00745827" w:rsidRPr="000F531B" w:rsidRDefault="00745827" w:rsidP="00745827">
      <w:pPr>
        <w:spacing w:before="0" w:after="120"/>
        <w:jc w:val="both"/>
        <w:rPr>
          <w:rFonts w:ascii="Arial" w:hAnsi="Arial" w:cs="Arial"/>
        </w:rPr>
      </w:pPr>
      <w:r w:rsidRPr="000F531B">
        <w:rPr>
          <w:rFonts w:ascii="Arial" w:hAnsi="Arial" w:cs="Arial"/>
          <w:b/>
        </w:rPr>
        <w:t>Servizi ricreativi, culturali e per la cura della persona</w:t>
      </w:r>
      <w:r w:rsidRPr="000F531B">
        <w:rPr>
          <w:rFonts w:ascii="Arial" w:hAnsi="Arial" w:cs="Arial"/>
        </w:rPr>
        <w:t>: comprendono i pacchetti vacanza, i servizi di alloggio, i ristoranti, bar e simili, le mense, la riparazione di apparecchi audiovisivi, fotografici e informatici, i servizi per l'abbigliamento, i servizi per l</w:t>
      </w:r>
      <w:r>
        <w:rPr>
          <w:rFonts w:ascii="Arial" w:hAnsi="Arial" w:cs="Arial"/>
        </w:rPr>
        <w:t>’</w:t>
      </w:r>
      <w:r w:rsidRPr="000F531B">
        <w:rPr>
          <w:rFonts w:ascii="Arial" w:hAnsi="Arial" w:cs="Arial"/>
        </w:rPr>
        <w:t>igiene personale, i servizi ricreativi e culturali vari, i concorsi e le lotterie.</w:t>
      </w:r>
    </w:p>
    <w:p w:rsidR="00745827" w:rsidRPr="000F531B" w:rsidRDefault="00745827" w:rsidP="00745827">
      <w:pPr>
        <w:spacing w:before="0" w:after="120"/>
        <w:jc w:val="both"/>
        <w:rPr>
          <w:rFonts w:ascii="Arial" w:hAnsi="Arial" w:cs="Arial"/>
        </w:rPr>
      </w:pPr>
      <w:r w:rsidRPr="000F531B">
        <w:rPr>
          <w:rFonts w:ascii="Arial" w:hAnsi="Arial" w:cs="Arial"/>
          <w:b/>
        </w:rPr>
        <w:t>Servizi relativi ai trasporti</w:t>
      </w:r>
      <w:r w:rsidRPr="000F531B">
        <w:rPr>
          <w:rFonts w:ascii="Arial" w:hAnsi="Arial" w:cs="Arial"/>
        </w:rPr>
        <w:t>: comprendono i trasporti aerei, marittimi, ferroviari, e stradali, i servizi di manutenzione e riparazione di mezzi di trasporto, le assicurazioni sui mezzi di trasporto.</w:t>
      </w:r>
    </w:p>
    <w:p w:rsidR="00745827" w:rsidRPr="000F531B" w:rsidRDefault="00745827" w:rsidP="00745827">
      <w:pPr>
        <w:spacing w:before="0" w:after="120"/>
        <w:jc w:val="both"/>
        <w:rPr>
          <w:rFonts w:ascii="Arial" w:hAnsi="Arial" w:cs="Arial"/>
        </w:rPr>
      </w:pPr>
      <w:r w:rsidRPr="000F531B">
        <w:rPr>
          <w:rFonts w:ascii="Arial" w:hAnsi="Arial" w:cs="Arial"/>
          <w:b/>
        </w:rPr>
        <w:t>Servizi vari</w:t>
      </w:r>
      <w:r w:rsidRPr="000F531B">
        <w:rPr>
          <w:rFonts w:ascii="Arial" w:hAnsi="Arial" w:cs="Arial"/>
        </w:rPr>
        <w:t>:</w:t>
      </w:r>
      <w:r w:rsidRPr="000F531B">
        <w:rPr>
          <w:rFonts w:ascii="Arial" w:hAnsi="Arial" w:cs="Arial"/>
          <w:b/>
        </w:rPr>
        <w:t xml:space="preserve"> </w:t>
      </w:r>
      <w:r w:rsidRPr="000F531B">
        <w:rPr>
          <w:rFonts w:ascii="Arial" w:hAnsi="Arial" w:cs="Arial"/>
        </w:rPr>
        <w:t>comprendono l’istruzione, i servizi medici, i servizi per l’assistenza, i servizi finanziari; professioni liberali; servizio funebre; assicurazioni sugli infortuni.</w:t>
      </w:r>
    </w:p>
    <w:p w:rsidR="00745827" w:rsidRPr="00431E4B" w:rsidRDefault="00745827" w:rsidP="00745827">
      <w:pPr>
        <w:spacing w:before="0" w:after="120"/>
        <w:jc w:val="both"/>
        <w:rPr>
          <w:rFonts w:ascii="Arial" w:hAnsi="Arial" w:cs="Arial"/>
          <w:bCs/>
        </w:rPr>
      </w:pPr>
      <w:r w:rsidRPr="00431E4B">
        <w:rPr>
          <w:rFonts w:ascii="Arial" w:hAnsi="Arial" w:cs="Arial"/>
          <w:b/>
          <w:bCs/>
        </w:rPr>
        <w:t>Trascinamento all’anno t+1</w:t>
      </w:r>
      <w:r w:rsidRPr="00431E4B">
        <w:rPr>
          <w:rFonts w:ascii="Arial" w:hAnsi="Arial" w:cs="Arial"/>
          <w:bCs/>
        </w:rPr>
        <w:t>: variazione percentuale misurata tra il mese di dicembre dell’anno t e la media dell’anno t</w:t>
      </w:r>
      <w:r>
        <w:rPr>
          <w:rFonts w:ascii="Arial" w:hAnsi="Arial" w:cs="Arial"/>
          <w:bCs/>
        </w:rPr>
        <w:t>.</w:t>
      </w:r>
      <w:r w:rsidR="00AC7733">
        <w:rPr>
          <w:rFonts w:ascii="Arial" w:hAnsi="Arial" w:cs="Arial"/>
          <w:bCs/>
        </w:rPr>
        <w:t xml:space="preserve"> In altre parole, il trascinamento non è altro che l’eredità, in termini di inflazione, che l’anno t lascia all’anno t+1.</w:t>
      </w:r>
    </w:p>
    <w:p w:rsidR="00745827" w:rsidRPr="000F531B" w:rsidRDefault="00745827" w:rsidP="00745827">
      <w:pPr>
        <w:spacing w:before="0" w:after="120"/>
        <w:jc w:val="both"/>
        <w:rPr>
          <w:rFonts w:ascii="Arial" w:hAnsi="Arial" w:cs="Arial"/>
          <w:bCs/>
        </w:rPr>
      </w:pPr>
      <w:r w:rsidRPr="000F531B">
        <w:rPr>
          <w:rFonts w:ascii="Arial" w:hAnsi="Arial" w:cs="Arial"/>
          <w:b/>
          <w:bCs/>
        </w:rPr>
        <w:t>Variazione congiunturale</w:t>
      </w:r>
      <w:r w:rsidRPr="000F531B">
        <w:rPr>
          <w:rFonts w:ascii="Arial" w:hAnsi="Arial" w:cs="Arial"/>
          <w:bCs/>
        </w:rPr>
        <w:t>: variazione rispetto al periodo precedente.</w:t>
      </w:r>
    </w:p>
    <w:p w:rsidR="00745827" w:rsidRPr="00D8013C" w:rsidRDefault="00745827" w:rsidP="00745827">
      <w:pPr>
        <w:pStyle w:val="Corpotesto"/>
        <w:spacing w:after="120" w:line="240" w:lineRule="auto"/>
        <w:jc w:val="both"/>
        <w:rPr>
          <w:rFonts w:ascii="Arial" w:hAnsi="Arial" w:cs="Arial"/>
          <w:bCs/>
        </w:rPr>
      </w:pPr>
      <w:r w:rsidRPr="000F531B">
        <w:rPr>
          <w:rFonts w:ascii="Arial" w:hAnsi="Arial" w:cs="Arial"/>
          <w:b/>
          <w:bCs/>
        </w:rPr>
        <w:t>Variazione tendenziale</w:t>
      </w:r>
      <w:r w:rsidRPr="000F531B">
        <w:rPr>
          <w:rFonts w:ascii="Arial" w:hAnsi="Arial" w:cs="Arial"/>
          <w:bCs/>
        </w:rPr>
        <w:t>:</w:t>
      </w:r>
      <w:r w:rsidRPr="000F531B">
        <w:rPr>
          <w:rFonts w:ascii="Arial" w:hAnsi="Arial" w:cs="Arial"/>
          <w:b/>
          <w:bCs/>
        </w:rPr>
        <w:t xml:space="preserve"> </w:t>
      </w:r>
      <w:r w:rsidRPr="000F531B">
        <w:rPr>
          <w:rFonts w:ascii="Arial" w:hAnsi="Arial" w:cs="Arial"/>
          <w:bCs/>
        </w:rPr>
        <w:t>variazione rispetto allo stesso periodo dell’anno precedente.</w:t>
      </w:r>
    </w:p>
    <w:p w:rsidR="00745827" w:rsidRPr="00C8504B" w:rsidRDefault="00745827" w:rsidP="00745827">
      <w:pPr>
        <w:pStyle w:val="Corpotesto"/>
        <w:spacing w:after="120" w:line="240" w:lineRule="auto"/>
        <w:jc w:val="both"/>
        <w:rPr>
          <w:rFonts w:ascii="Arial" w:hAnsi="Arial" w:cs="Arial"/>
          <w:bCs/>
        </w:rPr>
      </w:pPr>
    </w:p>
    <w:p w:rsidR="006D65E3" w:rsidRPr="00D8013C" w:rsidRDefault="006D65E3" w:rsidP="006D65E3">
      <w:pPr>
        <w:pStyle w:val="Corpotesto"/>
        <w:spacing w:after="120" w:line="240" w:lineRule="auto"/>
        <w:jc w:val="both"/>
        <w:rPr>
          <w:rFonts w:ascii="Arial" w:hAnsi="Arial" w:cs="Arial"/>
          <w:bCs/>
        </w:rPr>
      </w:pPr>
    </w:p>
    <w:p w:rsidR="006D65E3" w:rsidRDefault="006D65E3" w:rsidP="006D65E3">
      <w:pPr>
        <w:pStyle w:val="Corpotesto"/>
        <w:spacing w:after="120" w:line="240" w:lineRule="auto"/>
        <w:jc w:val="both"/>
        <w:rPr>
          <w:rFonts w:ascii="Arial" w:hAnsi="Arial" w:cs="Arial"/>
          <w:bCs/>
        </w:rPr>
        <w:sectPr w:rsidR="006D65E3" w:rsidSect="0055598E">
          <w:headerReference w:type="default" r:id="rId46"/>
          <w:pgSz w:w="11907" w:h="16840" w:code="9"/>
          <w:pgMar w:top="1537" w:right="851" w:bottom="680" w:left="851" w:header="567" w:footer="567" w:gutter="0"/>
          <w:cols w:space="720"/>
          <w:noEndnote/>
          <w:docGrid w:linePitch="272"/>
        </w:sectPr>
      </w:pPr>
    </w:p>
    <w:p w:rsidR="009C1925" w:rsidRPr="001969C1" w:rsidRDefault="009C1925" w:rsidP="009C1925">
      <w:pPr>
        <w:spacing w:before="0" w:after="120"/>
        <w:jc w:val="both"/>
        <w:rPr>
          <w:rFonts w:ascii="Arial" w:hAnsi="Arial" w:cs="Arial"/>
          <w:b/>
          <w:sz w:val="18"/>
          <w:szCs w:val="22"/>
        </w:rPr>
      </w:pPr>
    </w:p>
    <w:p w:rsidR="009C1925" w:rsidRPr="006C5085" w:rsidRDefault="009C1925" w:rsidP="009C1925">
      <w:pPr>
        <w:spacing w:before="0" w:after="120"/>
        <w:jc w:val="both"/>
        <w:rPr>
          <w:rFonts w:ascii="Arial" w:hAnsi="Arial" w:cs="Arial"/>
          <w:b/>
          <w:sz w:val="22"/>
          <w:szCs w:val="22"/>
        </w:rPr>
      </w:pPr>
      <w:r w:rsidRPr="006C5085">
        <w:rPr>
          <w:rFonts w:ascii="Arial" w:hAnsi="Arial" w:cs="Arial"/>
          <w:b/>
          <w:sz w:val="22"/>
          <w:szCs w:val="22"/>
        </w:rPr>
        <w:t>Introduzione e quadro normativo</w:t>
      </w:r>
    </w:p>
    <w:p w:rsidR="009C1925" w:rsidRPr="006C5085" w:rsidRDefault="009C1925" w:rsidP="009C1925">
      <w:pPr>
        <w:tabs>
          <w:tab w:val="left" w:pos="1843"/>
        </w:tabs>
        <w:spacing w:before="0" w:after="120"/>
        <w:jc w:val="both"/>
        <w:rPr>
          <w:rFonts w:ascii="Arial" w:hAnsi="Arial" w:cs="Arial"/>
          <w:szCs w:val="21"/>
          <w:highlight w:val="yellow"/>
        </w:rPr>
      </w:pPr>
      <w:r w:rsidRPr="006C5085">
        <w:rPr>
          <w:rFonts w:ascii="Arial" w:hAnsi="Arial" w:cs="Arial"/>
          <w:szCs w:val="21"/>
        </w:rPr>
        <w:t>Gli indici dei prezzi al consumo misurano le variazioni nel tempo dei prezzi di un insieme di prodotti (paniere) rappresentativo di tutti i beni e servizi destinati al consumo finale delle famiglie, acquistabili sul mercato attraverso transazioni monetarie (sono escluse le transazioni a titolo gratuito, gli autoconsumi, i fitti figurativi, ecc.). Gli indici dei prezzi al consumo sono calcolati utilizzando l’indice a catena del tipo Laspeyres, in cui sia il paniere dei prodotti sia il sistema dei pesi vengono aggiornati con cadenza annuale. In particolare, a dicembre di ogni anno, nel corso delle attività di ribasamento, si rinnova il paniere di prodotti e la struttura di ponderazione, ossia gli elementi di base per il calcolo degli indici dell’anno successivo.</w:t>
      </w:r>
    </w:p>
    <w:p w:rsidR="009C1925" w:rsidRPr="006C5085" w:rsidRDefault="009C1925" w:rsidP="009C1925">
      <w:pPr>
        <w:tabs>
          <w:tab w:val="left" w:pos="1843"/>
        </w:tabs>
        <w:spacing w:before="0" w:after="120"/>
        <w:jc w:val="both"/>
        <w:rPr>
          <w:rFonts w:ascii="Arial" w:hAnsi="Arial" w:cs="Arial"/>
          <w:szCs w:val="21"/>
        </w:rPr>
      </w:pPr>
      <w:r w:rsidRPr="006C5085">
        <w:rPr>
          <w:rFonts w:ascii="Arial" w:hAnsi="Arial" w:cs="Arial"/>
          <w:szCs w:val="21"/>
        </w:rPr>
        <w:t xml:space="preserve">Il sistema degli indici dei prezzi al consumo è articolato in tre diversi indicatori: </w:t>
      </w:r>
    </w:p>
    <w:p w:rsidR="009C1925" w:rsidRPr="006C5085" w:rsidRDefault="009C1925" w:rsidP="009C1925">
      <w:pPr>
        <w:numPr>
          <w:ilvl w:val="0"/>
          <w:numId w:val="1"/>
        </w:numPr>
        <w:tabs>
          <w:tab w:val="left" w:pos="284"/>
          <w:tab w:val="left" w:pos="851"/>
          <w:tab w:val="left" w:pos="1843"/>
          <w:tab w:val="left" w:pos="2127"/>
          <w:tab w:val="left" w:pos="2410"/>
        </w:tabs>
        <w:spacing w:before="0" w:after="120"/>
        <w:ind w:left="0" w:firstLine="0"/>
        <w:jc w:val="both"/>
        <w:rPr>
          <w:rFonts w:ascii="Arial" w:hAnsi="Arial" w:cs="Arial"/>
          <w:szCs w:val="21"/>
        </w:rPr>
      </w:pPr>
      <w:r w:rsidRPr="006C5085">
        <w:rPr>
          <w:rFonts w:ascii="Arial" w:hAnsi="Arial" w:cs="Arial"/>
          <w:b/>
          <w:bCs/>
          <w:szCs w:val="21"/>
        </w:rPr>
        <w:t xml:space="preserve">l’indice nazionale dei prezzi al consumo per l’intera collettività (NIC) </w:t>
      </w:r>
      <w:r w:rsidRPr="006C5085">
        <w:rPr>
          <w:rFonts w:ascii="Arial" w:hAnsi="Arial" w:cs="Arial"/>
          <w:szCs w:val="21"/>
        </w:rPr>
        <w:t xml:space="preserve">è utilizzato come misura dell’inflazione per l’intero sistema economico; in altre parole, si considera la collettività nazionale come un’unica grande famiglia di consumatori sebbene caratterizzata, al suo interno, da abitudini di spesa molto differenziate; </w:t>
      </w:r>
    </w:p>
    <w:p w:rsidR="009C1925" w:rsidRPr="006C5085" w:rsidRDefault="009C1925" w:rsidP="009C1925">
      <w:pPr>
        <w:numPr>
          <w:ilvl w:val="0"/>
          <w:numId w:val="1"/>
        </w:numPr>
        <w:tabs>
          <w:tab w:val="left" w:pos="284"/>
          <w:tab w:val="left" w:pos="851"/>
          <w:tab w:val="left" w:pos="1843"/>
          <w:tab w:val="left" w:pos="2127"/>
          <w:tab w:val="left" w:pos="2410"/>
        </w:tabs>
        <w:spacing w:before="0" w:after="120"/>
        <w:ind w:left="0" w:firstLine="0"/>
        <w:jc w:val="both"/>
        <w:rPr>
          <w:rFonts w:ascii="Arial" w:hAnsi="Arial" w:cs="Arial"/>
          <w:szCs w:val="21"/>
        </w:rPr>
      </w:pPr>
      <w:r w:rsidRPr="006C5085">
        <w:rPr>
          <w:rFonts w:ascii="Arial" w:hAnsi="Arial" w:cs="Arial"/>
          <w:b/>
          <w:bCs/>
          <w:szCs w:val="21"/>
        </w:rPr>
        <w:t xml:space="preserve">l’indice dei prezzi al consumo per le famiglie di operai e impiegati (FOI) </w:t>
      </w:r>
      <w:r w:rsidRPr="006C5085">
        <w:rPr>
          <w:rFonts w:ascii="Arial" w:hAnsi="Arial" w:cs="Arial"/>
          <w:szCs w:val="21"/>
        </w:rPr>
        <w:t xml:space="preserve">si riferisce ai consumi dell’insieme delle famiglie che fanno capo ad un lavoratore dipendente; è l’indice usato per adeguare periodicamente valori monetari, quali i canoni di affitto o gli assegni dovuti al coniuge separato; </w:t>
      </w:r>
    </w:p>
    <w:p w:rsidR="009C1925" w:rsidRPr="006C5085" w:rsidRDefault="009C1925" w:rsidP="009C1925">
      <w:pPr>
        <w:numPr>
          <w:ilvl w:val="0"/>
          <w:numId w:val="1"/>
        </w:numPr>
        <w:tabs>
          <w:tab w:val="left" w:pos="284"/>
          <w:tab w:val="left" w:pos="851"/>
          <w:tab w:val="left" w:pos="1843"/>
          <w:tab w:val="left" w:pos="2127"/>
          <w:tab w:val="left" w:pos="2410"/>
        </w:tabs>
        <w:spacing w:before="0" w:after="120"/>
        <w:ind w:left="0" w:firstLine="0"/>
        <w:jc w:val="both"/>
        <w:rPr>
          <w:rFonts w:ascii="Arial" w:hAnsi="Arial" w:cs="Arial"/>
          <w:szCs w:val="21"/>
        </w:rPr>
      </w:pPr>
      <w:r w:rsidRPr="006C5085">
        <w:rPr>
          <w:rFonts w:ascii="Arial" w:hAnsi="Arial" w:cs="Arial"/>
          <w:b/>
          <w:bCs/>
          <w:szCs w:val="21"/>
        </w:rPr>
        <w:t xml:space="preserve">l’indice dei prezzi al consumo armonizzato per i paesi dell’Unione europea (IPCA) </w:t>
      </w:r>
      <w:r w:rsidRPr="006C5085">
        <w:rPr>
          <w:rFonts w:ascii="Arial" w:hAnsi="Arial" w:cs="Arial"/>
          <w:iCs/>
          <w:szCs w:val="21"/>
        </w:rPr>
        <w:t>assicura una misura dell’inflazione comparabile tra i diversi paesi europei, attraverso l’adozione di un impianto concettuale, metodologico e tecnico condiviso; viene quindi assunto come indicatore per verificare la convergenza delle economie dei paesi membri dell’Unione europea; l’indice viene calcolato, pubblicato e inviato mensilmente dall’Istat a Eurostat secondo un calendario prefissato. Eurostat, a sua volta, diffonde gli indici armonizzati dei singoli paesi dell’Ue, sulla base dei quali elabora e diffonde l’indice sintetico europeo; l’indice IPCA è elaborato anche nella versione “a tassazione costante (IPCA-TC)”.</w:t>
      </w:r>
    </w:p>
    <w:p w:rsidR="009C1925" w:rsidRPr="006C5085" w:rsidRDefault="009C1925" w:rsidP="009C1925">
      <w:pPr>
        <w:spacing w:before="0" w:after="120"/>
        <w:jc w:val="both"/>
        <w:rPr>
          <w:rFonts w:ascii="Arial" w:hAnsi="Arial" w:cs="Arial"/>
          <w:szCs w:val="21"/>
        </w:rPr>
      </w:pPr>
      <w:r w:rsidRPr="006C5085">
        <w:rPr>
          <w:rFonts w:ascii="Arial" w:hAnsi="Arial" w:cs="Arial"/>
          <w:szCs w:val="21"/>
        </w:rPr>
        <w:t xml:space="preserve">Le serie degli indici nazionali NIC e FOI hanno base di riferimento 2015=100. Anche l’indice IPCA è calcolato e diffuso con base di riferimento 2015=100, in linea con gli altri Paesi dell’Unione europea e in conformità al </w:t>
      </w:r>
      <w:hyperlink r:id="rId47" w:history="1">
        <w:r w:rsidRPr="006C5085">
          <w:rPr>
            <w:rStyle w:val="Collegamentoipertestuale"/>
            <w:rFonts w:ascii="Arial" w:hAnsi="Arial" w:cs="Arial"/>
            <w:b/>
            <w:szCs w:val="21"/>
          </w:rPr>
          <w:t>Regolamento (UE) n. 2016/792</w:t>
        </w:r>
      </w:hyperlink>
      <w:r w:rsidRPr="006C5085">
        <w:rPr>
          <w:rFonts w:ascii="Arial" w:hAnsi="Arial" w:cs="Arial"/>
          <w:szCs w:val="21"/>
        </w:rPr>
        <w:t xml:space="preserve"> del Parlamento e del Consiglio</w:t>
      </w:r>
      <w:r w:rsidRPr="006C5085">
        <w:t xml:space="preserve"> </w:t>
      </w:r>
      <w:r w:rsidRPr="006C5085">
        <w:rPr>
          <w:rFonts w:ascii="Arial" w:hAnsi="Arial" w:cs="Arial"/>
          <w:szCs w:val="21"/>
        </w:rPr>
        <w:t xml:space="preserve">e con il </w:t>
      </w:r>
      <w:hyperlink r:id="rId48" w:history="1">
        <w:r w:rsidRPr="006C5085">
          <w:rPr>
            <w:rStyle w:val="Collegamentoipertestuale"/>
            <w:rFonts w:ascii="Arial" w:hAnsi="Arial" w:cs="Arial"/>
            <w:b/>
            <w:szCs w:val="21"/>
          </w:rPr>
          <w:t>Regolamento di Esecuzione (UE) n. 2020/1148</w:t>
        </w:r>
      </w:hyperlink>
      <w:r w:rsidRPr="006C5085">
        <w:rPr>
          <w:rFonts w:ascii="Arial" w:hAnsi="Arial" w:cs="Arial"/>
          <w:szCs w:val="21"/>
        </w:rPr>
        <w:t xml:space="preserve"> della Commissione del 31 luglio 2020.</w:t>
      </w:r>
    </w:p>
    <w:p w:rsidR="009C1925" w:rsidRPr="006C5085" w:rsidRDefault="009C1925" w:rsidP="009C1925">
      <w:pPr>
        <w:spacing w:before="0" w:after="120"/>
        <w:jc w:val="both"/>
        <w:rPr>
          <w:rFonts w:ascii="Arial" w:hAnsi="Arial" w:cs="Arial"/>
          <w:szCs w:val="21"/>
        </w:rPr>
      </w:pPr>
      <w:r w:rsidRPr="006C5085">
        <w:rPr>
          <w:rFonts w:ascii="Arial" w:hAnsi="Arial" w:cs="Arial"/>
          <w:szCs w:val="21"/>
        </w:rPr>
        <w:t>La rilevazione dei prezzi al consumo è disciplinata anche da diverse leggi e regolamenti che definiscono i soggetti coinvolti (l’Istituto nazionale di statistica e i Comuni) e le relative funzioni:</w:t>
      </w:r>
    </w:p>
    <w:p w:rsidR="009C1925" w:rsidRPr="006C5085" w:rsidRDefault="009C1925" w:rsidP="009C1925">
      <w:pPr>
        <w:numPr>
          <w:ilvl w:val="0"/>
          <w:numId w:val="5"/>
        </w:numPr>
        <w:spacing w:before="0" w:after="0"/>
        <w:ind w:left="426" w:hanging="284"/>
        <w:jc w:val="both"/>
        <w:rPr>
          <w:rFonts w:ascii="Arial" w:hAnsi="Arial" w:cs="Arial"/>
          <w:spacing w:val="-4"/>
          <w:szCs w:val="21"/>
        </w:rPr>
      </w:pPr>
      <w:r w:rsidRPr="006C5085">
        <w:rPr>
          <w:rFonts w:ascii="Arial" w:hAnsi="Arial" w:cs="Arial"/>
          <w:szCs w:val="21"/>
        </w:rPr>
        <w:t xml:space="preserve">il </w:t>
      </w:r>
      <w:r w:rsidRPr="006C5085">
        <w:rPr>
          <w:rFonts w:ascii="Arial" w:hAnsi="Arial" w:cs="Arial"/>
          <w:b/>
          <w:szCs w:val="21"/>
        </w:rPr>
        <w:t xml:space="preserve">Regio Decreto Legge </w:t>
      </w:r>
      <w:r w:rsidRPr="006C5085">
        <w:rPr>
          <w:rFonts w:ascii="Arial" w:hAnsi="Arial" w:cs="Arial"/>
          <w:b/>
          <w:iCs/>
          <w:szCs w:val="21"/>
        </w:rPr>
        <w:t>n. 222/1927</w:t>
      </w:r>
      <w:r w:rsidRPr="006C5085">
        <w:rPr>
          <w:rFonts w:ascii="Arial" w:hAnsi="Arial" w:cs="Arial"/>
          <w:szCs w:val="21"/>
        </w:rPr>
        <w:t>, che</w:t>
      </w:r>
      <w:r w:rsidRPr="006C5085">
        <w:rPr>
          <w:rFonts w:ascii="Arial" w:hAnsi="Arial" w:cs="Arial"/>
          <w:i/>
          <w:iCs/>
          <w:szCs w:val="21"/>
        </w:rPr>
        <w:t xml:space="preserve"> </w:t>
      </w:r>
      <w:r w:rsidRPr="006C5085">
        <w:rPr>
          <w:rFonts w:ascii="Arial" w:hAnsi="Arial" w:cs="Arial"/>
          <w:szCs w:val="21"/>
        </w:rPr>
        <w:t>conferisce l’incarico all’Istituto centrale di statistica di promuovere la formazione di indici del costo della vita in tutti i comuni con più di 100.000 abitanti e in altri, preferibilmente scelti tra i capoluoghi di provincia o tra quelli con più di 50.000 abitanti che abbiano uffici di statistica idonei;</w:t>
      </w:r>
    </w:p>
    <w:p w:rsidR="009C1925" w:rsidRPr="006C5085" w:rsidRDefault="009C1925" w:rsidP="009C1925">
      <w:pPr>
        <w:numPr>
          <w:ilvl w:val="0"/>
          <w:numId w:val="5"/>
        </w:numPr>
        <w:spacing w:before="0" w:after="0"/>
        <w:ind w:left="426" w:hanging="284"/>
        <w:jc w:val="both"/>
        <w:rPr>
          <w:rFonts w:ascii="Arial" w:hAnsi="Arial" w:cs="Arial"/>
          <w:spacing w:val="-4"/>
          <w:szCs w:val="21"/>
        </w:rPr>
      </w:pPr>
      <w:r w:rsidRPr="006C5085">
        <w:rPr>
          <w:rFonts w:ascii="Arial" w:hAnsi="Arial" w:cs="Arial"/>
          <w:color w:val="000000"/>
          <w:szCs w:val="21"/>
        </w:rPr>
        <w:t xml:space="preserve">la </w:t>
      </w:r>
      <w:r w:rsidRPr="006C5085">
        <w:rPr>
          <w:rFonts w:ascii="Arial" w:hAnsi="Arial" w:cs="Arial"/>
          <w:b/>
          <w:iCs/>
          <w:szCs w:val="21"/>
        </w:rPr>
        <w:t>Legge n. 621/1975</w:t>
      </w:r>
      <w:r w:rsidRPr="006C5085">
        <w:rPr>
          <w:rFonts w:ascii="Arial" w:hAnsi="Arial" w:cs="Arial"/>
          <w:i/>
          <w:iCs/>
          <w:szCs w:val="21"/>
        </w:rPr>
        <w:t xml:space="preserve"> </w:t>
      </w:r>
      <w:r w:rsidRPr="006C5085">
        <w:rPr>
          <w:rFonts w:ascii="Arial" w:hAnsi="Arial" w:cs="Arial"/>
          <w:color w:val="000000"/>
          <w:szCs w:val="21"/>
        </w:rPr>
        <w:t>modifica come di seguito il regio decreto relativamente ai comuni cui spetta l’obbligo di condurre l’indagine sui prezzi al consumo: “tra i comuni di cui all’art. 1 … devono intendersi compresi tutti i comuni capoluogo di provincia e quelli con oltre 30.000 abitanti che abbiano un ufficio di statistica idoneo”;</w:t>
      </w:r>
    </w:p>
    <w:p w:rsidR="009C1925" w:rsidRPr="006C5085" w:rsidRDefault="009C1925" w:rsidP="009C1925">
      <w:pPr>
        <w:numPr>
          <w:ilvl w:val="0"/>
          <w:numId w:val="5"/>
        </w:numPr>
        <w:spacing w:before="0" w:after="0"/>
        <w:ind w:left="426" w:hanging="284"/>
        <w:jc w:val="both"/>
        <w:rPr>
          <w:rFonts w:ascii="Arial" w:hAnsi="Arial" w:cs="Arial"/>
          <w:spacing w:val="-4"/>
          <w:szCs w:val="21"/>
        </w:rPr>
      </w:pPr>
      <w:r w:rsidRPr="006C5085">
        <w:rPr>
          <w:rFonts w:ascii="Arial" w:hAnsi="Arial" w:cs="Arial"/>
          <w:szCs w:val="21"/>
        </w:rPr>
        <w:t xml:space="preserve">il </w:t>
      </w:r>
      <w:hyperlink r:id="rId49" w:history="1">
        <w:r w:rsidRPr="006C5085">
          <w:rPr>
            <w:rStyle w:val="Collegamentoipertestuale"/>
            <w:rFonts w:ascii="Arial" w:hAnsi="Arial" w:cs="Arial"/>
            <w:b/>
            <w:szCs w:val="21"/>
          </w:rPr>
          <w:t>D.lgs n. 322/1989</w:t>
        </w:r>
      </w:hyperlink>
      <w:r w:rsidRPr="006C5085">
        <w:rPr>
          <w:rFonts w:ascii="Arial" w:hAnsi="Arial" w:cs="Arial"/>
          <w:color w:val="000000"/>
          <w:szCs w:val="21"/>
        </w:rPr>
        <w:t>,</w:t>
      </w:r>
      <w:r w:rsidRPr="006C5085">
        <w:rPr>
          <w:rFonts w:ascii="Arial" w:hAnsi="Arial" w:cs="Arial"/>
          <w:i/>
          <w:iCs/>
          <w:szCs w:val="21"/>
        </w:rPr>
        <w:t xml:space="preserve"> </w:t>
      </w:r>
      <w:r w:rsidRPr="006C5085">
        <w:rPr>
          <w:rFonts w:ascii="Arial" w:hAnsi="Arial" w:cs="Arial"/>
          <w:color w:val="000000"/>
          <w:szCs w:val="21"/>
        </w:rPr>
        <w:t>che disciplina le attività di rilevazione, elaborazione, analisi e diffusione e archiviazione dei dati statistici svolte dagli enti e organismi pubblici di informazione statistica, al fine di realizzare l’unità di indirizzo, l’omogeneità organizzativa e la razionalizzazione dei flussi a livello centrale e locale.</w:t>
      </w:r>
    </w:p>
    <w:p w:rsidR="009C1925" w:rsidRPr="002C252F" w:rsidRDefault="009C1925" w:rsidP="009C1925">
      <w:pPr>
        <w:spacing w:before="0" w:after="120"/>
        <w:jc w:val="both"/>
        <w:rPr>
          <w:rFonts w:ascii="Arial" w:hAnsi="Arial" w:cs="Arial"/>
          <w:b/>
          <w:sz w:val="18"/>
          <w:szCs w:val="22"/>
        </w:rPr>
      </w:pPr>
    </w:p>
    <w:p w:rsidR="009C1925" w:rsidRPr="002C252F" w:rsidRDefault="009C1925" w:rsidP="009C1925">
      <w:pPr>
        <w:spacing w:before="0" w:after="120"/>
        <w:jc w:val="both"/>
        <w:rPr>
          <w:rFonts w:ascii="Arial" w:hAnsi="Arial" w:cs="Arial"/>
          <w:b/>
          <w:sz w:val="22"/>
          <w:szCs w:val="22"/>
        </w:rPr>
      </w:pPr>
      <w:r w:rsidRPr="002C252F">
        <w:rPr>
          <w:rFonts w:ascii="Arial" w:hAnsi="Arial" w:cs="Arial"/>
          <w:b/>
          <w:sz w:val="22"/>
          <w:szCs w:val="22"/>
        </w:rPr>
        <w:t xml:space="preserve">Copertura dell’indagine e organizzazione della rilevazione </w:t>
      </w:r>
    </w:p>
    <w:p w:rsidR="009C1925" w:rsidRPr="002C252F" w:rsidRDefault="009C1925" w:rsidP="009C1925">
      <w:pPr>
        <w:spacing w:before="0" w:after="80"/>
        <w:jc w:val="both"/>
        <w:rPr>
          <w:rFonts w:ascii="Arial" w:hAnsi="Arial" w:cs="Arial"/>
          <w:szCs w:val="21"/>
        </w:rPr>
      </w:pPr>
      <w:r w:rsidRPr="002C252F">
        <w:rPr>
          <w:rFonts w:ascii="Arial" w:hAnsi="Arial" w:cs="Arial"/>
          <w:szCs w:val="21"/>
        </w:rPr>
        <w:t xml:space="preserve">I dati che concorrono alla costruzione degli indici mensili dei prezzi al consumo sono raccolti attraverso l’utilizzo di una pluralità di fonti: la </w:t>
      </w:r>
      <w:r w:rsidRPr="002C252F">
        <w:rPr>
          <w:rFonts w:ascii="Arial" w:hAnsi="Arial" w:cs="Arial"/>
          <w:i/>
          <w:szCs w:val="21"/>
        </w:rPr>
        <w:t>rilevazione territoriale</w:t>
      </w:r>
      <w:r w:rsidRPr="002C252F">
        <w:rPr>
          <w:rFonts w:ascii="Arial" w:hAnsi="Arial" w:cs="Arial"/>
          <w:szCs w:val="21"/>
        </w:rPr>
        <w:t xml:space="preserve">, condotta dagli Uffici comunali di statistica (UCS); la </w:t>
      </w:r>
      <w:r w:rsidRPr="002C252F">
        <w:rPr>
          <w:rFonts w:ascii="Arial" w:hAnsi="Arial" w:cs="Arial"/>
          <w:i/>
          <w:szCs w:val="21"/>
        </w:rPr>
        <w:t>rilevazione centralizzata</w:t>
      </w:r>
      <w:r w:rsidRPr="002C252F">
        <w:rPr>
          <w:rFonts w:ascii="Arial" w:hAnsi="Arial" w:cs="Arial"/>
          <w:szCs w:val="21"/>
        </w:rPr>
        <w:t xml:space="preserve">, condotta dall’Istat direttamente o attraverso la collaborazione con grandi fornitori di dati; gli scanner data provenienti dalla Grande Distribuzione Organizzata (GDO); la fonte amministrativa. </w:t>
      </w:r>
    </w:p>
    <w:p w:rsidR="009C1925" w:rsidRDefault="009C1925" w:rsidP="009C1925">
      <w:pPr>
        <w:jc w:val="both"/>
        <w:rPr>
          <w:rFonts w:ascii="Arial" w:hAnsi="Arial" w:cs="Arial"/>
          <w:szCs w:val="21"/>
        </w:rPr>
      </w:pPr>
      <w:r w:rsidRPr="000C2436">
        <w:rPr>
          <w:rFonts w:ascii="Arial" w:hAnsi="Arial" w:cs="Arial"/>
          <w:szCs w:val="21"/>
        </w:rPr>
        <w:t>Nel 2023, i prodotti rilevati in modo esclusivo mediante la rilevazione territoriale ammontano, in termini di peso, a circa il 51,3% del paniere, contro il 24,8% dei beni e servizi a rilevazione esclusivamente centralizzata. Tramite l’acquisizione dei dati scanner dalla GDO vengono rilevati tutti i prodotti cosiddetti grocery (beni alimentari confezionati e beni per la cura della casa e della persona) e alcuni prodotti relativi alla frutta e verdura fresca a peso imposto, che rappresentano il 13,6% in termini di peso. A queste tre modalità si aggiunge l’utilizzo delle fonti a</w:t>
      </w:r>
      <w:r>
        <w:rPr>
          <w:rFonts w:ascii="Arial" w:hAnsi="Arial" w:cs="Arial"/>
          <w:szCs w:val="21"/>
        </w:rPr>
        <w:t>mministrative: la base dati MIMIT</w:t>
      </w:r>
      <w:r w:rsidRPr="000C2436">
        <w:rPr>
          <w:rFonts w:ascii="Arial" w:hAnsi="Arial" w:cs="Arial"/>
          <w:szCs w:val="21"/>
        </w:rPr>
        <w:t xml:space="preserve"> dei prezzi dei carburanti, che pesa per il 5,8% sul paniere, i dati forniti dall’Osservatorio immobiliare dell’Agenzia delle entrate per la rilevazione dei prezzi degli Affitti reali per abitazioni di privati che pesa per il 2,6% e l’Agenzia delle dogane e dei monopoli per la rilevazione dei tabacchi che incide sul paniere per il 1,9%.</w:t>
      </w:r>
    </w:p>
    <w:p w:rsidR="009C1925" w:rsidRDefault="009C1925" w:rsidP="009C1925">
      <w:pPr>
        <w:tabs>
          <w:tab w:val="left" w:pos="5812"/>
        </w:tabs>
        <w:spacing w:before="0" w:after="120"/>
        <w:jc w:val="both"/>
        <w:rPr>
          <w:rFonts w:ascii="Arial" w:hAnsi="Arial" w:cs="Arial"/>
          <w:szCs w:val="21"/>
        </w:rPr>
      </w:pPr>
    </w:p>
    <w:p w:rsidR="009C1925" w:rsidRDefault="009C1925" w:rsidP="009C1925">
      <w:pPr>
        <w:tabs>
          <w:tab w:val="left" w:pos="5812"/>
        </w:tabs>
        <w:spacing w:before="0" w:after="120"/>
        <w:jc w:val="both"/>
        <w:rPr>
          <w:rFonts w:ascii="Arial" w:hAnsi="Arial" w:cs="Arial"/>
        </w:rPr>
      </w:pPr>
      <w:r w:rsidRPr="009F011E">
        <w:rPr>
          <w:rFonts w:ascii="Arial" w:hAnsi="Arial" w:cs="Arial"/>
          <w:szCs w:val="21"/>
        </w:rPr>
        <w:lastRenderedPageBreak/>
        <w:t>Nel 2023 i comuni che concorrono al calcolo degli indici per tutti gli aggregati di prodotto del paniere sono 79 (di cui 19 capoluoghi di regione, 59 capoluoghi di provincia</w:t>
      </w:r>
      <w:r w:rsidRPr="009F011E">
        <w:rPr>
          <w:rStyle w:val="Rimandonotaapidipagina"/>
          <w:rFonts w:ascii="Arial" w:hAnsi="Arial" w:cs="Arial"/>
          <w:szCs w:val="21"/>
        </w:rPr>
        <w:footnoteReference w:id="5"/>
      </w:r>
      <w:r w:rsidRPr="009F011E">
        <w:rPr>
          <w:rFonts w:ascii="Arial" w:hAnsi="Arial" w:cs="Arial"/>
          <w:szCs w:val="21"/>
        </w:rPr>
        <w:t>, 1 comune non capoluogo con più di 30.000 abitanti</w:t>
      </w:r>
      <w:r w:rsidRPr="009F011E">
        <w:rPr>
          <w:rStyle w:val="Rimandonotaapidipagina"/>
          <w:rFonts w:ascii="Arial" w:hAnsi="Arial" w:cs="Arial"/>
          <w:szCs w:val="21"/>
        </w:rPr>
        <w:footnoteReference w:id="6"/>
      </w:r>
      <w:r w:rsidRPr="009F011E">
        <w:rPr>
          <w:rFonts w:ascii="Arial" w:hAnsi="Arial" w:cs="Arial"/>
          <w:szCs w:val="21"/>
        </w:rPr>
        <w:t>); sono invece 12 i comuni</w:t>
      </w:r>
      <w:r w:rsidRPr="009F011E">
        <w:rPr>
          <w:rStyle w:val="Rimandonotaapidipagina"/>
          <w:rFonts w:ascii="Arial" w:hAnsi="Arial"/>
          <w:szCs w:val="21"/>
        </w:rPr>
        <w:footnoteReference w:id="7"/>
      </w:r>
      <w:r w:rsidRPr="009F011E">
        <w:rPr>
          <w:rFonts w:ascii="Arial" w:hAnsi="Arial" w:cs="Arial"/>
          <w:szCs w:val="21"/>
        </w:rPr>
        <w:t xml:space="preserve"> che partecipano al calcolo degli indici per un sottoinsieme di prodotti (</w:t>
      </w:r>
      <w:r w:rsidRPr="009F011E">
        <w:rPr>
          <w:rFonts w:ascii="Arial" w:hAnsi="Arial" w:cs="Arial"/>
        </w:rPr>
        <w:t xml:space="preserve">tariffe locali quali fornitura acqua, raccolta rifiuti, raccolta acque reflue, </w:t>
      </w:r>
      <w:r>
        <w:rPr>
          <w:rFonts w:ascii="Arial" w:hAnsi="Arial" w:cs="Arial"/>
        </w:rPr>
        <w:t xml:space="preserve">trasporti urbani, taxi, mense </w:t>
      </w:r>
      <w:r w:rsidRPr="009F011E">
        <w:rPr>
          <w:rFonts w:ascii="Arial" w:hAnsi="Arial" w:cs="Arial"/>
        </w:rPr>
        <w:t>scolastiche, nido d’infanzia comunale, e altri servizi come manifestazioni sportive, cinema, spettacoli teatrali, istruzione secondaria superiore, mense universitarie, ecc.).</w:t>
      </w:r>
    </w:p>
    <w:p w:rsidR="009C1925" w:rsidRPr="009F011E" w:rsidRDefault="009C1925" w:rsidP="009C1925">
      <w:pPr>
        <w:tabs>
          <w:tab w:val="left" w:pos="5812"/>
        </w:tabs>
        <w:spacing w:before="0" w:after="120"/>
        <w:jc w:val="both"/>
        <w:rPr>
          <w:rFonts w:ascii="Arial" w:hAnsi="Arial" w:cs="Arial"/>
        </w:rPr>
      </w:pPr>
      <w:r w:rsidRPr="000C2436">
        <w:rPr>
          <w:rFonts w:ascii="Arial" w:hAnsi="Arial" w:cs="Arial"/>
        </w:rPr>
        <w:t>Nei 91 comuni (79 per il paniere completo e 12 per un sottoinsieme di prodotti) che partecipano nel 2023 alla rilevazione dei prezzi al consumo si contano circa 44mila unità di rilevazione (tra punti vendita, imprese e istituzioni) dove gli Uffici comunali di statistica monitorano il prezzo di almeno un prodotto; a queste si aggiungono circa 2.700 abitazioni per la rilevazione dei canoni di affitto di abitazioni di Enti pubblici</w:t>
      </w:r>
      <w:r w:rsidRPr="009F011E">
        <w:rPr>
          <w:rStyle w:val="Rimandonotaapidipagina"/>
          <w:rFonts w:ascii="Arial" w:hAnsi="Arial"/>
          <w:szCs w:val="21"/>
        </w:rPr>
        <w:footnoteReference w:id="8"/>
      </w:r>
      <w:r w:rsidRPr="009F011E">
        <w:rPr>
          <w:rFonts w:ascii="Arial" w:hAnsi="Arial" w:cs="Arial"/>
          <w:szCs w:val="21"/>
        </w:rPr>
        <w:t>.</w:t>
      </w:r>
      <w:r>
        <w:rPr>
          <w:rFonts w:ascii="Arial" w:hAnsi="Arial" w:cs="Arial"/>
          <w:szCs w:val="21"/>
        </w:rPr>
        <w:t xml:space="preserve"> </w:t>
      </w:r>
      <w:r w:rsidRPr="000C2436">
        <w:rPr>
          <w:rFonts w:ascii="Arial" w:hAnsi="Arial" w:cs="Arial"/>
        </w:rPr>
        <w:t>Nel complesso sono circa 398mila le quotazioni che contribuiscono al calcolo dell’inflazione, inviate mensilmente all’Istat dagli Uffici comunali di statistica (erano 392mila del 2022). A seguito dell’aggiornamento annuale dei piani di rilevazione comunali sono nuove il 10,2% delle attuali referenze di prodotto (4,9% nel 2022): di queste, il 4,2% sono referenze di prodotti nuovi mentre nel restante 6,0% si tratta di referenze di prodotti già presenti nel paniere dello scorso anno.</w:t>
      </w:r>
    </w:p>
    <w:p w:rsidR="009C1925" w:rsidRDefault="009C1925" w:rsidP="009C1925">
      <w:pPr>
        <w:widowControl/>
        <w:overflowPunct/>
        <w:spacing w:before="120" w:after="60"/>
        <w:jc w:val="both"/>
        <w:rPr>
          <w:rFonts w:ascii="Arial" w:hAnsi="Arial" w:cs="Arial"/>
        </w:rPr>
      </w:pPr>
      <w:r w:rsidRPr="009F011E">
        <w:rPr>
          <w:rFonts w:ascii="Arial" w:hAnsi="Arial" w:cs="Arial"/>
        </w:rPr>
        <w:t xml:space="preserve">Nel 2023, </w:t>
      </w:r>
      <w:r w:rsidRPr="000C2436">
        <w:rPr>
          <w:rFonts w:ascii="Arial" w:hAnsi="Arial" w:cs="Arial"/>
        </w:rPr>
        <w:t>quasi 189mila le quotazioni di prezzo raccolte ogni me</w:t>
      </w:r>
      <w:r>
        <w:rPr>
          <w:rFonts w:ascii="Arial" w:hAnsi="Arial" w:cs="Arial"/>
        </w:rPr>
        <w:t>se centralmente dall’Istat,</w:t>
      </w:r>
      <w:r w:rsidRPr="009F011E">
        <w:t xml:space="preserve"> </w:t>
      </w:r>
      <w:r w:rsidRPr="009F011E">
        <w:rPr>
          <w:rFonts w:ascii="Arial" w:hAnsi="Arial" w:cs="Arial"/>
        </w:rPr>
        <w:t xml:space="preserve">a cui si aggiungono, dal </w:t>
      </w:r>
      <w:r w:rsidRPr="006B3761">
        <w:rPr>
          <w:rFonts w:ascii="Arial" w:hAnsi="Arial" w:cs="Arial"/>
        </w:rPr>
        <w:t xml:space="preserve">2023, </w:t>
      </w:r>
      <w:r w:rsidRPr="000C2436">
        <w:rPr>
          <w:rFonts w:ascii="Arial" w:hAnsi="Arial" w:cs="Arial"/>
          <w:kern w:val="0"/>
        </w:rPr>
        <w:t xml:space="preserve">180 milioni di dati utilizzati, rilevati tramite tecniche di scraping relativamente al trasporto aereo passeggeri. </w:t>
      </w:r>
      <w:r w:rsidRPr="009F011E">
        <w:rPr>
          <w:rFonts w:ascii="Arial" w:hAnsi="Arial" w:cs="Arial"/>
          <w:szCs w:val="21"/>
        </w:rPr>
        <w:t>Inoltre</w:t>
      </w:r>
      <w:r>
        <w:rPr>
          <w:rFonts w:ascii="Arial" w:hAnsi="Arial" w:cs="Arial"/>
          <w:szCs w:val="21"/>
        </w:rPr>
        <w:t xml:space="preserve"> </w:t>
      </w:r>
      <w:r w:rsidRPr="009F011E">
        <w:rPr>
          <w:rFonts w:ascii="Arial" w:hAnsi="Arial" w:cs="Arial"/>
          <w:szCs w:val="21"/>
        </w:rPr>
        <w:t xml:space="preserve">circa 400 </w:t>
      </w:r>
      <w:r>
        <w:rPr>
          <w:rFonts w:ascii="Arial" w:hAnsi="Arial" w:cs="Arial"/>
          <w:szCs w:val="21"/>
        </w:rPr>
        <w:t xml:space="preserve">vengono </w:t>
      </w:r>
      <w:r w:rsidRPr="009F011E">
        <w:rPr>
          <w:rFonts w:ascii="Arial" w:hAnsi="Arial" w:cs="Arial"/>
          <w:szCs w:val="21"/>
        </w:rPr>
        <w:t>rilevate mediante indagine diretta, condotta presso un campione di imprese di assicurazione le quali forniscono i prezzi relativi a</w:t>
      </w:r>
      <w:r w:rsidRPr="009F011E">
        <w:rPr>
          <w:rFonts w:ascii="Arial" w:hAnsi="Arial" w:cs="Arial"/>
        </w:rPr>
        <w:t xml:space="preserve"> tre profili assicurativi riconducibili alla copertura dei rischi contro incendio, furto e danneggiament</w:t>
      </w:r>
      <w:r>
        <w:rPr>
          <w:rFonts w:ascii="Arial" w:hAnsi="Arial" w:cs="Arial"/>
        </w:rPr>
        <w:t xml:space="preserve">o del contenuto dell’abitazione e </w:t>
      </w:r>
      <w:r w:rsidRPr="009F011E">
        <w:rPr>
          <w:rFonts w:ascii="Arial" w:hAnsi="Arial" w:cs="Arial"/>
        </w:rPr>
        <w:t xml:space="preserve">oltre 700 rilevate da fonti interne. </w:t>
      </w:r>
    </w:p>
    <w:p w:rsidR="009C1925" w:rsidRDefault="009C1925" w:rsidP="009C1925">
      <w:pPr>
        <w:widowControl/>
        <w:overflowPunct/>
        <w:spacing w:before="0" w:after="120"/>
        <w:jc w:val="both"/>
        <w:rPr>
          <w:rFonts w:ascii="Arial" w:hAnsi="Arial" w:cs="Arial"/>
          <w:szCs w:val="21"/>
        </w:rPr>
      </w:pPr>
      <w:r w:rsidRPr="000C2436">
        <w:rPr>
          <w:rFonts w:ascii="Arial" w:hAnsi="Arial" w:cs="Arial"/>
          <w:szCs w:val="21"/>
        </w:rPr>
        <w:t>La rilevazione dei prezzi al consumo tramite scanner data interessa cinque tipologie distributive della Grande Distribuzione Organizzata: ipermercati, supermercati, discount, piccole superfici di vendita (note anche come “libero servizio”, punti vendita con superficie compresa tra i 100 e i 400 mq) e specialist drug (specialisti dei prodotti per la cura della casa e della persona). Nel complesso, la rilevazione dei prezzi tramite scanner data interessa 103 aggregati di prodotto, appartenenti a sei divisioni della ECOICOP (Prodotti alimentari e bevande analcoliche, Bevande alcoliche e tabacchi, Mobili articoli e servizi per la casa, Servizi sanitari e spese per la salute, Ricreazione spettacoli e cultura, Altri beni e servizi). A partire da gennaio 2023, nell’insieme dei prodotti alimentari, vengono rilevati tramite scanner data ulteriori 19 aggregati di prodotto relativi ai formaggi stagionati confezionati e alla frutta e vegetali freschi (limitatamente ai prodotti non stagionali venduti in confezioni a peso fisso) prima rilevati con la rilevazione tradizionale dagli Uffici Comunali di Statistica.</w:t>
      </w:r>
      <w:r>
        <w:rPr>
          <w:rFonts w:ascii="Arial" w:hAnsi="Arial" w:cs="Arial"/>
          <w:szCs w:val="21"/>
        </w:rPr>
        <w:t xml:space="preserve"> </w:t>
      </w:r>
      <w:r w:rsidRPr="000C2436">
        <w:rPr>
          <w:rFonts w:ascii="Arial" w:hAnsi="Arial" w:cs="Arial"/>
          <w:szCs w:val="21"/>
        </w:rPr>
        <w:t>L’Istat acquisisce i dati settimanali di fatturato e quantità distinti per punto vendita e per GTIN (codice a barre), per singolo punto vendita di 19 grandi gruppi della GDO in Italia per tutte le 107 province del territorio nazionale. Il campione dei punti vendita è rappresentativo di tutto l’universo delle cinque tipologie distributive della GDO e comprende circa 4.300 punti vendita distribuiti sull’intero territorio nazionale.</w:t>
      </w:r>
      <w:r>
        <w:rPr>
          <w:rFonts w:ascii="Arial" w:hAnsi="Arial" w:cs="Arial"/>
          <w:szCs w:val="21"/>
        </w:rPr>
        <w:t xml:space="preserve"> </w:t>
      </w:r>
      <w:r w:rsidRPr="000C2436">
        <w:rPr>
          <w:rFonts w:ascii="Arial" w:hAnsi="Arial" w:cs="Arial"/>
          <w:szCs w:val="21"/>
        </w:rPr>
        <w:t>L’individuazione delle referenze che entrano nel calcolo dell’indice avviene tramite i codici a barre (GTIN), che identificano univocamente i prodotti sull’intero territorio nazionale. Il valore unitario del prezzo per ciascun codice a barre è la media dei prezzi effettivamente pagati dai consumatori per quei prodotti.</w:t>
      </w:r>
      <w:r>
        <w:rPr>
          <w:rFonts w:ascii="Arial" w:hAnsi="Arial" w:cs="Arial"/>
          <w:szCs w:val="21"/>
        </w:rPr>
        <w:t xml:space="preserve"> </w:t>
      </w:r>
      <w:r w:rsidRPr="000C2436">
        <w:rPr>
          <w:rFonts w:ascii="Arial" w:hAnsi="Arial" w:cs="Arial"/>
          <w:szCs w:val="21"/>
        </w:rPr>
        <w:t xml:space="preserve">Per la selezione delle referenze, l’Istat utilizza un approccio di tipo </w:t>
      </w:r>
      <w:r w:rsidRPr="000C2436">
        <w:rPr>
          <w:rFonts w:ascii="Arial" w:hAnsi="Arial" w:cs="Arial"/>
          <w:i/>
          <w:szCs w:val="21"/>
        </w:rPr>
        <w:t>dinamico</w:t>
      </w:r>
      <w:r w:rsidRPr="000C2436">
        <w:rPr>
          <w:rFonts w:ascii="Arial" w:hAnsi="Arial" w:cs="Arial"/>
          <w:szCs w:val="21"/>
        </w:rPr>
        <w:t xml:space="preserve"> che implica una selezione del campione di referenze in ciascun mese. L’approccio dinamico permette di utilizzare l’informazione proveniente dall’universo dei GTIN venduti in ciascun punto vendita e di seguire l’evoluzione dei prodotti che entrano ed escono dal mercato nei dodici mesi dell’anno.</w:t>
      </w:r>
      <w:r>
        <w:rPr>
          <w:rFonts w:ascii="Arial" w:hAnsi="Arial" w:cs="Arial"/>
          <w:szCs w:val="21"/>
        </w:rPr>
        <w:t xml:space="preserve"> </w:t>
      </w:r>
      <w:r w:rsidRPr="000C2436">
        <w:rPr>
          <w:rFonts w:ascii="Arial" w:hAnsi="Arial" w:cs="Arial"/>
          <w:szCs w:val="21"/>
        </w:rPr>
        <w:t>Nel complesso, per ciascuna settimana, si utilizzano per il calcolo degli indici oltre 20 milioni di referenze il cui prezzo settimanale viene calcolato sulla base dei dati di fatturato e quantità vendute in ciascun punto vendita e relative a oltre 260mila GTIN distinti. A seguito della selezione dinamica contribuiscono quindi mediamente ogni mese al calcolo degli indici oltre 12 milioni di referenze, per un totale di circa 33 milioni di quotazioni di prezzo.</w:t>
      </w:r>
    </w:p>
    <w:p w:rsidR="009C1925" w:rsidRPr="00747050" w:rsidRDefault="009C1925" w:rsidP="009C1925">
      <w:pPr>
        <w:widowControl/>
        <w:overflowPunct/>
        <w:spacing w:before="0" w:after="120"/>
        <w:jc w:val="both"/>
        <w:rPr>
          <w:rFonts w:ascii="Arial" w:hAnsi="Arial" w:cs="Arial"/>
          <w:kern w:val="0"/>
        </w:rPr>
      </w:pPr>
      <w:r w:rsidRPr="000C2436">
        <w:rPr>
          <w:rFonts w:ascii="Arial" w:hAnsi="Arial" w:cs="Arial"/>
          <w:kern w:val="0"/>
        </w:rPr>
        <w:t>Le rilevazioni di fonte amministrativa per il calcolo dei prezzi al consumo sono diverse. Tra queste rientrano quelle relative ai Tabacchi i cui dati sono forniti dall’Agenzia delle dogane e dei monopoli (ADM). Gli indici calcolati sono relativi a tre aggregati di prodotto: Sigarette, Sigari e sigaretti e Altri tabacchi (trinciati per sigarette, tabacco da fiuto e da mastico, altri tabacchi da fumo, tabacchi da inalazione). Il campione e il sistema di ponderazione sono ottenuti sulla base del valore annuo delle vendite dei principali tabacchi lavorati in commercio.</w:t>
      </w:r>
    </w:p>
    <w:p w:rsidR="009C1925" w:rsidRPr="000C2436" w:rsidRDefault="009C1925" w:rsidP="009C1925">
      <w:pPr>
        <w:widowControl/>
        <w:overflowPunct/>
        <w:spacing w:before="0" w:after="120"/>
        <w:jc w:val="both"/>
        <w:rPr>
          <w:rFonts w:ascii="Arial" w:hAnsi="Arial" w:cs="Arial"/>
          <w:kern w:val="0"/>
        </w:rPr>
      </w:pPr>
      <w:r w:rsidRPr="00747050">
        <w:rPr>
          <w:rFonts w:ascii="Arial" w:hAnsi="Arial" w:cs="Arial"/>
          <w:kern w:val="0"/>
        </w:rPr>
        <w:t xml:space="preserve">Dal 2017 anche per i prezzi al consumo dei carburanti si utilizzano dati di fonte amministrativa, grazie a un accordo siglato con il </w:t>
      </w:r>
      <w:r w:rsidRPr="00A401CE">
        <w:rPr>
          <w:rFonts w:ascii="Arial" w:hAnsi="Arial" w:cs="Arial"/>
          <w:kern w:val="0"/>
        </w:rPr>
        <w:t>Ministero delle imprese e del made in Italy</w:t>
      </w:r>
      <w:r>
        <w:rPr>
          <w:rFonts w:ascii="Arial" w:hAnsi="Arial" w:cs="Arial"/>
          <w:kern w:val="0"/>
        </w:rPr>
        <w:t xml:space="preserve"> (MIMIT</w:t>
      </w:r>
      <w:r w:rsidRPr="00747050">
        <w:rPr>
          <w:rFonts w:ascii="Arial" w:hAnsi="Arial" w:cs="Arial"/>
          <w:kern w:val="0"/>
        </w:rPr>
        <w:t>) che, in ottemperanza alla normativa vigente, raccoglie i dat</w:t>
      </w:r>
      <w:r>
        <w:rPr>
          <w:rFonts w:ascii="Arial" w:hAnsi="Arial" w:cs="Arial"/>
          <w:kern w:val="0"/>
        </w:rPr>
        <w:t>i sui prezzi di questi prodotti</w:t>
      </w:r>
      <w:r w:rsidRPr="00B41AD2">
        <w:rPr>
          <w:rStyle w:val="Rimandonotaapidipagina"/>
          <w:rFonts w:ascii="Arial" w:hAnsi="Arial" w:cs="Arial"/>
        </w:rPr>
        <w:footnoteReference w:id="9"/>
      </w:r>
      <w:r w:rsidRPr="00747050">
        <w:rPr>
          <w:rFonts w:ascii="Arial" w:hAnsi="Arial" w:cs="Arial"/>
          <w:kern w:val="0"/>
        </w:rPr>
        <w:t xml:space="preserve">. </w:t>
      </w:r>
      <w:r w:rsidRPr="000C2436">
        <w:rPr>
          <w:rFonts w:ascii="Arial" w:hAnsi="Arial" w:cs="Arial"/>
          <w:kern w:val="0"/>
        </w:rPr>
        <w:t xml:space="preserve">In particolare, nel 2023, gli indici dei prezzi dei carburanti sono calcolati attraverso l’elaborazione di oltre 167mila osservazioni di prezzo al mese, provenienti da quasi 16.500 impianti, pari </w:t>
      </w:r>
      <w:r w:rsidRPr="000C2436">
        <w:rPr>
          <w:rFonts w:ascii="Arial" w:hAnsi="Arial" w:cs="Arial"/>
          <w:kern w:val="0"/>
        </w:rPr>
        <w:lastRenderedPageBreak/>
        <w:t>al 74% di quelli attivi e prese</w:t>
      </w:r>
      <w:r>
        <w:rPr>
          <w:rFonts w:ascii="Arial" w:hAnsi="Arial" w:cs="Arial"/>
          <w:kern w:val="0"/>
        </w:rPr>
        <w:t>nti nella banca dati del MIMIT</w:t>
      </w:r>
      <w:r w:rsidRPr="000C2436">
        <w:rPr>
          <w:rFonts w:ascii="Arial" w:hAnsi="Arial" w:cs="Arial"/>
          <w:kern w:val="0"/>
        </w:rPr>
        <w:t>. La copertura dei distributori di carburanti per area territoriale comprende quasi 4.000 impianti nel Nord-Ovest, quasi 3.500 nel Nord-Est, circa 3.600 nel Centro, oltre 3.700 al Sud e circa 1.750 nelle Isole.</w:t>
      </w:r>
      <w:r>
        <w:rPr>
          <w:rFonts w:ascii="Arial" w:hAnsi="Arial" w:cs="Arial"/>
          <w:kern w:val="0"/>
        </w:rPr>
        <w:t xml:space="preserve"> </w:t>
      </w:r>
      <w:r w:rsidRPr="000C2436">
        <w:rPr>
          <w:rFonts w:ascii="Arial" w:hAnsi="Arial" w:cs="Arial"/>
          <w:kern w:val="0"/>
        </w:rPr>
        <w:t xml:space="preserve">I dati del </w:t>
      </w:r>
      <w:r w:rsidRPr="00A401CE">
        <w:rPr>
          <w:rFonts w:ascii="Arial" w:hAnsi="Arial" w:cs="Arial"/>
          <w:kern w:val="0"/>
        </w:rPr>
        <w:t>Ministero delle imprese e del made in Italy</w:t>
      </w:r>
      <w:r w:rsidRPr="000C2436">
        <w:rPr>
          <w:rFonts w:ascii="Arial" w:hAnsi="Arial" w:cs="Arial"/>
          <w:kern w:val="0"/>
        </w:rPr>
        <w:t xml:space="preserve"> coprono i quattro aggregati di prodotto riferiti ai carburanti per autotrazione che compongono il paniere: Benzina, Gasolio per mezzi di trasporto, Gas GPL e Gas metano per autotrazione.</w:t>
      </w:r>
    </w:p>
    <w:p w:rsidR="009C1925" w:rsidRDefault="009C1925" w:rsidP="009C1925">
      <w:pPr>
        <w:widowControl/>
        <w:overflowPunct/>
        <w:spacing w:before="0" w:after="120"/>
        <w:jc w:val="both"/>
        <w:rPr>
          <w:rFonts w:ascii="Arial" w:hAnsi="Arial" w:cs="Arial"/>
          <w:kern w:val="0"/>
        </w:rPr>
      </w:pPr>
      <w:r w:rsidRPr="000C2436">
        <w:rPr>
          <w:rFonts w:ascii="Arial" w:hAnsi="Arial" w:cs="Arial"/>
          <w:kern w:val="0"/>
        </w:rPr>
        <w:t>Infine, dal 2022 la rilevazione sui canoni di affitto per le abitazioni di proprietà privata viene effettuata dall’Istat utilizzando la base dati delle locazioni immobiliari dell’Osservatorio del mercato immobiliare dell’Agenzia delle entrate. In seguito alla operazione di validazione dei dati, sono circa un milione e mezzo i canoni di affitto utilizzabili per il calcolo dell’indice mensile.</w:t>
      </w:r>
    </w:p>
    <w:p w:rsidR="009C1925" w:rsidRPr="00B929DD" w:rsidRDefault="009C1925" w:rsidP="009C1925">
      <w:pPr>
        <w:widowControl/>
        <w:overflowPunct/>
        <w:spacing w:before="0" w:after="120"/>
        <w:jc w:val="both"/>
        <w:rPr>
          <w:rFonts w:ascii="Arial" w:hAnsi="Arial" w:cs="Arial"/>
          <w:kern w:val="0"/>
        </w:rPr>
      </w:pPr>
    </w:p>
    <w:p w:rsidR="009C1925" w:rsidRPr="00C8504B" w:rsidRDefault="009C1925" w:rsidP="009C1925">
      <w:pPr>
        <w:spacing w:before="0" w:after="120"/>
        <w:jc w:val="both"/>
        <w:rPr>
          <w:rFonts w:ascii="Arial" w:hAnsi="Arial" w:cs="Arial"/>
          <w:b/>
          <w:sz w:val="6"/>
          <w:szCs w:val="6"/>
        </w:rPr>
      </w:pPr>
      <w:r w:rsidRPr="00C8504B">
        <w:rPr>
          <w:rFonts w:ascii="Arial" w:hAnsi="Arial" w:cs="Arial"/>
          <w:b/>
          <w:sz w:val="22"/>
          <w:szCs w:val="22"/>
        </w:rPr>
        <w:t>Metodologia di calcolo degli indici e delle variazioni</w:t>
      </w:r>
    </w:p>
    <w:p w:rsidR="009C1925" w:rsidRPr="00C8504B" w:rsidRDefault="009C1925" w:rsidP="009C1925">
      <w:pPr>
        <w:spacing w:before="0" w:after="120"/>
        <w:jc w:val="both"/>
        <w:rPr>
          <w:rFonts w:ascii="Arial" w:hAnsi="Arial" w:cs="Arial"/>
          <w:b/>
          <w:sz w:val="18"/>
          <w:szCs w:val="18"/>
        </w:rPr>
      </w:pPr>
      <w:r w:rsidRPr="00C8504B">
        <w:rPr>
          <w:rFonts w:ascii="Arial" w:hAnsi="Arial" w:cs="Arial"/>
          <w:b/>
        </w:rPr>
        <w:t xml:space="preserve">Struttura di ponderazione </w:t>
      </w:r>
    </w:p>
    <w:p w:rsidR="009C1925" w:rsidRDefault="009C1925" w:rsidP="009C1925">
      <w:pPr>
        <w:tabs>
          <w:tab w:val="left" w:pos="10206"/>
        </w:tabs>
        <w:spacing w:before="0" w:after="120"/>
        <w:jc w:val="both"/>
        <w:rPr>
          <w:rFonts w:ascii="Arial" w:hAnsi="Arial" w:cs="Arial"/>
          <w:szCs w:val="21"/>
        </w:rPr>
      </w:pPr>
      <w:r w:rsidRPr="002C252F">
        <w:rPr>
          <w:rFonts w:ascii="Arial" w:hAnsi="Arial" w:cs="Arial"/>
          <w:szCs w:val="21"/>
        </w:rPr>
        <w:t>Non tutti i beni e i servizi che entrano nel paniere hanno la stessa importanza nei consumi della popolazione. L’esigenza di misurare il livello dei prezzi e la loro dinamica temporale attraverso indicatori di sintesi richiede la definizione di un sistema</w:t>
      </w:r>
      <w:r w:rsidRPr="00C43F15">
        <w:rPr>
          <w:rFonts w:ascii="Arial" w:hAnsi="Arial" w:cs="Arial"/>
          <w:szCs w:val="21"/>
        </w:rPr>
        <w:t xml:space="preserve"> di ponderazione che consenta di elaborare tali indicatori tenendo conto della diversa rilevanza che i singoli prodotti assumono sulla spesa complessiva per consumi delle famiglie. </w:t>
      </w:r>
    </w:p>
    <w:p w:rsidR="009C1925" w:rsidRDefault="009C1925" w:rsidP="009C1925">
      <w:pPr>
        <w:tabs>
          <w:tab w:val="left" w:pos="10206"/>
        </w:tabs>
        <w:spacing w:before="0" w:after="120"/>
        <w:jc w:val="both"/>
        <w:rPr>
          <w:rFonts w:ascii="Arial" w:hAnsi="Arial" w:cs="Arial"/>
          <w:szCs w:val="21"/>
        </w:rPr>
      </w:pPr>
      <w:r w:rsidRPr="00CB741B">
        <w:rPr>
          <w:rFonts w:ascii="Arial" w:hAnsi="Arial" w:cs="Arial"/>
          <w:szCs w:val="21"/>
        </w:rPr>
        <w:t>Ogni anno i coefficienti di ponderazione degli indici sono aggiornati per tener conto dell’evoluzione dei consumi finali delle famiglie, come risulta dalle stime della Contabilità nazionale dell’Istat e dell’indagine sulle Spese delle famiglie, oltre che dai dati provenienti da altre fonti ausiliarie interne ed esterne all’Istituto (tra queste ultime le basi dati di importanti società di analisi e ricerche di mercato, quali A.C. Nielsen, GfK Italia S.r.l., IQVIA SOLUTIONS ITALY S.r.l.).</w:t>
      </w:r>
      <w:r>
        <w:rPr>
          <w:rFonts w:ascii="Arial" w:hAnsi="Arial" w:cs="Arial"/>
          <w:szCs w:val="21"/>
        </w:rPr>
        <w:t xml:space="preserve"> </w:t>
      </w:r>
      <w:r w:rsidRPr="00CB741B">
        <w:rPr>
          <w:rFonts w:ascii="Arial" w:hAnsi="Arial" w:cs="Arial"/>
          <w:szCs w:val="21"/>
        </w:rPr>
        <w:t>Tale operazione garantisce che il sistema dei pesi utilizzato per la stima dell’inflazione mantenga elevato nel tempo il grado di rappresentatività delle quote di spesa che i consumatori destinano all’acquisto dei beni e servizi finali.</w:t>
      </w:r>
    </w:p>
    <w:p w:rsidR="009C1925" w:rsidRPr="009E5858" w:rsidRDefault="009C1925" w:rsidP="009C1925">
      <w:pPr>
        <w:tabs>
          <w:tab w:val="left" w:pos="10206"/>
        </w:tabs>
        <w:spacing w:before="0" w:after="120"/>
        <w:jc w:val="both"/>
        <w:rPr>
          <w:rFonts w:ascii="Arial" w:hAnsi="Arial" w:cs="Arial"/>
          <w:szCs w:val="21"/>
        </w:rPr>
      </w:pPr>
      <w:r w:rsidRPr="00CB741B">
        <w:rPr>
          <w:rFonts w:ascii="Arial" w:hAnsi="Arial" w:cs="Arial"/>
          <w:szCs w:val="21"/>
        </w:rPr>
        <w:t>È da rilevare che dal 2021, per tener conto delle mutate abitudini di consumo derivanti dall’emergenza sanitaria dovuta al Covid-19, al fine di salvaguardare la coerenza tra la struttura di ponderazione degli indici e quella dei bilanci delle famiglie, e nel rispetto delle linee guida Eurostat, per la revisione dei pesi sono stati utilizzati i dati delle principali fonti interne più recenti a disposizione relative sia alle stime della Contabilità nazionale sia alle informazioni della indagine sulle Spese del famiglie. Questa scelta è stata confermata anche per il paniere 2023 le cui spese di riferimento sono, per entrambe le fonti, quelle relative al 2022</w:t>
      </w:r>
      <w:r w:rsidRPr="009E5858">
        <w:rPr>
          <w:rStyle w:val="Rimandonotaapidipagina"/>
          <w:rFonts w:ascii="Arial" w:hAnsi="Arial" w:cs="Arial"/>
        </w:rPr>
        <w:footnoteReference w:id="10"/>
      </w:r>
      <w:r w:rsidRPr="009E5858">
        <w:rPr>
          <w:rFonts w:ascii="Arial" w:hAnsi="Arial" w:cs="Arial"/>
          <w:szCs w:val="21"/>
        </w:rPr>
        <w:t xml:space="preserve">. </w:t>
      </w:r>
    </w:p>
    <w:p w:rsidR="009C1925" w:rsidRDefault="009C1925" w:rsidP="009C1925">
      <w:pPr>
        <w:tabs>
          <w:tab w:val="left" w:pos="10206"/>
        </w:tabs>
        <w:spacing w:before="0" w:after="120"/>
        <w:jc w:val="both"/>
        <w:rPr>
          <w:rFonts w:ascii="Arial" w:hAnsi="Arial" w:cs="Arial"/>
        </w:rPr>
      </w:pPr>
      <w:r w:rsidRPr="009E5858">
        <w:rPr>
          <w:rFonts w:ascii="Arial" w:hAnsi="Arial" w:cs="Arial"/>
        </w:rPr>
        <w:t xml:space="preserve">Nel Prospetto 1 è riportata la versione </w:t>
      </w:r>
      <w:r>
        <w:rPr>
          <w:rFonts w:ascii="Arial" w:hAnsi="Arial" w:cs="Arial"/>
        </w:rPr>
        <w:t>finale</w:t>
      </w:r>
      <w:r w:rsidRPr="009E5858">
        <w:rPr>
          <w:rFonts w:ascii="Arial" w:hAnsi="Arial" w:cs="Arial"/>
        </w:rPr>
        <w:t xml:space="preserve"> della struttura dei pesi per divisione di spesa utilizzata per il calcolo dei tre indici dei prezzi al consumo (NIC, IPCA e FOI).</w:t>
      </w:r>
    </w:p>
    <w:p w:rsidR="009C1925" w:rsidRDefault="009C1925" w:rsidP="009C1925">
      <w:pPr>
        <w:tabs>
          <w:tab w:val="left" w:pos="10206"/>
        </w:tabs>
        <w:spacing w:before="0" w:after="120"/>
        <w:jc w:val="both"/>
        <w:rPr>
          <w:rFonts w:ascii="Arial" w:hAnsi="Arial" w:cs="Arial"/>
        </w:rPr>
      </w:pPr>
    </w:p>
    <w:p w:rsidR="009C1925" w:rsidRPr="00881841" w:rsidRDefault="009C1925" w:rsidP="009C1925">
      <w:pPr>
        <w:pStyle w:val="001TitoGra"/>
        <w:spacing w:after="120" w:line="240" w:lineRule="auto"/>
        <w:jc w:val="both"/>
        <w:rPr>
          <w:b w:val="0"/>
          <w:sz w:val="20"/>
          <w:szCs w:val="20"/>
        </w:rPr>
      </w:pPr>
      <w:r w:rsidRPr="001611C8">
        <w:rPr>
          <w:rStyle w:val="001TitoGraRed"/>
        </w:rPr>
        <w:t xml:space="preserve">PROSPETTO </w:t>
      </w:r>
      <w:r>
        <w:rPr>
          <w:rStyle w:val="001TitoGraRed"/>
        </w:rPr>
        <w:t>1</w:t>
      </w:r>
      <w:r w:rsidRPr="001611C8">
        <w:rPr>
          <w:rStyle w:val="001TitoGraRed"/>
        </w:rPr>
        <w:t>.</w:t>
      </w:r>
      <w:r w:rsidRPr="00703E31">
        <w:t xml:space="preserve"> PESI UTILIZZATI PER IL CALCOLO DEGLI INDICI NAZIONALI DEI PREZZI AL CONSUMO, PER DIVISIONI DI SPESA</w:t>
      </w:r>
      <w:r>
        <w:t>.</w:t>
      </w:r>
      <w:r w:rsidRPr="00E95D57">
        <w:rPr>
          <w:b w:val="0"/>
        </w:rPr>
        <w:t xml:space="preserve"> </w:t>
      </w:r>
      <w:r>
        <w:rPr>
          <w:b w:val="0"/>
          <w:sz w:val="20"/>
          <w:szCs w:val="20"/>
        </w:rPr>
        <w:t>Anno 2023</w:t>
      </w:r>
      <w:r w:rsidRPr="00881841">
        <w:rPr>
          <w:b w:val="0"/>
          <w:sz w:val="20"/>
          <w:szCs w:val="20"/>
        </w:rPr>
        <w:t xml:space="preserve">, valori percentuali </w:t>
      </w:r>
    </w:p>
    <w:tbl>
      <w:tblPr>
        <w:tblW w:w="10206" w:type="dxa"/>
        <w:tblInd w:w="70" w:type="dxa"/>
        <w:tblBorders>
          <w:top w:val="single" w:sz="4" w:space="0" w:color="auto"/>
          <w:bottom w:val="single" w:sz="4" w:space="0" w:color="auto"/>
          <w:insideH w:val="single" w:sz="4" w:space="0" w:color="auto"/>
        </w:tblBorders>
        <w:tblCellMar>
          <w:left w:w="70" w:type="dxa"/>
          <w:right w:w="70" w:type="dxa"/>
        </w:tblCellMar>
        <w:tblLook w:val="00A0" w:firstRow="1" w:lastRow="0" w:firstColumn="1" w:lastColumn="0" w:noHBand="0" w:noVBand="0"/>
      </w:tblPr>
      <w:tblGrid>
        <w:gridCol w:w="4872"/>
        <w:gridCol w:w="1778"/>
        <w:gridCol w:w="1778"/>
        <w:gridCol w:w="1778"/>
      </w:tblGrid>
      <w:tr w:rsidR="009C1925" w:rsidRPr="00881841" w:rsidTr="00F54307">
        <w:trPr>
          <w:trHeight w:val="255"/>
        </w:trPr>
        <w:tc>
          <w:tcPr>
            <w:tcW w:w="4872" w:type="dxa"/>
            <w:vMerge w:val="restart"/>
            <w:shd w:val="clear" w:color="auto" w:fill="FFFFFF"/>
            <w:vAlign w:val="center"/>
            <w:hideMark/>
          </w:tcPr>
          <w:p w:rsidR="009C1925" w:rsidRPr="0046573B" w:rsidRDefault="009C1925" w:rsidP="00F54307">
            <w:pPr>
              <w:widowControl/>
              <w:overflowPunct/>
              <w:autoSpaceDE/>
              <w:adjustRightInd/>
              <w:spacing w:before="0" w:after="0"/>
              <w:rPr>
                <w:rFonts w:ascii="Arial Narrow" w:hAnsi="Arial Narrow" w:cs="Calibri"/>
                <w:b/>
                <w:bCs/>
                <w:color w:val="000000"/>
                <w:kern w:val="0"/>
                <w:sz w:val="18"/>
                <w:szCs w:val="18"/>
              </w:rPr>
            </w:pPr>
            <w:r w:rsidRPr="0046573B">
              <w:rPr>
                <w:rFonts w:ascii="Arial Narrow" w:hAnsi="Arial Narrow" w:cs="Calibri"/>
                <w:b/>
                <w:bCs/>
                <w:color w:val="000000"/>
                <w:kern w:val="0"/>
                <w:sz w:val="18"/>
                <w:szCs w:val="18"/>
              </w:rPr>
              <w:t>DIVISIONI DI SPESA</w:t>
            </w:r>
          </w:p>
        </w:tc>
        <w:tc>
          <w:tcPr>
            <w:tcW w:w="5334" w:type="dxa"/>
            <w:gridSpan w:val="3"/>
            <w:shd w:val="clear" w:color="auto" w:fill="D9D9D9"/>
            <w:vAlign w:val="center"/>
            <w:hideMark/>
          </w:tcPr>
          <w:p w:rsidR="009C1925" w:rsidRPr="00881841" w:rsidRDefault="009C1925" w:rsidP="00F54307">
            <w:pPr>
              <w:spacing w:before="0" w:after="0"/>
              <w:jc w:val="center"/>
              <w:rPr>
                <w:rFonts w:ascii="Arial Narrow" w:hAnsi="Arial Narrow" w:cs="Arial"/>
                <w:b/>
                <w:sz w:val="18"/>
                <w:szCs w:val="18"/>
              </w:rPr>
            </w:pPr>
            <w:r w:rsidRPr="0046573B">
              <w:rPr>
                <w:rFonts w:ascii="Arial Narrow" w:hAnsi="Arial Narrow" w:cs="Calibri"/>
                <w:b/>
                <w:bCs/>
                <w:color w:val="000000"/>
                <w:kern w:val="0"/>
                <w:sz w:val="18"/>
                <w:szCs w:val="18"/>
              </w:rPr>
              <w:t>Pesi</w:t>
            </w:r>
          </w:p>
        </w:tc>
      </w:tr>
      <w:tr w:rsidR="009C1925" w:rsidRPr="00881841" w:rsidTr="00F54307">
        <w:trPr>
          <w:trHeight w:val="255"/>
        </w:trPr>
        <w:tc>
          <w:tcPr>
            <w:tcW w:w="4872" w:type="dxa"/>
            <w:vMerge/>
            <w:vAlign w:val="center"/>
            <w:hideMark/>
          </w:tcPr>
          <w:p w:rsidR="009C1925" w:rsidRPr="0046573B" w:rsidRDefault="009C1925" w:rsidP="00F54307">
            <w:pPr>
              <w:widowControl/>
              <w:overflowPunct/>
              <w:autoSpaceDE/>
              <w:autoSpaceDN/>
              <w:adjustRightInd/>
              <w:spacing w:before="0" w:after="0"/>
              <w:rPr>
                <w:rFonts w:ascii="Arial Narrow" w:hAnsi="Arial Narrow" w:cs="Calibri"/>
                <w:b/>
                <w:bCs/>
                <w:color w:val="000000"/>
                <w:kern w:val="0"/>
                <w:sz w:val="18"/>
                <w:szCs w:val="18"/>
              </w:rPr>
            </w:pPr>
          </w:p>
        </w:tc>
        <w:tc>
          <w:tcPr>
            <w:tcW w:w="1778" w:type="dxa"/>
            <w:shd w:val="clear" w:color="auto" w:fill="auto"/>
            <w:vAlign w:val="center"/>
            <w:hideMark/>
          </w:tcPr>
          <w:p w:rsidR="009C1925" w:rsidRPr="0046573B" w:rsidRDefault="009C1925" w:rsidP="00F54307">
            <w:pPr>
              <w:widowControl/>
              <w:overflowPunct/>
              <w:autoSpaceDE/>
              <w:adjustRightInd/>
              <w:spacing w:before="0" w:after="0"/>
              <w:jc w:val="center"/>
              <w:rPr>
                <w:rFonts w:ascii="Arial Narrow" w:hAnsi="Arial Narrow" w:cs="Calibri"/>
                <w:b/>
                <w:bCs/>
                <w:color w:val="000000"/>
                <w:kern w:val="0"/>
                <w:sz w:val="18"/>
                <w:szCs w:val="18"/>
              </w:rPr>
            </w:pPr>
            <w:r w:rsidRPr="0046573B">
              <w:rPr>
                <w:rFonts w:ascii="Arial Narrow" w:hAnsi="Arial Narrow" w:cs="Calibri"/>
                <w:b/>
                <w:bCs/>
                <w:color w:val="000000"/>
                <w:kern w:val="0"/>
                <w:sz w:val="18"/>
                <w:szCs w:val="18"/>
              </w:rPr>
              <w:t>NIC</w:t>
            </w:r>
          </w:p>
        </w:tc>
        <w:tc>
          <w:tcPr>
            <w:tcW w:w="1778" w:type="dxa"/>
            <w:shd w:val="clear" w:color="auto" w:fill="auto"/>
            <w:vAlign w:val="center"/>
            <w:hideMark/>
          </w:tcPr>
          <w:p w:rsidR="009C1925" w:rsidRPr="0046573B" w:rsidRDefault="009C1925" w:rsidP="00F54307">
            <w:pPr>
              <w:widowControl/>
              <w:overflowPunct/>
              <w:autoSpaceDE/>
              <w:adjustRightInd/>
              <w:spacing w:before="0" w:after="0"/>
              <w:jc w:val="center"/>
              <w:rPr>
                <w:rFonts w:ascii="Arial Narrow" w:hAnsi="Arial Narrow" w:cs="Calibri"/>
                <w:b/>
                <w:bCs/>
                <w:color w:val="000000"/>
                <w:kern w:val="0"/>
                <w:sz w:val="18"/>
                <w:szCs w:val="18"/>
              </w:rPr>
            </w:pPr>
            <w:r w:rsidRPr="0046573B">
              <w:rPr>
                <w:rFonts w:ascii="Arial Narrow" w:hAnsi="Arial Narrow" w:cs="Calibri"/>
                <w:b/>
                <w:bCs/>
                <w:color w:val="000000"/>
                <w:kern w:val="0"/>
                <w:sz w:val="18"/>
                <w:szCs w:val="18"/>
              </w:rPr>
              <w:t>IPCA</w:t>
            </w:r>
          </w:p>
        </w:tc>
        <w:tc>
          <w:tcPr>
            <w:tcW w:w="1778" w:type="dxa"/>
            <w:shd w:val="clear" w:color="auto" w:fill="auto"/>
            <w:vAlign w:val="center"/>
            <w:hideMark/>
          </w:tcPr>
          <w:p w:rsidR="009C1925" w:rsidRPr="0046573B" w:rsidRDefault="009C1925" w:rsidP="00F54307">
            <w:pPr>
              <w:widowControl/>
              <w:overflowPunct/>
              <w:autoSpaceDE/>
              <w:adjustRightInd/>
              <w:spacing w:before="0" w:after="0"/>
              <w:jc w:val="center"/>
              <w:rPr>
                <w:rFonts w:ascii="Arial Narrow" w:hAnsi="Arial Narrow" w:cs="Calibri"/>
                <w:b/>
                <w:bCs/>
                <w:color w:val="000000"/>
                <w:kern w:val="0"/>
                <w:sz w:val="18"/>
                <w:szCs w:val="18"/>
              </w:rPr>
            </w:pPr>
            <w:r w:rsidRPr="0046573B">
              <w:rPr>
                <w:rFonts w:ascii="Arial Narrow" w:hAnsi="Arial Narrow" w:cs="Calibri"/>
                <w:b/>
                <w:bCs/>
                <w:color w:val="000000"/>
                <w:kern w:val="0"/>
                <w:sz w:val="18"/>
                <w:szCs w:val="18"/>
              </w:rPr>
              <w:t>FOI</w:t>
            </w:r>
          </w:p>
        </w:tc>
      </w:tr>
      <w:tr w:rsidR="009C1925" w:rsidRPr="00881841" w:rsidTr="00F54307">
        <w:trPr>
          <w:trHeight w:val="255"/>
        </w:trPr>
        <w:tc>
          <w:tcPr>
            <w:tcW w:w="4872" w:type="dxa"/>
            <w:vAlign w:val="center"/>
            <w:hideMark/>
          </w:tcPr>
          <w:p w:rsidR="009C1925" w:rsidRPr="0046573B" w:rsidRDefault="009C1925" w:rsidP="00F5430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Prodotti alimentari e bevande analcoliche</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17,1025</w:t>
            </w:r>
          </w:p>
        </w:tc>
        <w:tc>
          <w:tcPr>
            <w:tcW w:w="1778" w:type="dxa"/>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18,1443</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16,1159</w:t>
            </w:r>
          </w:p>
        </w:tc>
      </w:tr>
      <w:tr w:rsidR="009C1925" w:rsidRPr="00881841" w:rsidTr="00F54307">
        <w:trPr>
          <w:trHeight w:val="255"/>
        </w:trPr>
        <w:tc>
          <w:tcPr>
            <w:tcW w:w="4872" w:type="dxa"/>
            <w:vAlign w:val="center"/>
            <w:hideMark/>
          </w:tcPr>
          <w:p w:rsidR="009C1925" w:rsidRPr="0046573B" w:rsidRDefault="009C1925" w:rsidP="00F5430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Bevande alcoliche e tabacchi</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2,9875</w:t>
            </w:r>
          </w:p>
        </w:tc>
        <w:tc>
          <w:tcPr>
            <w:tcW w:w="1778" w:type="dxa"/>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3,1698</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3,2619</w:t>
            </w:r>
          </w:p>
        </w:tc>
      </w:tr>
      <w:tr w:rsidR="009C1925" w:rsidRPr="00881841" w:rsidTr="00F54307">
        <w:trPr>
          <w:trHeight w:val="255"/>
        </w:trPr>
        <w:tc>
          <w:tcPr>
            <w:tcW w:w="4872" w:type="dxa"/>
            <w:vAlign w:val="center"/>
            <w:hideMark/>
          </w:tcPr>
          <w:p w:rsidR="009C1925" w:rsidRPr="0046573B" w:rsidRDefault="009C1925" w:rsidP="00F5430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Abbigliamento e calzature</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6,4371</w:t>
            </w:r>
          </w:p>
        </w:tc>
        <w:tc>
          <w:tcPr>
            <w:tcW w:w="1778" w:type="dxa"/>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7,4403</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7,3502</w:t>
            </w:r>
          </w:p>
        </w:tc>
      </w:tr>
      <w:tr w:rsidR="009C1925" w:rsidRPr="00881841" w:rsidTr="00F54307">
        <w:trPr>
          <w:trHeight w:val="255"/>
        </w:trPr>
        <w:tc>
          <w:tcPr>
            <w:tcW w:w="4872" w:type="dxa"/>
            <w:vAlign w:val="center"/>
            <w:hideMark/>
          </w:tcPr>
          <w:p w:rsidR="009C1925" w:rsidRPr="0046573B" w:rsidRDefault="009C1925" w:rsidP="00F5430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Abitazione, acqua, elettricità e combustibili</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12,1287</w:t>
            </w:r>
          </w:p>
        </w:tc>
        <w:tc>
          <w:tcPr>
            <w:tcW w:w="1778" w:type="dxa"/>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12,8704</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12,27</w:t>
            </w:r>
          </w:p>
        </w:tc>
      </w:tr>
      <w:tr w:rsidR="009C1925" w:rsidRPr="00881841" w:rsidTr="00F54307">
        <w:trPr>
          <w:trHeight w:val="255"/>
        </w:trPr>
        <w:tc>
          <w:tcPr>
            <w:tcW w:w="4872" w:type="dxa"/>
            <w:vAlign w:val="center"/>
            <w:hideMark/>
          </w:tcPr>
          <w:p w:rsidR="009C1925" w:rsidRPr="0046573B" w:rsidRDefault="009C1925" w:rsidP="00F5430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Mobili, articoli e servizi per la casa</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7,6987</w:t>
            </w:r>
          </w:p>
        </w:tc>
        <w:tc>
          <w:tcPr>
            <w:tcW w:w="1778" w:type="dxa"/>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8,1963</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6,9236</w:t>
            </w:r>
          </w:p>
        </w:tc>
      </w:tr>
      <w:tr w:rsidR="009C1925" w:rsidRPr="00881841" w:rsidTr="00F54307">
        <w:trPr>
          <w:trHeight w:val="255"/>
        </w:trPr>
        <w:tc>
          <w:tcPr>
            <w:tcW w:w="4872" w:type="dxa"/>
            <w:vAlign w:val="center"/>
            <w:hideMark/>
          </w:tcPr>
          <w:p w:rsidR="009C1925" w:rsidRPr="0046573B" w:rsidRDefault="009C1925" w:rsidP="00F5430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Servizi sanitari e spese per la salute</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8,3284</w:t>
            </w:r>
          </w:p>
        </w:tc>
        <w:tc>
          <w:tcPr>
            <w:tcW w:w="1778" w:type="dxa"/>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4,0100</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6,6344</w:t>
            </w:r>
          </w:p>
        </w:tc>
      </w:tr>
      <w:tr w:rsidR="009C1925" w:rsidRPr="00881841" w:rsidTr="00F54307">
        <w:trPr>
          <w:trHeight w:val="255"/>
        </w:trPr>
        <w:tc>
          <w:tcPr>
            <w:tcW w:w="4872" w:type="dxa"/>
            <w:vAlign w:val="center"/>
            <w:hideMark/>
          </w:tcPr>
          <w:p w:rsidR="009C1925" w:rsidRPr="0046573B" w:rsidRDefault="009C1925" w:rsidP="00F5430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Trasporti</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14,0656</w:t>
            </w:r>
          </w:p>
        </w:tc>
        <w:tc>
          <w:tcPr>
            <w:tcW w:w="1778" w:type="dxa"/>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14,8974</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15,3567</w:t>
            </w:r>
          </w:p>
        </w:tc>
      </w:tr>
      <w:tr w:rsidR="009C1925" w:rsidRPr="00881841" w:rsidTr="00F54307">
        <w:trPr>
          <w:trHeight w:val="255"/>
        </w:trPr>
        <w:tc>
          <w:tcPr>
            <w:tcW w:w="4872" w:type="dxa"/>
            <w:vAlign w:val="center"/>
            <w:hideMark/>
          </w:tcPr>
          <w:p w:rsidR="009C1925" w:rsidRPr="0046573B" w:rsidRDefault="009C1925" w:rsidP="00F5430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Comunicazioni</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2,3406</w:t>
            </w:r>
          </w:p>
        </w:tc>
        <w:tc>
          <w:tcPr>
            <w:tcW w:w="1778" w:type="dxa"/>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2,4851</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2,7405</w:t>
            </w:r>
          </w:p>
        </w:tc>
      </w:tr>
      <w:tr w:rsidR="009C1925" w:rsidRPr="00881841" w:rsidTr="00F54307">
        <w:trPr>
          <w:trHeight w:val="255"/>
        </w:trPr>
        <w:tc>
          <w:tcPr>
            <w:tcW w:w="4872" w:type="dxa"/>
            <w:vAlign w:val="center"/>
            <w:hideMark/>
          </w:tcPr>
          <w:p w:rsidR="009C1925" w:rsidRPr="0046573B" w:rsidRDefault="009C1925" w:rsidP="00F5430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Ricreazione, spettacoli e cultura</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7,8807</w:t>
            </w:r>
          </w:p>
        </w:tc>
        <w:tc>
          <w:tcPr>
            <w:tcW w:w="1778" w:type="dxa"/>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6,4516</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8,259</w:t>
            </w:r>
          </w:p>
        </w:tc>
      </w:tr>
      <w:tr w:rsidR="009C1925" w:rsidRPr="00881841" w:rsidTr="00F54307">
        <w:trPr>
          <w:trHeight w:val="255"/>
        </w:trPr>
        <w:tc>
          <w:tcPr>
            <w:tcW w:w="4872" w:type="dxa"/>
            <w:vAlign w:val="center"/>
            <w:hideMark/>
          </w:tcPr>
          <w:p w:rsidR="009C1925" w:rsidRPr="0046573B" w:rsidRDefault="009C1925" w:rsidP="00F5430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Istruzione</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0,9135</w:t>
            </w:r>
          </w:p>
        </w:tc>
        <w:tc>
          <w:tcPr>
            <w:tcW w:w="1778" w:type="dxa"/>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0,9691</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1,1679</w:t>
            </w:r>
          </w:p>
        </w:tc>
      </w:tr>
      <w:tr w:rsidR="009C1925" w:rsidRPr="00881841" w:rsidTr="00F54307">
        <w:trPr>
          <w:trHeight w:val="255"/>
        </w:trPr>
        <w:tc>
          <w:tcPr>
            <w:tcW w:w="4872" w:type="dxa"/>
            <w:vAlign w:val="center"/>
            <w:hideMark/>
          </w:tcPr>
          <w:p w:rsidR="009C1925" w:rsidRPr="0046573B" w:rsidRDefault="009C1925" w:rsidP="00F5430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Servizi ricettivi e di ristorazione</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10,851</w:t>
            </w:r>
          </w:p>
        </w:tc>
        <w:tc>
          <w:tcPr>
            <w:tcW w:w="1778" w:type="dxa"/>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11,5117</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10,7788</w:t>
            </w:r>
          </w:p>
        </w:tc>
      </w:tr>
      <w:tr w:rsidR="009C1925" w:rsidRPr="00881841" w:rsidTr="00F54307">
        <w:trPr>
          <w:trHeight w:val="255"/>
        </w:trPr>
        <w:tc>
          <w:tcPr>
            <w:tcW w:w="4872" w:type="dxa"/>
            <w:vAlign w:val="center"/>
            <w:hideMark/>
          </w:tcPr>
          <w:p w:rsidR="009C1925" w:rsidRPr="0046573B" w:rsidRDefault="009C1925" w:rsidP="00F54307">
            <w:pPr>
              <w:widowControl/>
              <w:overflowPunct/>
              <w:autoSpaceDE/>
              <w:adjustRightInd/>
              <w:spacing w:before="0" w:after="0"/>
              <w:jc w:val="both"/>
              <w:rPr>
                <w:rFonts w:ascii="Arial Narrow" w:hAnsi="Arial Narrow" w:cs="Calibri"/>
                <w:color w:val="000000"/>
                <w:kern w:val="0"/>
                <w:sz w:val="18"/>
                <w:szCs w:val="18"/>
              </w:rPr>
            </w:pPr>
            <w:r w:rsidRPr="0046573B">
              <w:rPr>
                <w:rFonts w:ascii="Arial Narrow" w:hAnsi="Arial Narrow" w:cs="Calibri"/>
                <w:color w:val="000000"/>
                <w:kern w:val="0"/>
                <w:sz w:val="18"/>
                <w:szCs w:val="18"/>
              </w:rPr>
              <w:t xml:space="preserve">Altri beni e servizi </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9,2657</w:t>
            </w:r>
          </w:p>
        </w:tc>
        <w:tc>
          <w:tcPr>
            <w:tcW w:w="1778" w:type="dxa"/>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9,854</w:t>
            </w:r>
          </w:p>
        </w:tc>
        <w:tc>
          <w:tcPr>
            <w:tcW w:w="1778" w:type="dxa"/>
            <w:shd w:val="clear" w:color="auto" w:fill="E6E6E6"/>
          </w:tcPr>
          <w:p w:rsidR="009C1925" w:rsidRPr="00495C7D" w:rsidRDefault="009C1925" w:rsidP="00F54307">
            <w:pPr>
              <w:widowControl/>
              <w:overflowPunct/>
              <w:autoSpaceDE/>
              <w:adjustRightInd/>
              <w:spacing w:before="0" w:after="0"/>
              <w:jc w:val="center"/>
              <w:rPr>
                <w:rFonts w:ascii="Arial Narrow" w:hAnsi="Arial Narrow" w:cs="Calibri"/>
                <w:color w:val="000000"/>
                <w:kern w:val="0"/>
                <w:sz w:val="18"/>
                <w:szCs w:val="18"/>
              </w:rPr>
            </w:pPr>
            <w:r w:rsidRPr="00495C7D">
              <w:rPr>
                <w:rFonts w:ascii="Arial Narrow" w:hAnsi="Arial Narrow" w:cs="Calibri"/>
                <w:color w:val="000000"/>
                <w:kern w:val="0"/>
                <w:sz w:val="18"/>
                <w:szCs w:val="18"/>
              </w:rPr>
              <w:t>9,1411</w:t>
            </w:r>
          </w:p>
        </w:tc>
      </w:tr>
      <w:tr w:rsidR="009C1925" w:rsidRPr="00881841" w:rsidTr="00F54307">
        <w:trPr>
          <w:trHeight w:val="255"/>
        </w:trPr>
        <w:tc>
          <w:tcPr>
            <w:tcW w:w="4872" w:type="dxa"/>
            <w:shd w:val="clear" w:color="auto" w:fill="E31C18"/>
            <w:vAlign w:val="center"/>
            <w:hideMark/>
          </w:tcPr>
          <w:p w:rsidR="009C1925" w:rsidRPr="0046573B" w:rsidRDefault="009C1925" w:rsidP="00F54307">
            <w:pPr>
              <w:widowControl/>
              <w:overflowPunct/>
              <w:autoSpaceDE/>
              <w:adjustRightInd/>
              <w:spacing w:before="0" w:after="0"/>
              <w:rPr>
                <w:rFonts w:ascii="Arial Narrow" w:hAnsi="Arial Narrow" w:cs="Calibri"/>
                <w:b/>
                <w:bCs/>
                <w:color w:val="FFFFFF"/>
                <w:kern w:val="0"/>
                <w:sz w:val="18"/>
                <w:szCs w:val="18"/>
              </w:rPr>
            </w:pPr>
            <w:r w:rsidRPr="0046573B">
              <w:rPr>
                <w:rFonts w:ascii="Arial Narrow" w:hAnsi="Arial Narrow" w:cs="Calibri"/>
                <w:b/>
                <w:bCs/>
                <w:color w:val="FFFFFF"/>
                <w:kern w:val="0"/>
                <w:sz w:val="18"/>
                <w:szCs w:val="18"/>
              </w:rPr>
              <w:t>Indice generale</w:t>
            </w:r>
          </w:p>
        </w:tc>
        <w:tc>
          <w:tcPr>
            <w:tcW w:w="1778" w:type="dxa"/>
            <w:shd w:val="clear" w:color="auto" w:fill="E31C18"/>
          </w:tcPr>
          <w:p w:rsidR="009C1925" w:rsidRPr="00495C7D" w:rsidRDefault="009C1925" w:rsidP="00F54307">
            <w:pPr>
              <w:widowControl/>
              <w:overflowPunct/>
              <w:autoSpaceDE/>
              <w:adjustRightInd/>
              <w:spacing w:before="0" w:after="0"/>
              <w:jc w:val="center"/>
              <w:rPr>
                <w:rFonts w:ascii="Arial Narrow" w:hAnsi="Arial Narrow" w:cs="Calibri"/>
                <w:b/>
                <w:color w:val="FFFFFF" w:themeColor="background1"/>
                <w:kern w:val="0"/>
                <w:sz w:val="18"/>
                <w:szCs w:val="18"/>
              </w:rPr>
            </w:pPr>
            <w:r w:rsidRPr="00495C7D">
              <w:rPr>
                <w:rFonts w:ascii="Arial Narrow" w:hAnsi="Arial Narrow" w:cs="Calibri"/>
                <w:b/>
                <w:color w:val="FFFFFF" w:themeColor="background1"/>
                <w:kern w:val="0"/>
                <w:sz w:val="18"/>
                <w:szCs w:val="18"/>
              </w:rPr>
              <w:t>100,0000</w:t>
            </w:r>
          </w:p>
        </w:tc>
        <w:tc>
          <w:tcPr>
            <w:tcW w:w="1778" w:type="dxa"/>
            <w:shd w:val="clear" w:color="auto" w:fill="E31C18"/>
          </w:tcPr>
          <w:p w:rsidR="009C1925" w:rsidRPr="00495C7D" w:rsidRDefault="009C1925" w:rsidP="00F54307">
            <w:pPr>
              <w:widowControl/>
              <w:overflowPunct/>
              <w:autoSpaceDE/>
              <w:adjustRightInd/>
              <w:spacing w:before="0" w:after="0"/>
              <w:jc w:val="center"/>
              <w:rPr>
                <w:rFonts w:ascii="Arial Narrow" w:hAnsi="Arial Narrow" w:cs="Calibri"/>
                <w:b/>
                <w:color w:val="FFFFFF" w:themeColor="background1"/>
                <w:kern w:val="0"/>
                <w:sz w:val="18"/>
                <w:szCs w:val="18"/>
              </w:rPr>
            </w:pPr>
            <w:r w:rsidRPr="00495C7D">
              <w:rPr>
                <w:rFonts w:ascii="Arial Narrow" w:hAnsi="Arial Narrow" w:cs="Calibri"/>
                <w:b/>
                <w:color w:val="FFFFFF" w:themeColor="background1"/>
                <w:kern w:val="0"/>
                <w:sz w:val="18"/>
                <w:szCs w:val="18"/>
              </w:rPr>
              <w:t>100,0000</w:t>
            </w:r>
          </w:p>
        </w:tc>
        <w:tc>
          <w:tcPr>
            <w:tcW w:w="1778" w:type="dxa"/>
            <w:shd w:val="clear" w:color="auto" w:fill="E31C18"/>
          </w:tcPr>
          <w:p w:rsidR="009C1925" w:rsidRPr="00495C7D" w:rsidRDefault="009C1925" w:rsidP="00F54307">
            <w:pPr>
              <w:widowControl/>
              <w:overflowPunct/>
              <w:autoSpaceDE/>
              <w:adjustRightInd/>
              <w:spacing w:before="0" w:after="0"/>
              <w:jc w:val="center"/>
              <w:rPr>
                <w:rFonts w:ascii="Arial Narrow" w:hAnsi="Arial Narrow" w:cs="Calibri"/>
                <w:b/>
                <w:color w:val="FFFFFF" w:themeColor="background1"/>
                <w:kern w:val="0"/>
                <w:sz w:val="18"/>
                <w:szCs w:val="18"/>
              </w:rPr>
            </w:pPr>
            <w:r w:rsidRPr="00495C7D">
              <w:rPr>
                <w:rFonts w:ascii="Arial Narrow" w:hAnsi="Arial Narrow" w:cs="Calibri"/>
                <w:b/>
                <w:color w:val="FFFFFF" w:themeColor="background1"/>
                <w:kern w:val="0"/>
                <w:sz w:val="18"/>
                <w:szCs w:val="18"/>
              </w:rPr>
              <w:t>100,0000</w:t>
            </w:r>
          </w:p>
        </w:tc>
      </w:tr>
    </w:tbl>
    <w:p w:rsidR="009C1925" w:rsidRDefault="009C1925" w:rsidP="009C1925">
      <w:pPr>
        <w:tabs>
          <w:tab w:val="left" w:pos="10206"/>
        </w:tabs>
        <w:spacing w:before="0" w:after="120"/>
        <w:jc w:val="both"/>
        <w:rPr>
          <w:rFonts w:ascii="Arial" w:hAnsi="Arial" w:cs="Arial"/>
          <w:szCs w:val="21"/>
        </w:rPr>
      </w:pPr>
    </w:p>
    <w:p w:rsidR="009C1925" w:rsidRPr="00C8504B" w:rsidRDefault="009C1925" w:rsidP="009C1925">
      <w:pPr>
        <w:pStyle w:val="Titolo4"/>
        <w:spacing w:before="0" w:after="120"/>
        <w:rPr>
          <w:rFonts w:ascii="Arial" w:hAnsi="Arial" w:cs="Arial"/>
          <w:bCs w:val="0"/>
          <w:i w:val="0"/>
          <w:color w:val="auto"/>
          <w:szCs w:val="22"/>
        </w:rPr>
      </w:pPr>
      <w:r w:rsidRPr="00C8504B">
        <w:rPr>
          <w:rFonts w:ascii="Arial" w:hAnsi="Arial" w:cs="Arial"/>
          <w:bCs w:val="0"/>
          <w:i w:val="0"/>
          <w:color w:val="auto"/>
          <w:szCs w:val="22"/>
        </w:rPr>
        <w:t xml:space="preserve">Indici nazionali e territoriali </w:t>
      </w:r>
    </w:p>
    <w:p w:rsidR="009C1925" w:rsidRDefault="009C1925" w:rsidP="009C1925">
      <w:pPr>
        <w:spacing w:before="0" w:after="120"/>
        <w:jc w:val="both"/>
        <w:rPr>
          <w:rFonts w:ascii="Arial" w:hAnsi="Arial" w:cs="Arial"/>
          <w:szCs w:val="21"/>
        </w:rPr>
      </w:pPr>
      <w:r w:rsidRPr="002875F7">
        <w:rPr>
          <w:rFonts w:ascii="Arial" w:hAnsi="Arial" w:cs="Arial"/>
          <w:szCs w:val="21"/>
        </w:rPr>
        <w:t xml:space="preserve">La metodologia di calcolo degli indici dei prezzi al consumo prevede quattro diversi processi di aggregazione degli indici di ciascun aggregato di prodotto calcolati per ogni capoluogo di provincia. </w:t>
      </w:r>
    </w:p>
    <w:p w:rsidR="009C1925" w:rsidRPr="002875F7" w:rsidRDefault="009C1925" w:rsidP="009C1925">
      <w:pPr>
        <w:spacing w:before="0" w:after="120"/>
        <w:jc w:val="both"/>
        <w:rPr>
          <w:rFonts w:ascii="Arial" w:hAnsi="Arial" w:cs="Arial"/>
          <w:szCs w:val="21"/>
        </w:rPr>
      </w:pPr>
      <w:r w:rsidRPr="002875F7">
        <w:rPr>
          <w:rFonts w:ascii="Arial" w:hAnsi="Arial" w:cs="Arial"/>
          <w:bCs/>
          <w:szCs w:val="21"/>
        </w:rPr>
        <w:t>L’</w:t>
      </w:r>
      <w:r w:rsidRPr="002875F7">
        <w:rPr>
          <w:rFonts w:ascii="Arial" w:hAnsi="Arial" w:cs="Arial"/>
          <w:bCs/>
          <w:i/>
          <w:szCs w:val="21"/>
        </w:rPr>
        <w:t>indice nazionale</w:t>
      </w:r>
      <w:r w:rsidRPr="002875F7">
        <w:rPr>
          <w:rFonts w:ascii="Arial" w:hAnsi="Arial" w:cs="Arial"/>
          <w:bCs/>
          <w:szCs w:val="21"/>
        </w:rPr>
        <w:t xml:space="preserve"> si ottiene nel modo seguente</w:t>
      </w:r>
      <w:r w:rsidRPr="002875F7">
        <w:rPr>
          <w:rFonts w:ascii="Arial" w:hAnsi="Arial" w:cs="Arial"/>
          <w:szCs w:val="21"/>
        </w:rPr>
        <w:t>:</w:t>
      </w:r>
    </w:p>
    <w:p w:rsidR="009C1925" w:rsidRPr="002875F7" w:rsidRDefault="009C1925" w:rsidP="009C1925">
      <w:pPr>
        <w:widowControl/>
        <w:numPr>
          <w:ilvl w:val="0"/>
          <w:numId w:val="6"/>
        </w:numPr>
        <w:tabs>
          <w:tab w:val="clear" w:pos="720"/>
          <w:tab w:val="num" w:pos="502"/>
        </w:tabs>
        <w:spacing w:before="0" w:after="120"/>
        <w:ind w:left="284" w:hanging="284"/>
        <w:jc w:val="both"/>
        <w:rPr>
          <w:rFonts w:ascii="Arial" w:hAnsi="Arial" w:cs="Arial"/>
          <w:szCs w:val="21"/>
        </w:rPr>
      </w:pPr>
      <w:r w:rsidRPr="002875F7">
        <w:rPr>
          <w:rFonts w:ascii="Arial" w:hAnsi="Arial" w:cs="Arial"/>
          <w:szCs w:val="21"/>
        </w:rPr>
        <w:t xml:space="preserve">si aggregano tra loro gli indici provinciali di aggregato di prodotto per costruire l’indice regionale di aggregato di prodotto; per quanto riguarda i beni alimentari (esclusi i prodotti freschi) e per la cura della casa e della persona, gli indici regionali di aggregato di prodotto sono calcolati tendendo distinte le diverse tipologie distributive (ipermercati, supermercati, discount, libero servizio, specialist drug) per i quali si utilizzano le informazioni provenienti dai registratori elettronici di cassa (scanner data); per un numero limitato di aggregati, l’indice viene calcolato integrando le informazioni provenienti dagli scanner data con quelle rilevate direttamente dagli Uffici Comunali di Statistica; i coefficienti di ponderazione adoperati per le sintesi degli indici provinciali si basano, in generale, sul peso di ciascun capoluogo di provincia in termini di popolazione residente; </w:t>
      </w:r>
    </w:p>
    <w:p w:rsidR="009C1925" w:rsidRPr="002875F7" w:rsidRDefault="009C1925" w:rsidP="009C1925">
      <w:pPr>
        <w:widowControl/>
        <w:numPr>
          <w:ilvl w:val="0"/>
          <w:numId w:val="6"/>
        </w:numPr>
        <w:tabs>
          <w:tab w:val="clear" w:pos="720"/>
          <w:tab w:val="num" w:pos="502"/>
        </w:tabs>
        <w:spacing w:before="0" w:after="120"/>
        <w:ind w:left="284" w:hanging="284"/>
        <w:jc w:val="both"/>
        <w:rPr>
          <w:rFonts w:ascii="Arial" w:hAnsi="Arial" w:cs="Arial"/>
          <w:szCs w:val="21"/>
        </w:rPr>
      </w:pPr>
      <w:r w:rsidRPr="002875F7">
        <w:rPr>
          <w:rFonts w:ascii="Arial" w:hAnsi="Arial" w:cs="Arial"/>
          <w:szCs w:val="21"/>
        </w:rPr>
        <w:t xml:space="preserve">si aggregano tra loro gli indici regionali di aggregato di prodotto per costruire l’indice nazionale di aggregato di prodotto; i coefficienti di ponderazione utilizzati si basano sul peso di ciascuna regione in termini di consumi delle famiglie; </w:t>
      </w:r>
    </w:p>
    <w:p w:rsidR="009C1925" w:rsidRPr="002875F7" w:rsidRDefault="009C1925" w:rsidP="009C1925">
      <w:pPr>
        <w:widowControl/>
        <w:numPr>
          <w:ilvl w:val="0"/>
          <w:numId w:val="6"/>
        </w:numPr>
        <w:tabs>
          <w:tab w:val="clear" w:pos="720"/>
          <w:tab w:val="num" w:pos="502"/>
        </w:tabs>
        <w:spacing w:before="0" w:after="120"/>
        <w:ind w:left="284" w:hanging="284"/>
        <w:jc w:val="both"/>
        <w:rPr>
          <w:rFonts w:ascii="Arial" w:hAnsi="Arial" w:cs="Arial"/>
          <w:szCs w:val="21"/>
        </w:rPr>
      </w:pPr>
      <w:r w:rsidRPr="002875F7">
        <w:rPr>
          <w:rFonts w:ascii="Arial" w:hAnsi="Arial" w:cs="Arial"/>
          <w:szCs w:val="21"/>
        </w:rPr>
        <w:t xml:space="preserve">l’indice generale nazionale dei prezzi al consumo si ottiene come media ponderata degli indici nazionali di aggregato di prodotto. I coefficienti di ponderazione utilizzati si basano sul peso di ciascun aggregato di prodotto in termini di consumi delle famiglie. </w:t>
      </w:r>
    </w:p>
    <w:p w:rsidR="009C1925" w:rsidRPr="002875F7" w:rsidRDefault="009C1925" w:rsidP="009C1925">
      <w:pPr>
        <w:tabs>
          <w:tab w:val="left" w:pos="2098"/>
        </w:tabs>
        <w:spacing w:before="0" w:after="120"/>
        <w:jc w:val="both"/>
        <w:rPr>
          <w:rFonts w:ascii="Arial" w:hAnsi="Arial" w:cs="Arial"/>
          <w:szCs w:val="21"/>
        </w:rPr>
      </w:pPr>
      <w:r w:rsidRPr="002875F7">
        <w:rPr>
          <w:rFonts w:ascii="Arial" w:hAnsi="Arial" w:cs="Arial"/>
          <w:bCs/>
          <w:szCs w:val="21"/>
        </w:rPr>
        <w:t xml:space="preserve">Gli </w:t>
      </w:r>
      <w:r w:rsidRPr="002875F7">
        <w:rPr>
          <w:rFonts w:ascii="Arial" w:hAnsi="Arial" w:cs="Arial"/>
          <w:i/>
          <w:szCs w:val="21"/>
        </w:rPr>
        <w:t xml:space="preserve">indici per </w:t>
      </w:r>
      <w:r w:rsidRPr="002875F7">
        <w:rPr>
          <w:rFonts w:ascii="Arial" w:hAnsi="Arial" w:cs="Arial"/>
          <w:bCs/>
          <w:i/>
          <w:szCs w:val="21"/>
        </w:rPr>
        <w:t>capoluogo di provincia, regione e</w:t>
      </w:r>
      <w:r w:rsidRPr="002875F7">
        <w:rPr>
          <w:rFonts w:ascii="Arial" w:hAnsi="Arial" w:cs="Arial"/>
          <w:bCs/>
          <w:szCs w:val="21"/>
        </w:rPr>
        <w:t xml:space="preserve"> </w:t>
      </w:r>
      <w:r w:rsidRPr="002875F7">
        <w:rPr>
          <w:rFonts w:ascii="Arial" w:hAnsi="Arial" w:cs="Arial"/>
          <w:i/>
          <w:szCs w:val="21"/>
        </w:rPr>
        <w:t>ripartizione geografica</w:t>
      </w:r>
      <w:r w:rsidRPr="002875F7">
        <w:rPr>
          <w:rFonts w:ascii="Arial" w:hAnsi="Arial" w:cs="Arial"/>
          <w:szCs w:val="21"/>
        </w:rPr>
        <w:t xml:space="preserve"> si ottengono come segue:</w:t>
      </w:r>
    </w:p>
    <w:p w:rsidR="009C1925" w:rsidRPr="002875F7" w:rsidRDefault="009C1925" w:rsidP="009C1925">
      <w:pPr>
        <w:widowControl/>
        <w:numPr>
          <w:ilvl w:val="0"/>
          <w:numId w:val="6"/>
        </w:numPr>
        <w:tabs>
          <w:tab w:val="clear" w:pos="720"/>
          <w:tab w:val="num" w:pos="502"/>
        </w:tabs>
        <w:spacing w:before="0" w:after="120"/>
        <w:ind w:left="284" w:hanging="284"/>
        <w:jc w:val="both"/>
        <w:rPr>
          <w:rFonts w:ascii="Arial" w:hAnsi="Arial" w:cs="Arial"/>
          <w:szCs w:val="21"/>
        </w:rPr>
      </w:pPr>
      <w:r w:rsidRPr="002875F7">
        <w:rPr>
          <w:rFonts w:ascii="Arial" w:hAnsi="Arial" w:cs="Arial"/>
          <w:szCs w:val="21"/>
        </w:rPr>
        <w:t>l’indice generale per regione e per ripartizione geografica dei prezzi sono calcolati rispettivamente come media ponderata degli indici regionali e ripartizionali di aggregato di prodotto</w:t>
      </w:r>
      <w:r>
        <w:rPr>
          <w:rFonts w:ascii="Arial" w:hAnsi="Arial" w:cs="Arial"/>
          <w:szCs w:val="21"/>
        </w:rPr>
        <w:t>; i</w:t>
      </w:r>
      <w:r w:rsidRPr="002875F7">
        <w:rPr>
          <w:rFonts w:ascii="Arial" w:hAnsi="Arial" w:cs="Arial"/>
          <w:szCs w:val="21"/>
        </w:rPr>
        <w:t xml:space="preserve"> coefficienti di ponderazione utilizzati si basano sul peso di ciascun aggregato di prodotto in te</w:t>
      </w:r>
      <w:r>
        <w:rPr>
          <w:rFonts w:ascii="Arial" w:hAnsi="Arial" w:cs="Arial"/>
          <w:szCs w:val="21"/>
        </w:rPr>
        <w:t>rmini di consumi delle famiglie;</w:t>
      </w:r>
    </w:p>
    <w:p w:rsidR="009C1925" w:rsidRPr="002875F7" w:rsidRDefault="009C1925" w:rsidP="009C1925">
      <w:pPr>
        <w:widowControl/>
        <w:numPr>
          <w:ilvl w:val="0"/>
          <w:numId w:val="6"/>
        </w:numPr>
        <w:tabs>
          <w:tab w:val="clear" w:pos="720"/>
          <w:tab w:val="num" w:pos="502"/>
        </w:tabs>
        <w:spacing w:before="0" w:after="120"/>
        <w:ind w:left="284" w:hanging="284"/>
        <w:jc w:val="both"/>
        <w:rPr>
          <w:rFonts w:ascii="Arial" w:hAnsi="Arial" w:cs="Arial"/>
          <w:szCs w:val="21"/>
        </w:rPr>
      </w:pPr>
      <w:r w:rsidRPr="002875F7">
        <w:rPr>
          <w:rFonts w:ascii="Arial" w:hAnsi="Arial" w:cs="Arial"/>
          <w:szCs w:val="21"/>
        </w:rPr>
        <w:t>l’indice generale provinciale si ottiene come media aritmetica ponderata degli aggregati di prodotto calcolati a livello di capoluogo di provincia</w:t>
      </w:r>
      <w:r>
        <w:rPr>
          <w:rFonts w:ascii="Arial" w:hAnsi="Arial" w:cs="Arial"/>
          <w:szCs w:val="21"/>
        </w:rPr>
        <w:t>; i</w:t>
      </w:r>
      <w:r w:rsidRPr="002875F7">
        <w:rPr>
          <w:rFonts w:ascii="Arial" w:hAnsi="Arial" w:cs="Arial"/>
          <w:szCs w:val="21"/>
        </w:rPr>
        <w:t xml:space="preserve"> coefficienti di ponderazione utilizzati si basano sul peso di ciascun aggregato di prodotto in termini di consumi delle famiglie. La struttura di ponderazione utilizzata è quella definita a livello regionale.</w:t>
      </w:r>
    </w:p>
    <w:p w:rsidR="009C1925" w:rsidRPr="002875F7" w:rsidRDefault="009C1925" w:rsidP="009C1925">
      <w:pPr>
        <w:widowControl/>
        <w:spacing w:before="0" w:after="120"/>
        <w:jc w:val="both"/>
        <w:rPr>
          <w:rFonts w:ascii="Arial" w:hAnsi="Arial" w:cs="Arial"/>
          <w:bCs/>
          <w:szCs w:val="21"/>
          <w:highlight w:val="yellow"/>
        </w:rPr>
      </w:pPr>
      <w:r w:rsidRPr="002875F7">
        <w:rPr>
          <w:rFonts w:ascii="Arial" w:hAnsi="Arial" w:cs="Arial"/>
          <w:bCs/>
          <w:szCs w:val="21"/>
        </w:rPr>
        <w:t>Il calcolo degli indici sintetici (per ogni livello di sintesi degli aggregati) avviene applicando la formula dell’indice a catena di Laspeyres; pertanto, gli indici mensili dell’anno corrente sono calcolati con riferimento al mese di dicembre dell’anno precedente (base di calcolo) e successivamente raccordati al periodo scelto come base di riferimento dell’indice per misurare la dinamica dei prezzi su un periodo di tempo pluriennale.</w:t>
      </w:r>
    </w:p>
    <w:p w:rsidR="009C1925" w:rsidRPr="00963ACB" w:rsidRDefault="009C1925" w:rsidP="009C1925">
      <w:pPr>
        <w:widowControl/>
        <w:tabs>
          <w:tab w:val="left" w:pos="284"/>
        </w:tabs>
        <w:spacing w:before="0" w:after="120"/>
        <w:jc w:val="both"/>
        <w:rPr>
          <w:rFonts w:ascii="Arial" w:hAnsi="Arial" w:cs="Arial"/>
          <w:szCs w:val="21"/>
        </w:rPr>
      </w:pPr>
    </w:p>
    <w:p w:rsidR="009C1925" w:rsidRPr="00833545" w:rsidRDefault="009C1925" w:rsidP="009C1925">
      <w:pPr>
        <w:tabs>
          <w:tab w:val="left" w:pos="10206"/>
        </w:tabs>
        <w:spacing w:before="0" w:after="120"/>
        <w:jc w:val="both"/>
        <w:rPr>
          <w:rFonts w:ascii="Arial" w:hAnsi="Arial" w:cs="Arial"/>
          <w:b/>
          <w:sz w:val="22"/>
          <w:szCs w:val="22"/>
        </w:rPr>
      </w:pPr>
      <w:r w:rsidRPr="00833545">
        <w:rPr>
          <w:rFonts w:ascii="Arial" w:hAnsi="Arial" w:cs="Arial"/>
          <w:b/>
          <w:sz w:val="22"/>
          <w:szCs w:val="22"/>
        </w:rPr>
        <w:t>Classificazione degli indici dei prezzi al consumo</w:t>
      </w:r>
    </w:p>
    <w:p w:rsidR="009C1925" w:rsidRPr="00747050" w:rsidRDefault="009C1925" w:rsidP="009C1925">
      <w:pPr>
        <w:widowControl/>
        <w:tabs>
          <w:tab w:val="left" w:pos="10206"/>
        </w:tabs>
        <w:overflowPunct/>
        <w:spacing w:before="0" w:after="120"/>
        <w:jc w:val="both"/>
        <w:rPr>
          <w:rFonts w:ascii="Arial" w:hAnsi="Arial" w:cs="Arial"/>
          <w:szCs w:val="21"/>
        </w:rPr>
      </w:pPr>
      <w:r w:rsidRPr="00747050">
        <w:rPr>
          <w:rFonts w:ascii="Arial" w:hAnsi="Arial" w:cs="Arial"/>
          <w:szCs w:val="21"/>
        </w:rPr>
        <w:t xml:space="preserve">La classificazione adottata per gli indici dei prezzi al consumo è la </w:t>
      </w:r>
      <w:r w:rsidRPr="00747050">
        <w:rPr>
          <w:rFonts w:ascii="Arial" w:hAnsi="Arial" w:cs="Arial"/>
          <w:i/>
          <w:szCs w:val="21"/>
        </w:rPr>
        <w:t xml:space="preserve">European </w:t>
      </w:r>
      <w:r w:rsidRPr="00747050">
        <w:rPr>
          <w:rFonts w:ascii="Arial" w:hAnsi="Arial" w:cs="Arial"/>
          <w:i/>
          <w:iCs/>
          <w:szCs w:val="21"/>
        </w:rPr>
        <w:t>Classification of Individual Consumption by Purpose</w:t>
      </w:r>
      <w:r w:rsidRPr="00747050">
        <w:rPr>
          <w:rFonts w:ascii="Arial" w:hAnsi="Arial" w:cs="Arial"/>
          <w:szCs w:val="21"/>
        </w:rPr>
        <w:t xml:space="preserve"> (ECOICOP), allegata al nuovo Regolamento quadro europeo degli indici dei prezzi al consumo armonizzati e dell’indice dei prezzi delle abitazioni (</w:t>
      </w:r>
      <w:r w:rsidRPr="00747050">
        <w:rPr>
          <w:rFonts w:ascii="Arial" w:hAnsi="Arial" w:cs="Arial"/>
          <w:b/>
          <w:szCs w:val="21"/>
        </w:rPr>
        <w:t>Reg. n. 2016/792</w:t>
      </w:r>
      <w:r w:rsidRPr="00747050">
        <w:rPr>
          <w:rFonts w:ascii="Arial" w:hAnsi="Arial" w:cs="Arial"/>
          <w:szCs w:val="21"/>
        </w:rPr>
        <w:t>). La struttura gerarchica prevista secondo la classificazione ECOICOP presenta quattro livelli di disaggregazione: Divisioni di spesa, Gruppi di prodotto, Classi di prodotto e Sottoclassi di prodotto (in luogo dei primi tre livelli della classificazione COICOP vigente fino a dicembre 2015).</w:t>
      </w:r>
    </w:p>
    <w:p w:rsidR="009C1925" w:rsidRPr="00747050" w:rsidRDefault="009C1925" w:rsidP="009C1925">
      <w:pPr>
        <w:widowControl/>
        <w:tabs>
          <w:tab w:val="left" w:pos="10206"/>
        </w:tabs>
        <w:overflowPunct/>
        <w:spacing w:before="0" w:after="120"/>
        <w:jc w:val="both"/>
        <w:rPr>
          <w:rFonts w:ascii="Arial" w:hAnsi="Arial" w:cs="Arial"/>
          <w:szCs w:val="21"/>
        </w:rPr>
      </w:pPr>
      <w:r w:rsidRPr="00747050">
        <w:rPr>
          <w:rFonts w:ascii="Arial" w:hAnsi="Arial" w:cs="Arial"/>
          <w:szCs w:val="21"/>
        </w:rPr>
        <w:t>Ai fini del calcolo degli indici dei prezzi al consumo, le Sottoclassi di prodotto sono ulteriormente disaggregate in Segmenti di consumo.</w:t>
      </w:r>
    </w:p>
    <w:p w:rsidR="009C1925" w:rsidRPr="00747050" w:rsidRDefault="009C1925" w:rsidP="009C1925">
      <w:pPr>
        <w:widowControl/>
        <w:tabs>
          <w:tab w:val="left" w:pos="10206"/>
        </w:tabs>
        <w:overflowPunct/>
        <w:spacing w:before="0" w:after="120"/>
        <w:jc w:val="both"/>
        <w:rPr>
          <w:rFonts w:ascii="Arial" w:hAnsi="Arial" w:cs="Arial"/>
          <w:szCs w:val="21"/>
        </w:rPr>
      </w:pPr>
      <w:r w:rsidRPr="00747050">
        <w:rPr>
          <w:rFonts w:ascii="Arial" w:hAnsi="Arial" w:cs="Arial"/>
          <w:szCs w:val="21"/>
        </w:rPr>
        <w:t>In base alla struttura di classificazione degli indici e al dettaglio territoriale, gli indici NIC sono pubblicati fino al livello dei segmenti di consumo se riferiti all’intero territorio nazionale</w:t>
      </w:r>
      <w:r w:rsidRPr="00747050">
        <w:rPr>
          <w:rFonts w:ascii="Arial" w:hAnsi="Arial"/>
          <w:szCs w:val="21"/>
          <w:vertAlign w:val="superscript"/>
        </w:rPr>
        <w:footnoteReference w:id="11"/>
      </w:r>
      <w:r w:rsidRPr="00747050">
        <w:rPr>
          <w:rFonts w:ascii="Arial" w:hAnsi="Arial" w:cs="Arial"/>
          <w:szCs w:val="21"/>
        </w:rPr>
        <w:t xml:space="preserve">, fino a quello dei gruppi di prodotto se riferiti a ripartizione, regione e provincia. Gli indici FOI sono diffusi a livello nazionale e provinciale fino alle divisioni di spesa. </w:t>
      </w:r>
    </w:p>
    <w:p w:rsidR="009C1925" w:rsidRPr="00747050" w:rsidRDefault="009C1925" w:rsidP="009C1925">
      <w:pPr>
        <w:widowControl/>
        <w:overflowPunct/>
        <w:spacing w:before="0" w:after="120"/>
        <w:jc w:val="both"/>
        <w:rPr>
          <w:rFonts w:ascii="Arial" w:hAnsi="Arial" w:cs="Arial"/>
        </w:rPr>
      </w:pPr>
      <w:r w:rsidRPr="00747050">
        <w:rPr>
          <w:rFonts w:ascii="Arial" w:hAnsi="Arial" w:cs="Arial"/>
        </w:rPr>
        <w:t>In aggiunta, sia con riferimento all’indice NIC sia all’IPCA, vengono calcolati indici dei prezzi basati su schemi classificatori alternativi alla classificazione ECOICOP, rispettivamente gli indici per tipologia di prodotto e quelli degli aggregati speciali (IPCA-AS). In particolare,</w:t>
      </w:r>
      <w:r w:rsidRPr="00747050">
        <w:rPr>
          <w:rFonts w:ascii="Arial" w:hAnsi="Arial" w:cs="Arial"/>
          <w:szCs w:val="21"/>
        </w:rPr>
        <w:t xml:space="preserve"> </w:t>
      </w:r>
      <w:r w:rsidRPr="00747050">
        <w:rPr>
          <w:rFonts w:ascii="Arial" w:hAnsi="Arial" w:cs="Arial"/>
        </w:rPr>
        <w:t>gli IPCA-AS sono elaborati adottando lo stesso metodo di calcolo utilizzato da Eurostat (diverso da quello adottato per le tipologie di prodotto del NIC), al fine di permettere la piena comparabilità tra gli indici italiani e quelli elaborati da Eurostat per l’Ue, la zona euro e gli altri Paesi europei</w:t>
      </w:r>
      <w:r w:rsidRPr="00747050">
        <w:rPr>
          <w:rFonts w:ascii="Arial" w:hAnsi="Arial"/>
          <w:vertAlign w:val="superscript"/>
        </w:rPr>
        <w:footnoteReference w:id="12"/>
      </w:r>
      <w:r w:rsidRPr="00747050">
        <w:rPr>
          <w:rFonts w:ascii="Arial" w:hAnsi="Arial" w:cs="Arial"/>
        </w:rPr>
        <w:t xml:space="preserve">. Gli </w:t>
      </w:r>
      <w:r w:rsidRPr="00747050">
        <w:rPr>
          <w:rFonts w:ascii="Arial" w:hAnsi="Arial" w:cs="Arial"/>
        </w:rPr>
        <w:lastRenderedPageBreak/>
        <w:t>IPCA-AS a partire dai dati definitivi di gennaio 2019 sono calcolati aggregando gli indici delle sottoclassi della ECOICOP (in precedenza, per il computo di questi indicatori erano utilizzati gli indici delle classi). Per una migliore fruibilità dei nuovi indicatori, le serie degli aggregati speciali, secondo il nuovo schema, sono state ricostruite per il periodo gennaio 2017 - dicembre 2018.</w:t>
      </w:r>
    </w:p>
    <w:p w:rsidR="009C1925" w:rsidRPr="008E006C" w:rsidRDefault="009C1925" w:rsidP="009C1925">
      <w:pPr>
        <w:widowControl/>
        <w:tabs>
          <w:tab w:val="left" w:pos="10206"/>
        </w:tabs>
        <w:overflowPunct/>
        <w:spacing w:before="0" w:after="120"/>
        <w:jc w:val="both"/>
        <w:rPr>
          <w:rFonts w:ascii="Arial" w:hAnsi="Arial" w:cs="Arial"/>
          <w:szCs w:val="21"/>
        </w:rPr>
      </w:pPr>
    </w:p>
    <w:p w:rsidR="009C1925" w:rsidRPr="00833545" w:rsidRDefault="009C1925" w:rsidP="009C1925">
      <w:pPr>
        <w:pStyle w:val="Rientrocorpodeltesto"/>
        <w:spacing w:before="0"/>
        <w:ind w:left="0" w:hanging="1"/>
        <w:rPr>
          <w:rFonts w:ascii="Arial" w:hAnsi="Arial" w:cs="Arial"/>
          <w:b/>
          <w:bCs/>
          <w:szCs w:val="22"/>
        </w:rPr>
      </w:pPr>
      <w:r w:rsidRPr="00833545">
        <w:rPr>
          <w:rFonts w:ascii="Arial" w:hAnsi="Arial" w:cs="Arial"/>
          <w:b/>
          <w:bCs/>
          <w:szCs w:val="22"/>
        </w:rPr>
        <w:t>Rilevazione e calcolo degli indici dei prezzi dei prodotti stagionali</w:t>
      </w:r>
    </w:p>
    <w:p w:rsidR="009C1925" w:rsidRPr="00747050" w:rsidRDefault="009C1925" w:rsidP="009C1925">
      <w:pPr>
        <w:spacing w:before="0" w:after="120"/>
        <w:jc w:val="both"/>
        <w:rPr>
          <w:rFonts w:ascii="Arial" w:hAnsi="Arial" w:cs="Arial"/>
        </w:rPr>
      </w:pPr>
      <w:r w:rsidRPr="00747050">
        <w:rPr>
          <w:rFonts w:ascii="Arial" w:hAnsi="Arial" w:cs="Arial"/>
        </w:rPr>
        <w:t xml:space="preserve">Dai dati di gennaio 2011 viene adottata la metodologia di rilevazione e calcolo degli indici dei prezzi dei prodotti stagionali, conforme alle norme previste prima dal Regolamento (CE) n. 330/2009 del 22 aprile 2009 e poi dal Regolamento di Esecuzione (UE) n. 2020/1148 della Commissione del 31 luglio 2020 (che ha abrogato il Regolamento 330/2009), per i prodotti stagionali appartenenti ai gruppi e classi di prodotto </w:t>
      </w:r>
      <w:r w:rsidRPr="00747050">
        <w:rPr>
          <w:rFonts w:ascii="Arial" w:hAnsi="Arial" w:cs="Arial"/>
          <w:i/>
        </w:rPr>
        <w:t>Frutta,</w:t>
      </w:r>
      <w:r w:rsidRPr="00747050">
        <w:rPr>
          <w:rFonts w:ascii="Arial" w:hAnsi="Arial" w:cs="Arial"/>
        </w:rPr>
        <w:t xml:space="preserve"> </w:t>
      </w:r>
      <w:r w:rsidRPr="00747050">
        <w:rPr>
          <w:rFonts w:ascii="Arial" w:hAnsi="Arial" w:cs="Arial"/>
          <w:i/>
        </w:rPr>
        <w:t>Vegetali</w:t>
      </w:r>
      <w:r w:rsidRPr="00747050">
        <w:rPr>
          <w:rFonts w:ascii="Arial" w:hAnsi="Arial" w:cs="Arial"/>
        </w:rPr>
        <w:t xml:space="preserve">, </w:t>
      </w:r>
      <w:r w:rsidRPr="00747050">
        <w:rPr>
          <w:rFonts w:ascii="Arial" w:hAnsi="Arial" w:cs="Arial"/>
          <w:i/>
        </w:rPr>
        <w:t>Abbigliamento e Calzature</w:t>
      </w:r>
      <w:r w:rsidRPr="00747050">
        <w:rPr>
          <w:rFonts w:ascii="Arial" w:hAnsi="Arial" w:cs="Arial"/>
        </w:rPr>
        <w:t>. La metodologia è adottata per i tre indici NIC, FOI e IPCA.</w:t>
      </w:r>
    </w:p>
    <w:p w:rsidR="009C1925" w:rsidRPr="00747050" w:rsidRDefault="009C1925" w:rsidP="009C1925">
      <w:pPr>
        <w:spacing w:before="0" w:after="120"/>
        <w:jc w:val="both"/>
        <w:rPr>
          <w:rFonts w:ascii="Arial" w:hAnsi="Arial" w:cs="Arial"/>
        </w:rPr>
      </w:pPr>
      <w:r w:rsidRPr="00747050">
        <w:rPr>
          <w:rFonts w:ascii="Arial" w:hAnsi="Arial" w:cs="Arial"/>
        </w:rPr>
        <w:t xml:space="preserve">Secondo il citato Regolamento si definisce </w:t>
      </w:r>
      <w:r w:rsidRPr="00747050">
        <w:rPr>
          <w:rFonts w:ascii="Arial" w:hAnsi="Arial" w:cs="Arial"/>
          <w:i/>
        </w:rPr>
        <w:t>prodotto stagionale</w:t>
      </w:r>
      <w:r w:rsidRPr="00747050">
        <w:rPr>
          <w:rFonts w:ascii="Arial" w:hAnsi="Arial" w:cs="Arial"/>
        </w:rPr>
        <w:t xml:space="preserve"> un singolo prodotto acquistabile o acquistato in quantità significative solo durante una parte dell’anno secondo uno schema ricorrente. </w:t>
      </w:r>
    </w:p>
    <w:p w:rsidR="009C1925" w:rsidRPr="00747050" w:rsidRDefault="009C1925" w:rsidP="009C1925">
      <w:pPr>
        <w:pStyle w:val="Default"/>
        <w:spacing w:after="120"/>
        <w:jc w:val="both"/>
        <w:rPr>
          <w:rFonts w:ascii="Arial" w:hAnsi="Arial" w:cs="Arial"/>
          <w:sz w:val="20"/>
          <w:szCs w:val="20"/>
        </w:rPr>
      </w:pPr>
      <w:r w:rsidRPr="00747050">
        <w:rPr>
          <w:rFonts w:ascii="Arial" w:hAnsi="Arial" w:cs="Arial"/>
          <w:sz w:val="20"/>
          <w:szCs w:val="20"/>
        </w:rPr>
        <w:t>Il Regolamento stabilisce, inoltre, che, in un dato mese, i prodotti stagionali siano considerati “in stagione” o “fuori stagione”. Sulla base di tale norma, ogni anno, l’Istat provvede alla definizione del calendario mensile valido per tutto l’anno, che stabilisce in un dato mese quando ogni specifico prodotto, appartenente alle suddette categorie o ai suddetti gruppi, deve essere considerato “</w:t>
      </w:r>
      <w:r w:rsidRPr="00747050">
        <w:rPr>
          <w:rFonts w:ascii="Arial" w:hAnsi="Arial" w:cs="Arial"/>
          <w:i/>
          <w:sz w:val="20"/>
          <w:szCs w:val="20"/>
        </w:rPr>
        <w:t>in stagione”</w:t>
      </w:r>
      <w:r w:rsidRPr="00747050">
        <w:rPr>
          <w:rFonts w:ascii="Arial" w:hAnsi="Arial" w:cs="Arial"/>
          <w:sz w:val="20"/>
          <w:szCs w:val="20"/>
        </w:rPr>
        <w:t xml:space="preserve"> oppure “</w:t>
      </w:r>
      <w:r w:rsidRPr="00747050">
        <w:rPr>
          <w:rFonts w:ascii="Arial" w:hAnsi="Arial" w:cs="Arial"/>
          <w:i/>
          <w:sz w:val="20"/>
          <w:szCs w:val="20"/>
        </w:rPr>
        <w:t>fuori stagione”</w:t>
      </w:r>
      <w:r w:rsidRPr="00747050">
        <w:rPr>
          <w:rFonts w:ascii="Arial" w:hAnsi="Arial" w:cs="Arial"/>
          <w:sz w:val="20"/>
          <w:szCs w:val="20"/>
        </w:rPr>
        <w:t>. L’adozione di un calendario della stagionalità comporta che la rilevazione territoriale dei prezzi al consumo sia effettuata solo nei mesi in cui il prodotto in questione è definito “</w:t>
      </w:r>
      <w:r w:rsidRPr="00747050">
        <w:rPr>
          <w:rFonts w:ascii="Arial" w:hAnsi="Arial" w:cs="Arial"/>
          <w:i/>
          <w:sz w:val="20"/>
          <w:szCs w:val="20"/>
        </w:rPr>
        <w:t>in stagione</w:t>
      </w:r>
      <w:r w:rsidRPr="00747050">
        <w:rPr>
          <w:rFonts w:ascii="Arial" w:hAnsi="Arial" w:cs="Arial"/>
          <w:sz w:val="20"/>
          <w:szCs w:val="20"/>
        </w:rPr>
        <w:t>”, mentre i prezzi dei prodotti “</w:t>
      </w:r>
      <w:r w:rsidRPr="00747050">
        <w:rPr>
          <w:rFonts w:ascii="Arial" w:hAnsi="Arial" w:cs="Arial"/>
          <w:i/>
          <w:sz w:val="20"/>
          <w:szCs w:val="20"/>
        </w:rPr>
        <w:t>fuori stagione</w:t>
      </w:r>
      <w:r w:rsidRPr="00747050">
        <w:rPr>
          <w:rFonts w:ascii="Arial" w:hAnsi="Arial" w:cs="Arial"/>
          <w:sz w:val="20"/>
          <w:szCs w:val="20"/>
        </w:rPr>
        <w:t>” sono stimati sulla base di una metodologia coerente con le indicazioni contenute nel Regolamento europeo.</w:t>
      </w:r>
    </w:p>
    <w:p w:rsidR="009C1925" w:rsidRDefault="009C1925" w:rsidP="009C1925">
      <w:pPr>
        <w:pStyle w:val="Default"/>
        <w:spacing w:after="120"/>
        <w:jc w:val="both"/>
        <w:rPr>
          <w:rFonts w:ascii="Arial" w:hAnsi="Arial" w:cs="Arial"/>
          <w:sz w:val="20"/>
          <w:szCs w:val="20"/>
        </w:rPr>
      </w:pPr>
    </w:p>
    <w:p w:rsidR="009C1925" w:rsidRPr="001D642A" w:rsidRDefault="009C1925" w:rsidP="009C1925">
      <w:pPr>
        <w:spacing w:before="0" w:after="120"/>
        <w:jc w:val="both"/>
        <w:rPr>
          <w:rFonts w:ascii="Arial" w:hAnsi="Arial" w:cs="Arial"/>
          <w:b/>
          <w:szCs w:val="22"/>
        </w:rPr>
      </w:pPr>
      <w:r w:rsidRPr="001D642A">
        <w:rPr>
          <w:rFonts w:ascii="Arial" w:hAnsi="Arial" w:cs="Arial"/>
          <w:b/>
          <w:szCs w:val="22"/>
        </w:rPr>
        <w:t>Stim</w:t>
      </w:r>
      <w:r>
        <w:rPr>
          <w:rFonts w:ascii="Arial" w:hAnsi="Arial" w:cs="Arial"/>
          <w:b/>
          <w:szCs w:val="22"/>
        </w:rPr>
        <w:t>a</w:t>
      </w:r>
      <w:r w:rsidRPr="001D642A">
        <w:rPr>
          <w:rFonts w:ascii="Arial" w:hAnsi="Arial" w:cs="Arial"/>
          <w:b/>
          <w:szCs w:val="22"/>
        </w:rPr>
        <w:t xml:space="preserve"> delle </w:t>
      </w:r>
      <w:r>
        <w:rPr>
          <w:rFonts w:ascii="Arial" w:hAnsi="Arial" w:cs="Arial"/>
          <w:b/>
          <w:szCs w:val="22"/>
        </w:rPr>
        <w:t>osservazioni</w:t>
      </w:r>
      <w:r w:rsidRPr="001D642A">
        <w:rPr>
          <w:rFonts w:ascii="Arial" w:hAnsi="Arial" w:cs="Arial"/>
          <w:b/>
          <w:szCs w:val="22"/>
        </w:rPr>
        <w:t xml:space="preserve"> </w:t>
      </w:r>
      <w:r>
        <w:rPr>
          <w:rFonts w:ascii="Arial" w:hAnsi="Arial" w:cs="Arial"/>
          <w:b/>
          <w:szCs w:val="22"/>
        </w:rPr>
        <w:t xml:space="preserve">mancanti </w:t>
      </w:r>
      <w:r w:rsidRPr="001D642A">
        <w:rPr>
          <w:rFonts w:ascii="Arial" w:hAnsi="Arial" w:cs="Arial"/>
          <w:b/>
          <w:szCs w:val="22"/>
        </w:rPr>
        <w:t>negli indici dei prezzi al consumo</w:t>
      </w:r>
    </w:p>
    <w:p w:rsidR="009C1925" w:rsidRPr="002875F7" w:rsidRDefault="009C1925" w:rsidP="009C1925">
      <w:pPr>
        <w:pStyle w:val="Default"/>
        <w:spacing w:after="120"/>
        <w:jc w:val="both"/>
        <w:rPr>
          <w:rFonts w:ascii="Arial" w:hAnsi="Arial" w:cs="Arial"/>
          <w:sz w:val="20"/>
          <w:szCs w:val="20"/>
        </w:rPr>
      </w:pPr>
      <w:r w:rsidRPr="002875F7">
        <w:rPr>
          <w:rFonts w:ascii="Arial" w:hAnsi="Arial" w:cs="Arial"/>
          <w:sz w:val="20"/>
          <w:szCs w:val="20"/>
        </w:rPr>
        <w:t>Le procedure di imputazione delle osservazioni mancanti adottate dall’Istat per la stima dell’inflazione sono coerenti con l’impianto metodologico indicato da Eurostat e condiviso con gli Stati membri dell’Unione europea</w:t>
      </w:r>
      <w:r w:rsidRPr="002875F7">
        <w:rPr>
          <w:rStyle w:val="Rimandonotaapidipagina"/>
          <w:rFonts w:ascii="Arial" w:hAnsi="Arial"/>
          <w:sz w:val="20"/>
          <w:szCs w:val="20"/>
        </w:rPr>
        <w:footnoteReference w:id="13"/>
      </w:r>
      <w:r w:rsidRPr="002875F7">
        <w:rPr>
          <w:rFonts w:ascii="Arial" w:hAnsi="Arial" w:cs="Arial"/>
          <w:sz w:val="20"/>
          <w:szCs w:val="20"/>
        </w:rPr>
        <w:t xml:space="preserve">. </w:t>
      </w:r>
    </w:p>
    <w:p w:rsidR="009C1925" w:rsidRPr="002875F7" w:rsidRDefault="009C1925" w:rsidP="009C1925">
      <w:pPr>
        <w:pStyle w:val="Default"/>
        <w:spacing w:after="120"/>
        <w:jc w:val="both"/>
        <w:rPr>
          <w:rFonts w:ascii="Arial" w:hAnsi="Arial" w:cs="Arial"/>
          <w:sz w:val="20"/>
          <w:szCs w:val="20"/>
        </w:rPr>
      </w:pPr>
      <w:r w:rsidRPr="002875F7">
        <w:rPr>
          <w:rFonts w:ascii="Arial" w:hAnsi="Arial" w:cs="Arial"/>
          <w:sz w:val="20"/>
          <w:szCs w:val="20"/>
        </w:rPr>
        <w:t xml:space="preserve">Questo impianto, che riguarda tutti e tre gli indici (NIC, FOI e IPCA), si basa su tre principi: </w:t>
      </w:r>
    </w:p>
    <w:p w:rsidR="009C1925" w:rsidRPr="002875F7" w:rsidRDefault="009C1925" w:rsidP="009C1925">
      <w:pPr>
        <w:pStyle w:val="Default"/>
        <w:spacing w:after="120"/>
        <w:ind w:left="284"/>
        <w:jc w:val="both"/>
        <w:rPr>
          <w:rFonts w:ascii="Arial" w:hAnsi="Arial" w:cs="Arial"/>
          <w:sz w:val="20"/>
          <w:szCs w:val="20"/>
        </w:rPr>
      </w:pPr>
      <w:r w:rsidRPr="002875F7">
        <w:rPr>
          <w:rFonts w:ascii="Arial" w:hAnsi="Arial" w:cs="Arial"/>
          <w:sz w:val="20"/>
          <w:szCs w:val="20"/>
        </w:rPr>
        <w:t>1.</w:t>
      </w:r>
      <w:r w:rsidRPr="002875F7">
        <w:rPr>
          <w:rFonts w:ascii="Arial" w:hAnsi="Arial" w:cs="Arial"/>
          <w:sz w:val="20"/>
          <w:szCs w:val="20"/>
        </w:rPr>
        <w:tab/>
        <w:t>stabilità dei pesi degli aggregati di prodotto che compongono il paniere,</w:t>
      </w:r>
    </w:p>
    <w:p w:rsidR="009C1925" w:rsidRPr="002875F7" w:rsidRDefault="009C1925" w:rsidP="009C1925">
      <w:pPr>
        <w:pStyle w:val="Default"/>
        <w:spacing w:after="120"/>
        <w:ind w:left="284"/>
        <w:jc w:val="both"/>
        <w:rPr>
          <w:rFonts w:ascii="Arial" w:hAnsi="Arial" w:cs="Arial"/>
          <w:sz w:val="20"/>
          <w:szCs w:val="20"/>
        </w:rPr>
      </w:pPr>
      <w:r w:rsidRPr="002875F7">
        <w:rPr>
          <w:rFonts w:ascii="Arial" w:hAnsi="Arial" w:cs="Arial"/>
          <w:sz w:val="20"/>
          <w:szCs w:val="20"/>
        </w:rPr>
        <w:t>2.</w:t>
      </w:r>
      <w:r w:rsidRPr="002875F7">
        <w:rPr>
          <w:rFonts w:ascii="Arial" w:hAnsi="Arial" w:cs="Arial"/>
          <w:sz w:val="20"/>
          <w:szCs w:val="20"/>
        </w:rPr>
        <w:tab/>
        <w:t>calcolo degli indici per tutti gli aggregati di prodotto e i diversi livelli di disaggregazione previsti dalla ECOICOP,</w:t>
      </w:r>
    </w:p>
    <w:p w:rsidR="009C1925" w:rsidRPr="002875F7" w:rsidRDefault="009C1925" w:rsidP="009C1925">
      <w:pPr>
        <w:pStyle w:val="Default"/>
        <w:spacing w:after="120"/>
        <w:ind w:left="284"/>
        <w:jc w:val="both"/>
        <w:rPr>
          <w:rFonts w:ascii="Arial" w:hAnsi="Arial" w:cs="Arial"/>
          <w:sz w:val="20"/>
          <w:szCs w:val="20"/>
        </w:rPr>
      </w:pPr>
      <w:r w:rsidRPr="002875F7">
        <w:rPr>
          <w:rFonts w:ascii="Arial" w:hAnsi="Arial" w:cs="Arial"/>
          <w:sz w:val="20"/>
          <w:szCs w:val="20"/>
        </w:rPr>
        <w:t>3.</w:t>
      </w:r>
      <w:r w:rsidRPr="002875F7">
        <w:rPr>
          <w:rFonts w:ascii="Arial" w:hAnsi="Arial" w:cs="Arial"/>
          <w:sz w:val="20"/>
          <w:szCs w:val="20"/>
        </w:rPr>
        <w:tab/>
        <w:t>minimizzazione del numero di prezzi imputati</w:t>
      </w:r>
      <w:r w:rsidRPr="002875F7">
        <w:rPr>
          <w:rStyle w:val="Rimandonotaapidipagina"/>
          <w:rFonts w:ascii="Arial" w:hAnsi="Arial"/>
          <w:sz w:val="20"/>
          <w:szCs w:val="20"/>
        </w:rPr>
        <w:footnoteReference w:id="14"/>
      </w:r>
      <w:r w:rsidRPr="002875F7">
        <w:rPr>
          <w:rFonts w:ascii="Arial" w:hAnsi="Arial" w:cs="Arial"/>
          <w:sz w:val="20"/>
          <w:szCs w:val="20"/>
        </w:rPr>
        <w:t>.</w:t>
      </w:r>
    </w:p>
    <w:p w:rsidR="009C1925" w:rsidRPr="002875F7" w:rsidRDefault="009C1925" w:rsidP="009C1925">
      <w:pPr>
        <w:pStyle w:val="Default"/>
        <w:spacing w:after="120"/>
        <w:jc w:val="both"/>
        <w:rPr>
          <w:rFonts w:ascii="Arial" w:hAnsi="Arial" w:cs="Arial"/>
          <w:sz w:val="20"/>
          <w:szCs w:val="20"/>
        </w:rPr>
      </w:pPr>
      <w:r w:rsidRPr="002875F7">
        <w:rPr>
          <w:rFonts w:ascii="Arial" w:hAnsi="Arial" w:cs="Arial"/>
          <w:sz w:val="20"/>
          <w:szCs w:val="20"/>
        </w:rPr>
        <w:t xml:space="preserve">Le regole di imputazione si applicano sia ai casi in cui non è possibile rilevare il prezzo di un prodotto, sia ai casi nei quali l’assenza del prezzo deriva dalla sua indisponibilità nel mercato, e comportano l’applicazione di procedure di ricostruzione del prezzo mancante della referenza, basate prevalentemente sulla variazione del prezzo rispetto al mese precedente. </w:t>
      </w:r>
    </w:p>
    <w:p w:rsidR="009C1925" w:rsidRPr="002875F7" w:rsidRDefault="009C1925" w:rsidP="009C1925">
      <w:pPr>
        <w:pStyle w:val="Default"/>
        <w:spacing w:after="120"/>
        <w:jc w:val="both"/>
        <w:rPr>
          <w:rFonts w:ascii="Arial" w:hAnsi="Arial" w:cs="Arial"/>
          <w:sz w:val="20"/>
          <w:szCs w:val="20"/>
        </w:rPr>
      </w:pPr>
      <w:r w:rsidRPr="002875F7">
        <w:rPr>
          <w:rFonts w:ascii="Arial" w:hAnsi="Arial" w:cs="Arial"/>
          <w:sz w:val="20"/>
          <w:szCs w:val="20"/>
        </w:rPr>
        <w:t xml:space="preserve">L’individuazione della variazione congiunturale più idonea per la procedura di imputazione non è univocamente determinata, ma dipende da diversi fattori (tra i quali la quota di mancate rilevazioni per prodotto, la sua posizione nella struttura gerarchica, il suo grado di volatilità mensile e il carattere stagionale della dinamica dei prezzi). </w:t>
      </w:r>
    </w:p>
    <w:p w:rsidR="009C1925" w:rsidRPr="002875F7" w:rsidRDefault="009C1925" w:rsidP="009C1925">
      <w:pPr>
        <w:pStyle w:val="Default"/>
        <w:spacing w:after="120"/>
        <w:jc w:val="both"/>
        <w:rPr>
          <w:rFonts w:ascii="Arial" w:hAnsi="Arial" w:cs="Arial"/>
          <w:sz w:val="20"/>
          <w:szCs w:val="20"/>
        </w:rPr>
      </w:pPr>
      <w:r w:rsidRPr="002875F7">
        <w:rPr>
          <w:rFonts w:ascii="Arial" w:hAnsi="Arial" w:cs="Arial"/>
          <w:sz w:val="20"/>
          <w:szCs w:val="20"/>
        </w:rPr>
        <w:t>Le regole di imputazione delle mancate rilevazioni dei prezzi applicate ai prodotti delle diverse categorie merceologiche, sono di seguito elencate:</w:t>
      </w:r>
    </w:p>
    <w:p w:rsidR="009C1925" w:rsidRPr="002875F7" w:rsidRDefault="009C1925" w:rsidP="009C1925">
      <w:pPr>
        <w:pStyle w:val="Default"/>
        <w:numPr>
          <w:ilvl w:val="0"/>
          <w:numId w:val="9"/>
        </w:numPr>
        <w:ind w:left="567" w:hanging="357"/>
        <w:jc w:val="both"/>
        <w:rPr>
          <w:rFonts w:ascii="Arial" w:hAnsi="Arial" w:cs="Arial"/>
          <w:sz w:val="20"/>
          <w:szCs w:val="20"/>
        </w:rPr>
      </w:pPr>
      <w:r w:rsidRPr="002875F7">
        <w:rPr>
          <w:rFonts w:ascii="Arial" w:hAnsi="Arial" w:cs="Arial"/>
          <w:sz w:val="20"/>
          <w:szCs w:val="20"/>
        </w:rPr>
        <w:t>Per i prodotti grocery rilevati tramite scanner data, nell’ambito dell’approccio dinamico utilizzato per il calcolo degli indici e in accordo con le linee guida dell’Eurostat, i prezzi delle referenze (GTIN) temporaneamente assenti (per cause stagionali o accidentali) vengono imputati per un massimo di 14 mesi consecutivi.</w:t>
      </w:r>
    </w:p>
    <w:p w:rsidR="009C1925" w:rsidRPr="002875F7" w:rsidRDefault="009C1925" w:rsidP="009C1925">
      <w:pPr>
        <w:pStyle w:val="Default"/>
        <w:spacing w:before="120"/>
        <w:ind w:left="567"/>
        <w:jc w:val="both"/>
        <w:rPr>
          <w:rFonts w:ascii="Arial" w:hAnsi="Arial" w:cs="Arial"/>
          <w:sz w:val="20"/>
          <w:szCs w:val="20"/>
        </w:rPr>
      </w:pPr>
      <w:r w:rsidRPr="002875F7">
        <w:rPr>
          <w:rFonts w:ascii="Arial" w:hAnsi="Arial" w:cs="Arial"/>
          <w:sz w:val="20"/>
          <w:szCs w:val="20"/>
        </w:rPr>
        <w:lastRenderedPageBreak/>
        <w:t>In particolare, qualora i prezzi mensili di alcune referenze di un determinato aggregato di prodotto risultino mancanti (come nel caso di assenza di vendite di un prodotto), essi vengono imputati per variazione, utilizzando il tasso di crescita su base mensile delle altre referenze, tenendo conto delle regole di aggregazione, per step successivi, adottate per la sintesi degli indici</w:t>
      </w:r>
      <w:r w:rsidRPr="002875F7">
        <w:rPr>
          <w:rStyle w:val="Rimandonotaapidipagina"/>
          <w:rFonts w:ascii="Arial" w:hAnsi="Arial"/>
          <w:sz w:val="20"/>
          <w:szCs w:val="20"/>
        </w:rPr>
        <w:footnoteReference w:id="15"/>
      </w:r>
      <w:r w:rsidRPr="002875F7">
        <w:rPr>
          <w:rFonts w:ascii="Arial" w:hAnsi="Arial" w:cs="Arial"/>
          <w:sz w:val="20"/>
          <w:szCs w:val="20"/>
        </w:rPr>
        <w:t xml:space="preserve">. </w:t>
      </w:r>
    </w:p>
    <w:p w:rsidR="009C1925" w:rsidRPr="002875F7" w:rsidRDefault="009C1925" w:rsidP="009C1925">
      <w:pPr>
        <w:pStyle w:val="Default"/>
        <w:spacing w:before="120"/>
        <w:ind w:left="567"/>
        <w:jc w:val="both"/>
        <w:rPr>
          <w:rFonts w:ascii="Arial" w:hAnsi="Arial" w:cs="Arial"/>
          <w:sz w:val="20"/>
          <w:szCs w:val="20"/>
        </w:rPr>
      </w:pPr>
      <w:r w:rsidRPr="002875F7">
        <w:rPr>
          <w:rFonts w:ascii="Arial" w:hAnsi="Arial" w:cs="Arial"/>
          <w:sz w:val="20"/>
          <w:szCs w:val="20"/>
        </w:rPr>
        <w:t>Più in dettaglio, i prezzi mancanti vengono imputati all’interno di ciascun punto vendita stimando l’evoluzione dei prezzi dei GTIN effettivamente venduti nel mercato ECR cui il GTIN mancante appartiene. Per i GTIN che non trovano donatori all’interno del mercato ECR si considera lo strato cui appartiene il punto vendita e i prezzi mancanti vengono stimati seguendo l’evoluzione dei prezzi dello stesso mercato nello strato. Qualora non esistano donatori la procedura di stima sale di livello (provincia/aggregato di prodotto) fino ad imputare tutti i prezzi delle referenze mancanti. La metodologia implementata garantisce che la variazione degli aggregati di prodotto tenga conto delle sole informazioni effettivamente disponibili (l’imputazione è neutrale rispetto all’aggregazione).</w:t>
      </w:r>
    </w:p>
    <w:p w:rsidR="009C1925" w:rsidRPr="002875F7" w:rsidRDefault="009C1925" w:rsidP="009C1925">
      <w:pPr>
        <w:pStyle w:val="Default"/>
        <w:spacing w:before="120"/>
        <w:ind w:left="567"/>
        <w:jc w:val="both"/>
        <w:rPr>
          <w:rFonts w:ascii="Arial" w:hAnsi="Arial" w:cs="Arial"/>
          <w:sz w:val="20"/>
          <w:szCs w:val="20"/>
        </w:rPr>
      </w:pPr>
      <w:r w:rsidRPr="002875F7">
        <w:rPr>
          <w:rFonts w:ascii="Arial" w:hAnsi="Arial" w:cs="Arial"/>
          <w:sz w:val="20"/>
          <w:szCs w:val="20"/>
        </w:rPr>
        <w:t>Le stesse regole di imputazione valgono nel caso in cui l’indisponibilità delle informazioni è dovuta alla chiusura del punto vendita. In tal caso vengono imputati i prezzi di tutte le corrispondenti referenze.</w:t>
      </w:r>
    </w:p>
    <w:p w:rsidR="009C1925" w:rsidRPr="002875F7" w:rsidRDefault="009C1925" w:rsidP="009C1925">
      <w:pPr>
        <w:pStyle w:val="Default"/>
        <w:numPr>
          <w:ilvl w:val="0"/>
          <w:numId w:val="9"/>
        </w:numPr>
        <w:spacing w:before="120" w:after="120"/>
        <w:ind w:left="568" w:hanging="284"/>
        <w:jc w:val="both"/>
        <w:rPr>
          <w:rFonts w:ascii="Arial" w:hAnsi="Arial" w:cs="Arial"/>
          <w:sz w:val="20"/>
          <w:szCs w:val="20"/>
        </w:rPr>
      </w:pPr>
      <w:r w:rsidRPr="002875F7">
        <w:rPr>
          <w:rFonts w:ascii="Arial" w:hAnsi="Arial" w:cs="Arial"/>
          <w:sz w:val="20"/>
          <w:szCs w:val="20"/>
        </w:rPr>
        <w:t>Nel settore dell’abbigliamento e calzature e per i prodotti alimentari freschi, quali frutta e vegetali freschi, per i quali è prevista la rilevazione bimensile, nel caso in cui non siano disponibili i prezzi per entrambe le date di rilevazione, le mancate risposte sono imputate per variazione dei prezzi delle referenze che sono state rilevate per lo stesso prodotto nel capoluogo di provincia, oppure nella regione o a livello nazionale, applicando le consuete procedure per la stima dei prezzi dei prodotti stagionali.</w:t>
      </w:r>
    </w:p>
    <w:p w:rsidR="009C1925" w:rsidRPr="002875F7" w:rsidRDefault="009C1925" w:rsidP="009C1925">
      <w:pPr>
        <w:pStyle w:val="Default"/>
        <w:numPr>
          <w:ilvl w:val="0"/>
          <w:numId w:val="9"/>
        </w:numPr>
        <w:spacing w:after="120"/>
        <w:ind w:left="567"/>
        <w:jc w:val="both"/>
        <w:rPr>
          <w:rFonts w:ascii="Arial" w:hAnsi="Arial" w:cs="Arial"/>
          <w:sz w:val="20"/>
          <w:szCs w:val="20"/>
        </w:rPr>
      </w:pPr>
      <w:r w:rsidRPr="002875F7">
        <w:rPr>
          <w:rFonts w:ascii="Arial" w:hAnsi="Arial" w:cs="Arial"/>
          <w:sz w:val="20"/>
          <w:szCs w:val="20"/>
        </w:rPr>
        <w:t>Per la stima dei prezzi dei prodotti alimentari freschi (per i quali è prevista la rilevazione mensile), dei prodotti ittici freschi (per i quali è prevista la rilevazione bimensile, nel caso in cui non siano disponibili i prezzi per entrambe le date di rilevazione), le mancate risposte sono imputate per variazione dei prezzi delle referenze rilevate per lo stesso prodotto nel capoluogo di provincia, oppure nella regione o a livello nazionale.</w:t>
      </w:r>
    </w:p>
    <w:p w:rsidR="009C1925" w:rsidRPr="002875F7" w:rsidRDefault="009C1925" w:rsidP="009C1925">
      <w:pPr>
        <w:pStyle w:val="Default"/>
        <w:numPr>
          <w:ilvl w:val="0"/>
          <w:numId w:val="9"/>
        </w:numPr>
        <w:spacing w:after="120"/>
        <w:ind w:left="567" w:hanging="283"/>
        <w:jc w:val="both"/>
        <w:rPr>
          <w:rFonts w:ascii="Arial" w:hAnsi="Arial" w:cs="Arial"/>
          <w:sz w:val="20"/>
          <w:szCs w:val="20"/>
        </w:rPr>
      </w:pPr>
      <w:r w:rsidRPr="002875F7">
        <w:rPr>
          <w:rFonts w:ascii="Arial" w:hAnsi="Arial" w:cs="Arial"/>
          <w:sz w:val="20"/>
          <w:szCs w:val="20"/>
        </w:rPr>
        <w:t>Per i prodotti (definiti in base alla categoria) che compongono l’aggregato camera d’albergo, a partire da gennaio 2022, le mancate risposte imputate utilizzando la variazione congiunturale dei prezzi degli alberghi rilevati nella provincia per la stessa categoria di alberghi, oppure nello stesso aggregato o, se il numero di osservazioni disponibili nel mese di riferimento non lo consente, la variazione congiunturale osservata nella provincia nello stesso mese dell’anno precedente, al fine di preservare la dinamica stagionale dell’aggregato.</w:t>
      </w:r>
    </w:p>
    <w:p w:rsidR="009C1925" w:rsidRPr="002875F7" w:rsidRDefault="009C1925" w:rsidP="009C1925">
      <w:pPr>
        <w:pStyle w:val="Default"/>
        <w:numPr>
          <w:ilvl w:val="0"/>
          <w:numId w:val="9"/>
        </w:numPr>
        <w:spacing w:after="120"/>
        <w:ind w:left="567" w:hanging="283"/>
        <w:jc w:val="both"/>
        <w:rPr>
          <w:rFonts w:ascii="Arial" w:hAnsi="Arial" w:cs="Arial"/>
          <w:sz w:val="20"/>
          <w:szCs w:val="20"/>
        </w:rPr>
      </w:pPr>
      <w:r w:rsidRPr="002875F7">
        <w:rPr>
          <w:rFonts w:ascii="Arial" w:hAnsi="Arial" w:cs="Arial"/>
          <w:sz w:val="20"/>
          <w:szCs w:val="20"/>
        </w:rPr>
        <w:t xml:space="preserve">Per i prezzi dei prodotti di arredamento e dei prodotti per la casa si applica il metodo del </w:t>
      </w:r>
      <w:r w:rsidRPr="002875F7">
        <w:rPr>
          <w:rFonts w:ascii="Arial" w:hAnsi="Arial" w:cs="Arial"/>
          <w:i/>
          <w:sz w:val="20"/>
          <w:szCs w:val="20"/>
        </w:rPr>
        <w:t>carry forward</w:t>
      </w:r>
      <w:r w:rsidRPr="002875F7">
        <w:rPr>
          <w:rFonts w:ascii="Arial" w:hAnsi="Arial" w:cs="Arial"/>
          <w:sz w:val="20"/>
          <w:szCs w:val="20"/>
        </w:rPr>
        <w:t xml:space="preserve"> (ripetizione del prezzo del mese precedente), data la limitata variabilità temporale dei prezzi di questa categoria di prodotti.</w:t>
      </w:r>
    </w:p>
    <w:p w:rsidR="009C1925" w:rsidRPr="002875F7" w:rsidRDefault="009C1925" w:rsidP="009C1925">
      <w:pPr>
        <w:pStyle w:val="Default"/>
        <w:numPr>
          <w:ilvl w:val="0"/>
          <w:numId w:val="9"/>
        </w:numPr>
        <w:spacing w:after="120"/>
        <w:ind w:left="567" w:hanging="283"/>
        <w:jc w:val="both"/>
        <w:rPr>
          <w:rFonts w:ascii="Arial" w:hAnsi="Arial" w:cs="Arial"/>
          <w:sz w:val="20"/>
          <w:szCs w:val="20"/>
        </w:rPr>
      </w:pPr>
      <w:r w:rsidRPr="002875F7">
        <w:rPr>
          <w:rFonts w:ascii="Arial" w:hAnsi="Arial" w:cs="Arial"/>
          <w:sz w:val="20"/>
          <w:szCs w:val="20"/>
        </w:rPr>
        <w:t xml:space="preserve">Analogamente il metodo del </w:t>
      </w:r>
      <w:r w:rsidRPr="002875F7">
        <w:rPr>
          <w:rFonts w:ascii="Arial" w:hAnsi="Arial" w:cs="Arial"/>
          <w:i/>
          <w:sz w:val="20"/>
          <w:szCs w:val="20"/>
        </w:rPr>
        <w:t>carry forward</w:t>
      </w:r>
      <w:r w:rsidRPr="002875F7">
        <w:rPr>
          <w:rFonts w:ascii="Arial" w:hAnsi="Arial" w:cs="Arial"/>
          <w:sz w:val="20"/>
          <w:szCs w:val="20"/>
        </w:rPr>
        <w:t xml:space="preserve"> viene adottato per i prezzi dei servizi di ristorazione e dei servizi culturali e di intrattenimento.</w:t>
      </w:r>
    </w:p>
    <w:p w:rsidR="009C1925" w:rsidRDefault="009C1925" w:rsidP="009C1925">
      <w:pPr>
        <w:pStyle w:val="Default"/>
        <w:numPr>
          <w:ilvl w:val="0"/>
          <w:numId w:val="9"/>
        </w:numPr>
        <w:spacing w:after="120"/>
        <w:ind w:left="567" w:hanging="283"/>
        <w:jc w:val="both"/>
        <w:rPr>
          <w:rFonts w:ascii="Arial" w:hAnsi="Arial" w:cs="Arial"/>
          <w:sz w:val="20"/>
          <w:szCs w:val="20"/>
        </w:rPr>
      </w:pPr>
      <w:r w:rsidRPr="002875F7">
        <w:rPr>
          <w:rFonts w:ascii="Arial" w:hAnsi="Arial" w:cs="Arial"/>
          <w:sz w:val="20"/>
          <w:szCs w:val="20"/>
        </w:rPr>
        <w:t>Per i prodotti rilevati centralmente dall’Istat ogni quotazione mancante viene stimata utilizzando la variazione congiunturale degli indici che appartengono allo stesso strato; qualora i prezzi di uno strato risultino completamente assenti, la procedura di stima è basata sulla variazione degli indici di strato superiori.</w:t>
      </w:r>
    </w:p>
    <w:p w:rsidR="009C1925" w:rsidRPr="00BC2BB0" w:rsidRDefault="009C1925" w:rsidP="009C1925">
      <w:pPr>
        <w:pStyle w:val="Default"/>
        <w:numPr>
          <w:ilvl w:val="0"/>
          <w:numId w:val="9"/>
        </w:numPr>
        <w:spacing w:after="120"/>
        <w:ind w:left="567" w:hanging="283"/>
        <w:jc w:val="both"/>
        <w:rPr>
          <w:rFonts w:ascii="Arial" w:hAnsi="Arial" w:cs="Arial"/>
          <w:sz w:val="20"/>
          <w:szCs w:val="20"/>
        </w:rPr>
      </w:pPr>
      <w:r w:rsidRPr="00BC2BB0">
        <w:rPr>
          <w:rFonts w:ascii="Arial" w:hAnsi="Arial" w:cs="Arial"/>
          <w:sz w:val="20"/>
          <w:szCs w:val="20"/>
        </w:rPr>
        <w:t>Per i prodotti indisponibili alla fruizione da parte delle famiglie (come accaduto nei periodi di lockdown durante la pandemia causata dal Covid-19) e che presentano un chiaro profilo stagionale, viene utilizzata la variazione dell’indice generale calcolata al netto di questi stessi prodotti.</w:t>
      </w:r>
    </w:p>
    <w:p w:rsidR="009C1925" w:rsidRPr="002875F7" w:rsidRDefault="009C1925" w:rsidP="009C1925">
      <w:pPr>
        <w:pStyle w:val="Default"/>
        <w:spacing w:after="120"/>
        <w:jc w:val="both"/>
        <w:rPr>
          <w:rFonts w:ascii="Arial" w:hAnsi="Arial" w:cs="Arial"/>
          <w:sz w:val="20"/>
          <w:szCs w:val="20"/>
        </w:rPr>
      </w:pPr>
      <w:r w:rsidRPr="002875F7">
        <w:rPr>
          <w:rFonts w:ascii="Arial" w:hAnsi="Arial" w:cs="Arial"/>
          <w:sz w:val="20"/>
          <w:szCs w:val="20"/>
        </w:rPr>
        <w:t>Gli indici ai diversi livelli di aggregazione qualora abbiano una quota di imputazioni superiore al 50% (in termini di prezzi mancanti e/o di peso) sono segnalate, sulla base delle indicazioni di Eurostat, mediante l’utilizzo del flag “i” (dato imputato) sia nelle tabelle del Comunicato stampa, sia su I.Stat e nelle altre pubblicazioni. Per quanto riguarda gli indici diffusi su Rivaluta, in occasione del rilascio dei dati definitivi, quelli che presentano una quota di imputazioni superiore al 50% (in termini di prezzi mancanti e/o di peso) non sono resi disponibili.</w:t>
      </w:r>
    </w:p>
    <w:p w:rsidR="009C1925" w:rsidRPr="001D642A" w:rsidRDefault="009C1925" w:rsidP="009C1925">
      <w:pPr>
        <w:pStyle w:val="Default"/>
        <w:spacing w:after="120"/>
        <w:jc w:val="both"/>
        <w:rPr>
          <w:rFonts w:ascii="Arial" w:hAnsi="Arial" w:cs="Arial"/>
          <w:sz w:val="20"/>
          <w:szCs w:val="20"/>
        </w:rPr>
      </w:pPr>
    </w:p>
    <w:p w:rsidR="009C1925" w:rsidRPr="001D642A" w:rsidRDefault="009C1925" w:rsidP="009C1925">
      <w:pPr>
        <w:spacing w:before="0" w:after="120"/>
        <w:jc w:val="both"/>
        <w:rPr>
          <w:rFonts w:ascii="Arial" w:hAnsi="Arial" w:cs="Arial"/>
          <w:b/>
          <w:sz w:val="22"/>
          <w:szCs w:val="22"/>
        </w:rPr>
      </w:pPr>
      <w:r w:rsidRPr="001D642A">
        <w:rPr>
          <w:rFonts w:ascii="Arial" w:hAnsi="Arial" w:cs="Arial"/>
          <w:b/>
          <w:sz w:val="22"/>
          <w:szCs w:val="22"/>
        </w:rPr>
        <w:t>Stima preliminare degli indici dei prezzi al consumo IPCA: accuratezza e metodologia di calcolo</w:t>
      </w:r>
    </w:p>
    <w:p w:rsidR="009C1925" w:rsidRPr="002875F7" w:rsidRDefault="009C1925" w:rsidP="009C1925">
      <w:pPr>
        <w:widowControl/>
        <w:overflowPunct/>
        <w:spacing w:before="0" w:after="120"/>
        <w:jc w:val="both"/>
        <w:rPr>
          <w:rFonts w:ascii="Arial" w:hAnsi="Arial" w:cs="Arial"/>
          <w:kern w:val="0"/>
        </w:rPr>
      </w:pPr>
      <w:r w:rsidRPr="002875F7">
        <w:rPr>
          <w:rFonts w:ascii="Arial" w:hAnsi="Arial" w:cs="Arial"/>
          <w:kern w:val="0"/>
        </w:rPr>
        <w:t xml:space="preserve">La diffusione degli indici dei prezzi al consumo avviene in due successivi istanti temporali secondo una diversa modalità di rilascio dei dati: prima come stima provvisoria, poi come stima definitiva. La diffusione della stima provvisoria degli indici IPCA (e degli indici NIC) avviene alla fine del mese di riferimento nel rispetto del calendario Eurostat di diffusione della stima anticipata dell’inflazione nell’area euro. Il rilascio dei dati definitivi avviene intorno alla metà del mese successivo a quello di riferimento. </w:t>
      </w:r>
    </w:p>
    <w:p w:rsidR="009C1925" w:rsidRDefault="009C1925" w:rsidP="009C1925">
      <w:pPr>
        <w:spacing w:before="0" w:after="120"/>
        <w:jc w:val="both"/>
        <w:rPr>
          <w:rFonts w:ascii="Arial" w:hAnsi="Arial" w:cs="Arial"/>
        </w:rPr>
      </w:pPr>
    </w:p>
    <w:p w:rsidR="009C1925" w:rsidRPr="002875F7" w:rsidRDefault="009C1925" w:rsidP="009C1925">
      <w:pPr>
        <w:spacing w:before="0" w:after="120"/>
        <w:jc w:val="both"/>
        <w:rPr>
          <w:rFonts w:ascii="Arial" w:hAnsi="Arial" w:cs="Arial"/>
        </w:rPr>
      </w:pPr>
      <w:r w:rsidRPr="002875F7">
        <w:rPr>
          <w:rFonts w:ascii="Arial" w:hAnsi="Arial" w:cs="Arial"/>
        </w:rPr>
        <w:t>La finalità della diffusione dei dati provvisori, sia dell’indice IPCA sia dall’indice NIC, è quella di fornire informazioni più tempestive sull’andamento dei prezzi al consumo, stimando nel modo più accurato possibile il dato definitivo dell’inflazione rilasciato circa due settimane dopo. In questo contesto, l’analisi delle revisioni delle stime provvisorie dei tassi tendenziali rappresenta un importante strumento per valutare il corretto bilanciamento tra le due dimensioni della qualità dei dati, tempestività e accuratezza.</w:t>
      </w:r>
    </w:p>
    <w:p w:rsidR="009C1925" w:rsidRPr="002875F7" w:rsidRDefault="009C1925" w:rsidP="009C1925">
      <w:pPr>
        <w:spacing w:before="0" w:after="120"/>
        <w:jc w:val="both"/>
        <w:rPr>
          <w:rFonts w:ascii="Arial" w:hAnsi="Arial" w:cs="Arial"/>
          <w:szCs w:val="21"/>
        </w:rPr>
      </w:pPr>
      <w:r w:rsidRPr="002875F7">
        <w:rPr>
          <w:rFonts w:ascii="Arial" w:hAnsi="Arial" w:cs="Arial"/>
        </w:rPr>
        <w:t>In linea con la politica di diffusione di Eurostat, che pubblica mensilmente una nota sull’accuratezza della stima anticipata dell’inflazione per l’area euro, questa sezione è dedicata all’</w:t>
      </w:r>
      <w:r w:rsidRPr="002875F7">
        <w:rPr>
          <w:rFonts w:ascii="Arial" w:hAnsi="Arial" w:cs="Arial"/>
          <w:szCs w:val="21"/>
        </w:rPr>
        <w:t>analisi dell’accuratezza e alla metodologia utilizzata per il calcolo della stima preliminare dell’indice IPCA.</w:t>
      </w:r>
    </w:p>
    <w:p w:rsidR="00D83451" w:rsidRPr="001D642A" w:rsidRDefault="00D83451" w:rsidP="00D83451">
      <w:pPr>
        <w:spacing w:before="0" w:after="120"/>
        <w:jc w:val="both"/>
        <w:rPr>
          <w:rFonts w:ascii="Arial" w:hAnsi="Arial" w:cs="Arial"/>
        </w:rPr>
      </w:pPr>
    </w:p>
    <w:p w:rsidR="00D83451" w:rsidRPr="001D642A" w:rsidRDefault="00D83451" w:rsidP="00D83451">
      <w:pPr>
        <w:pStyle w:val="Rientrocorpodeltesto"/>
        <w:spacing w:before="0"/>
        <w:ind w:left="0" w:hanging="1"/>
        <w:rPr>
          <w:rFonts w:ascii="Arial" w:hAnsi="Arial" w:cs="Arial"/>
          <w:b/>
          <w:bCs/>
          <w:szCs w:val="22"/>
        </w:rPr>
      </w:pPr>
      <w:r w:rsidRPr="001D642A">
        <w:rPr>
          <w:rFonts w:ascii="Arial" w:hAnsi="Arial" w:cs="Arial"/>
          <w:b/>
          <w:bCs/>
          <w:szCs w:val="22"/>
        </w:rPr>
        <w:t>Accuratezza delle stime preliminari</w:t>
      </w:r>
    </w:p>
    <w:p w:rsidR="00D83451" w:rsidRDefault="00D83451" w:rsidP="00D83451">
      <w:pPr>
        <w:widowControl/>
        <w:overflowPunct/>
        <w:spacing w:before="0" w:after="120"/>
        <w:jc w:val="both"/>
        <w:rPr>
          <w:rFonts w:ascii="Arial" w:hAnsi="Arial" w:cs="Arial"/>
        </w:rPr>
      </w:pPr>
      <w:r w:rsidRPr="001D642A">
        <w:rPr>
          <w:rFonts w:ascii="Arial" w:hAnsi="Arial" w:cs="Arial"/>
        </w:rPr>
        <w:t>Nel Prospetto 2 sono confrontati i tassi di variazione tendenziale definitivi e provvisori dell’indice generale IPCA e dei principali aggregati speciali per gli ultimi tredici mesi. In questo arco temporale, la differenza maggiore tra la stima definitiva e quella provvisoria del tasso tendenziale dell’</w:t>
      </w:r>
      <w:r>
        <w:rPr>
          <w:rFonts w:ascii="Arial" w:hAnsi="Arial" w:cs="Arial"/>
        </w:rPr>
        <w:t>indice generale è stata pari a -0,2</w:t>
      </w:r>
      <w:r w:rsidRPr="001D642A">
        <w:rPr>
          <w:rFonts w:ascii="Arial" w:hAnsi="Arial" w:cs="Arial"/>
        </w:rPr>
        <w:t xml:space="preserve"> punti perce</w:t>
      </w:r>
      <w:r>
        <w:rPr>
          <w:rFonts w:ascii="Arial" w:hAnsi="Arial" w:cs="Arial"/>
        </w:rPr>
        <w:t>ntuali, osservata a gennaio 2023 e ad aprile 2023</w:t>
      </w:r>
      <w:r w:rsidRPr="001D642A">
        <w:rPr>
          <w:rFonts w:ascii="Arial" w:hAnsi="Arial" w:cs="Arial"/>
        </w:rPr>
        <w:t xml:space="preserve">. Con riferimento ai principali aggregati speciali, le differenze maggiori tra la stima definitiva e quella provvisoria in termini di tassi tendenziali hanno interessato l’aggregato degli Alimentari lavorati </w:t>
      </w:r>
      <w:r>
        <w:rPr>
          <w:rFonts w:ascii="Arial" w:hAnsi="Arial" w:cs="Arial"/>
        </w:rPr>
        <w:t xml:space="preserve">         </w:t>
      </w:r>
      <w:r w:rsidRPr="001D642A">
        <w:rPr>
          <w:rFonts w:ascii="Arial" w:hAnsi="Arial" w:cs="Arial"/>
        </w:rPr>
        <w:t xml:space="preserve">(-0,4 </w:t>
      </w:r>
      <w:r>
        <w:rPr>
          <w:rFonts w:ascii="Arial" w:hAnsi="Arial" w:cs="Arial"/>
        </w:rPr>
        <w:t>punti percentuali a febbraio 2023; -0,5 ad aprile 2023; -0,3 sia giugno sia a luglio 2023; -0,5 a novembre 2023</w:t>
      </w:r>
      <w:r w:rsidRPr="001D642A">
        <w:rPr>
          <w:rFonts w:ascii="Arial" w:hAnsi="Arial" w:cs="Arial"/>
        </w:rPr>
        <w:t>)</w:t>
      </w:r>
      <w:r>
        <w:rPr>
          <w:rFonts w:ascii="Arial" w:hAnsi="Arial" w:cs="Arial"/>
        </w:rPr>
        <w:t>, degli Alimentari non lavorati (+0,5 a febbraio 2023; -0,4 a giugno 2023)</w:t>
      </w:r>
      <w:r w:rsidRPr="00BB1420">
        <w:rPr>
          <w:rFonts w:ascii="Arial" w:hAnsi="Arial" w:cs="Arial"/>
        </w:rPr>
        <w:t xml:space="preserve">, </w:t>
      </w:r>
      <w:r w:rsidRPr="001D642A">
        <w:rPr>
          <w:rFonts w:ascii="Arial" w:hAnsi="Arial" w:cs="Arial"/>
        </w:rPr>
        <w:t>quello dell’Ene</w:t>
      </w:r>
      <w:r>
        <w:rPr>
          <w:rFonts w:ascii="Arial" w:hAnsi="Arial" w:cs="Arial"/>
        </w:rPr>
        <w:t>rgia</w:t>
      </w:r>
      <w:r w:rsidR="00983A23">
        <w:rPr>
          <w:rFonts w:ascii="Arial" w:hAnsi="Arial" w:cs="Arial"/>
        </w:rPr>
        <w:t xml:space="preserve"> (</w:t>
      </w:r>
      <w:r>
        <w:rPr>
          <w:rFonts w:ascii="Arial" w:hAnsi="Arial" w:cs="Arial"/>
        </w:rPr>
        <w:t xml:space="preserve">-0,5 a gennaio 2023; </w:t>
      </w:r>
      <w:r w:rsidR="00993224">
        <w:rPr>
          <w:rFonts w:ascii="Arial" w:hAnsi="Arial" w:cs="Arial"/>
        </w:rPr>
        <w:t xml:space="preserve">              </w:t>
      </w:r>
      <w:r>
        <w:rPr>
          <w:rFonts w:ascii="Arial" w:hAnsi="Arial" w:cs="Arial"/>
        </w:rPr>
        <w:t>-0,3 ad aprile 2023; -0,4 a maggio 2023</w:t>
      </w:r>
      <w:r w:rsidRPr="001D642A">
        <w:rPr>
          <w:rFonts w:ascii="Arial" w:hAnsi="Arial" w:cs="Arial"/>
        </w:rPr>
        <w:t>) e quello dei Be</w:t>
      </w:r>
      <w:r>
        <w:rPr>
          <w:rFonts w:ascii="Arial" w:hAnsi="Arial" w:cs="Arial"/>
        </w:rPr>
        <w:t>ni industriali non energetici (-0,3 a gennaio 2023</w:t>
      </w:r>
      <w:r w:rsidRPr="001D642A">
        <w:rPr>
          <w:rFonts w:ascii="Arial" w:hAnsi="Arial" w:cs="Arial"/>
        </w:rPr>
        <w:t>).</w:t>
      </w:r>
    </w:p>
    <w:p w:rsidR="00D83451" w:rsidRDefault="00D83451" w:rsidP="00D83451">
      <w:pPr>
        <w:widowControl/>
        <w:overflowPunct/>
        <w:spacing w:before="0" w:after="120"/>
        <w:jc w:val="both"/>
        <w:rPr>
          <w:rFonts w:ascii="Arial" w:hAnsi="Arial" w:cs="Arial"/>
        </w:rPr>
      </w:pPr>
      <w:r w:rsidRPr="001D642A">
        <w:rPr>
          <w:rFonts w:ascii="Arial" w:hAnsi="Arial" w:cs="Arial"/>
        </w:rPr>
        <w:t>La più elevata frequenza delle revisioni è osservata negli aggregati dei Beni alimentari lavorati (</w:t>
      </w:r>
      <w:r>
        <w:rPr>
          <w:rFonts w:ascii="Arial" w:hAnsi="Arial" w:cs="Arial"/>
        </w:rPr>
        <w:t>13</w:t>
      </w:r>
      <w:r w:rsidRPr="001D642A">
        <w:rPr>
          <w:rFonts w:ascii="Arial" w:hAnsi="Arial" w:cs="Arial"/>
        </w:rPr>
        <w:t xml:space="preserve"> mesi sui 13 in esame, imputabile in larga parte all’utilizzo, per la stima preliminare, degli scanner data, riferiti ai prezzi dei prodotti grocery provenienti dalla GDO, di una/due settimane rispetto alle tre incluse nell’indice definitivo)</w:t>
      </w:r>
      <w:r>
        <w:rPr>
          <w:rFonts w:ascii="Arial" w:hAnsi="Arial" w:cs="Arial"/>
        </w:rPr>
        <w:t xml:space="preserve">, di Beni alimentari non lavorati (12 mesi su 13), </w:t>
      </w:r>
      <w:r w:rsidRPr="001D642A">
        <w:rPr>
          <w:rFonts w:ascii="Arial" w:hAnsi="Arial" w:cs="Arial"/>
        </w:rPr>
        <w:t xml:space="preserve">dei Beni industriali </w:t>
      </w:r>
      <w:r>
        <w:rPr>
          <w:rFonts w:ascii="Arial" w:hAnsi="Arial" w:cs="Arial"/>
        </w:rPr>
        <w:t>non energetici (11</w:t>
      </w:r>
      <w:r w:rsidRPr="001D642A">
        <w:rPr>
          <w:rFonts w:ascii="Arial" w:hAnsi="Arial" w:cs="Arial"/>
        </w:rPr>
        <w:t xml:space="preserve"> mesi su 13, da ascrivere principalmente alla dinamica dei saldi dell’Abbigliamento e calzature e alla disponibilità per la stima preliminare, con riferimento ad alcune categorie di Beni durevoli,</w:t>
      </w:r>
      <w:r w:rsidRPr="001D642A">
        <w:t xml:space="preserve"> </w:t>
      </w:r>
      <w:r w:rsidRPr="001D642A">
        <w:rPr>
          <w:rFonts w:ascii="Arial" w:hAnsi="Arial" w:cs="Arial"/>
        </w:rPr>
        <w:t>dei dati riferiti a una/due settimane rispetto alle tre incluse nell’indice definitivo)</w:t>
      </w:r>
      <w:r>
        <w:rPr>
          <w:rFonts w:ascii="Arial" w:hAnsi="Arial" w:cs="Arial"/>
        </w:rPr>
        <w:t xml:space="preserve"> e di Energia (</w:t>
      </w:r>
      <w:r w:rsidR="000A04F7">
        <w:rPr>
          <w:rFonts w:ascii="Arial" w:hAnsi="Arial" w:cs="Arial"/>
        </w:rPr>
        <w:t>6</w:t>
      </w:r>
      <w:r>
        <w:rPr>
          <w:rFonts w:ascii="Arial" w:hAnsi="Arial" w:cs="Arial"/>
        </w:rPr>
        <w:t xml:space="preserve"> mesi su 13)</w:t>
      </w:r>
      <w:r w:rsidRPr="001D642A">
        <w:rPr>
          <w:rFonts w:ascii="Arial" w:hAnsi="Arial" w:cs="Arial"/>
        </w:rPr>
        <w:t>; l’incompletezza delle informazioni utilizzate per il calcolo ha un impatto maggiore sulle stime provvisorie di questi aggregati speciali che, di conseguenza, risultano essere meno accurate</w:t>
      </w:r>
      <w:r>
        <w:rPr>
          <w:rFonts w:ascii="Arial" w:hAnsi="Arial" w:cs="Arial"/>
        </w:rPr>
        <w:t>.</w:t>
      </w:r>
    </w:p>
    <w:p w:rsidR="00D83451" w:rsidRPr="001D642A" w:rsidRDefault="00D83451" w:rsidP="00D83451">
      <w:pPr>
        <w:widowControl/>
        <w:overflowPunct/>
        <w:spacing w:before="0" w:after="120"/>
        <w:jc w:val="both"/>
        <w:rPr>
          <w:rFonts w:ascii="Arial" w:hAnsi="Arial" w:cs="Arial"/>
        </w:rPr>
      </w:pPr>
    </w:p>
    <w:p w:rsidR="00D83451" w:rsidRPr="001D642A" w:rsidRDefault="00D83451" w:rsidP="00D83451">
      <w:pPr>
        <w:pStyle w:val="001TitoGra"/>
        <w:spacing w:after="120" w:line="240" w:lineRule="auto"/>
        <w:jc w:val="both"/>
        <w:rPr>
          <w:vertAlign w:val="superscript"/>
        </w:rPr>
      </w:pPr>
      <w:r w:rsidRPr="001D642A">
        <w:rPr>
          <w:rStyle w:val="001TitoGraRed"/>
        </w:rPr>
        <w:t>PROSPETTO 2.</w:t>
      </w:r>
      <w:r w:rsidRPr="001D642A">
        <w:t xml:space="preserve"> STIME PRELIMINARI E DEFINITIVE DEGLI INDICI DEI PREZZI AL CONSUMO IPCA E DEI PRINCIPALI AGGREGATI SPECIALI</w:t>
      </w:r>
      <w:r w:rsidRPr="001D642A">
        <w:rPr>
          <w:b w:val="0"/>
          <w:sz w:val="20"/>
          <w:szCs w:val="20"/>
        </w:rPr>
        <w:t xml:space="preserve">. </w:t>
      </w:r>
      <w:r w:rsidRPr="00C8504B">
        <w:rPr>
          <w:b w:val="0"/>
        </w:rPr>
        <w:br/>
      </w:r>
      <w:r w:rsidR="00993224">
        <w:rPr>
          <w:b w:val="0"/>
          <w:sz w:val="20"/>
          <w:szCs w:val="20"/>
        </w:rPr>
        <w:t>Dicembre</w:t>
      </w:r>
      <w:r>
        <w:rPr>
          <w:b w:val="0"/>
          <w:sz w:val="20"/>
          <w:szCs w:val="20"/>
        </w:rPr>
        <w:t xml:space="preserve"> 2022</w:t>
      </w:r>
      <w:r w:rsidRPr="001D642A">
        <w:rPr>
          <w:b w:val="0"/>
          <w:sz w:val="20"/>
          <w:szCs w:val="20"/>
        </w:rPr>
        <w:t xml:space="preserve"> – </w:t>
      </w:r>
      <w:r w:rsidR="00993224">
        <w:rPr>
          <w:b w:val="0"/>
          <w:sz w:val="20"/>
          <w:szCs w:val="20"/>
        </w:rPr>
        <w:t>dicembre</w:t>
      </w:r>
      <w:r>
        <w:rPr>
          <w:b w:val="0"/>
          <w:sz w:val="20"/>
          <w:szCs w:val="20"/>
        </w:rPr>
        <w:t xml:space="preserve"> 2023</w:t>
      </w:r>
      <w:r w:rsidRPr="001D642A">
        <w:rPr>
          <w:b w:val="0"/>
          <w:sz w:val="20"/>
          <w:szCs w:val="20"/>
        </w:rPr>
        <w:t>, valori percentuali tendenziali (base 2015=100)</w:t>
      </w:r>
    </w:p>
    <w:tbl>
      <w:tblPr>
        <w:tblW w:w="10205" w:type="dxa"/>
        <w:jc w:val="center"/>
        <w:tblCellMar>
          <w:left w:w="70" w:type="dxa"/>
          <w:right w:w="70" w:type="dxa"/>
        </w:tblCellMar>
        <w:tblLook w:val="04A0" w:firstRow="1" w:lastRow="0" w:firstColumn="1" w:lastColumn="0" w:noHBand="0" w:noVBand="1"/>
      </w:tblPr>
      <w:tblGrid>
        <w:gridCol w:w="3262"/>
        <w:gridCol w:w="286"/>
        <w:gridCol w:w="500"/>
        <w:gridCol w:w="500"/>
        <w:gridCol w:w="500"/>
        <w:gridCol w:w="501"/>
        <w:gridCol w:w="501"/>
        <w:gridCol w:w="501"/>
        <w:gridCol w:w="501"/>
        <w:gridCol w:w="501"/>
        <w:gridCol w:w="501"/>
        <w:gridCol w:w="552"/>
        <w:gridCol w:w="552"/>
        <w:gridCol w:w="525"/>
        <w:gridCol w:w="522"/>
      </w:tblGrid>
      <w:tr w:rsidR="005A6EF7" w:rsidRPr="00313984" w:rsidTr="00D331B6">
        <w:trPr>
          <w:trHeight w:val="316"/>
          <w:jc w:val="center"/>
        </w:trPr>
        <w:tc>
          <w:tcPr>
            <w:tcW w:w="3262" w:type="dxa"/>
            <w:tcBorders>
              <w:top w:val="single" w:sz="4" w:space="0" w:color="auto"/>
              <w:left w:val="nil"/>
              <w:bottom w:val="single" w:sz="4" w:space="0" w:color="auto"/>
              <w:right w:val="nil"/>
            </w:tcBorders>
            <w:shd w:val="clear" w:color="000000" w:fill="FFFFFF"/>
            <w:noWrap/>
            <w:vAlign w:val="center"/>
            <w:hideMark/>
          </w:tcPr>
          <w:p w:rsidR="005A6EF7" w:rsidRPr="00363206" w:rsidRDefault="005A6EF7" w:rsidP="005A6EF7">
            <w:pPr>
              <w:ind w:right="-13"/>
              <w:rPr>
                <w:rFonts w:ascii="Arial Narrow" w:hAnsi="Arial Narrow"/>
                <w:b/>
                <w:bCs/>
                <w:color w:val="000000"/>
                <w:kern w:val="0"/>
                <w:sz w:val="16"/>
                <w:szCs w:val="18"/>
              </w:rPr>
            </w:pPr>
            <w:r w:rsidRPr="00363206">
              <w:rPr>
                <w:rFonts w:ascii="Arial Narrow" w:hAnsi="Arial Narrow"/>
                <w:b/>
                <w:bCs/>
                <w:color w:val="000000"/>
                <w:kern w:val="0"/>
                <w:sz w:val="16"/>
                <w:szCs w:val="18"/>
              </w:rPr>
              <w:t>Aggregati speciali</w:t>
            </w:r>
          </w:p>
        </w:tc>
        <w:tc>
          <w:tcPr>
            <w:tcW w:w="286" w:type="dxa"/>
            <w:tcBorders>
              <w:top w:val="single" w:sz="4" w:space="0" w:color="auto"/>
              <w:left w:val="nil"/>
              <w:bottom w:val="single" w:sz="4" w:space="0" w:color="auto"/>
              <w:right w:val="nil"/>
            </w:tcBorders>
            <w:shd w:val="clear" w:color="000000" w:fill="FFFFFF"/>
            <w:noWrap/>
            <w:vAlign w:val="center"/>
            <w:hideMark/>
          </w:tcPr>
          <w:p w:rsidR="005A6EF7" w:rsidRPr="00363206" w:rsidRDefault="005A6EF7" w:rsidP="005A6EF7">
            <w:pPr>
              <w:ind w:left="-153" w:right="-13"/>
              <w:jc w:val="right"/>
              <w:rPr>
                <w:rFonts w:ascii="Arial Narrow" w:hAnsi="Arial Narrow"/>
                <w:b/>
                <w:bCs/>
                <w:color w:val="000000"/>
                <w:kern w:val="0"/>
                <w:sz w:val="16"/>
                <w:szCs w:val="18"/>
              </w:rPr>
            </w:pPr>
            <w:r w:rsidRPr="00363206">
              <w:rPr>
                <w:rFonts w:ascii="Arial Narrow" w:hAnsi="Arial Narrow"/>
                <w:b/>
                <w:bCs/>
                <w:color w:val="000000"/>
                <w:kern w:val="0"/>
                <w:sz w:val="16"/>
                <w:szCs w:val="18"/>
              </w:rPr>
              <w:t> </w:t>
            </w:r>
          </w:p>
        </w:tc>
        <w:tc>
          <w:tcPr>
            <w:tcW w:w="500" w:type="dxa"/>
            <w:tcBorders>
              <w:top w:val="single" w:sz="4" w:space="0" w:color="auto"/>
              <w:left w:val="nil"/>
              <w:bottom w:val="single" w:sz="4" w:space="0" w:color="auto"/>
              <w:right w:val="nil"/>
            </w:tcBorders>
            <w:shd w:val="clear" w:color="000000" w:fill="FFFFFF"/>
            <w:vAlign w:val="center"/>
          </w:tcPr>
          <w:p w:rsidR="005A6EF7" w:rsidRDefault="005A6EF7" w:rsidP="005A6EF7">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dic-22</w:t>
            </w:r>
          </w:p>
        </w:tc>
        <w:tc>
          <w:tcPr>
            <w:tcW w:w="500" w:type="dxa"/>
            <w:tcBorders>
              <w:top w:val="single" w:sz="4" w:space="0" w:color="auto"/>
              <w:left w:val="nil"/>
              <w:bottom w:val="single" w:sz="4" w:space="0" w:color="auto"/>
              <w:right w:val="nil"/>
            </w:tcBorders>
            <w:shd w:val="clear" w:color="000000" w:fill="FFFFFF"/>
            <w:vAlign w:val="center"/>
          </w:tcPr>
          <w:p w:rsidR="005A6EF7" w:rsidRPr="00313984" w:rsidRDefault="005A6EF7" w:rsidP="005A6EF7">
            <w:pPr>
              <w:ind w:left="-153" w:right="-13"/>
              <w:jc w:val="right"/>
              <w:rPr>
                <w:rFonts w:ascii="Arial Narrow" w:hAnsi="Arial Narrow"/>
                <w:b/>
                <w:bCs/>
                <w:color w:val="000000"/>
                <w:kern w:val="0"/>
                <w:sz w:val="16"/>
                <w:szCs w:val="18"/>
              </w:rPr>
            </w:pPr>
            <w:r w:rsidRPr="00313984">
              <w:rPr>
                <w:rFonts w:ascii="Arial Narrow" w:hAnsi="Arial Narrow"/>
                <w:b/>
                <w:bCs/>
                <w:color w:val="000000"/>
                <w:kern w:val="0"/>
                <w:sz w:val="16"/>
                <w:szCs w:val="18"/>
              </w:rPr>
              <w:t>gen-23</w:t>
            </w:r>
          </w:p>
        </w:tc>
        <w:tc>
          <w:tcPr>
            <w:tcW w:w="500" w:type="dxa"/>
            <w:tcBorders>
              <w:top w:val="single" w:sz="4" w:space="0" w:color="auto"/>
              <w:left w:val="nil"/>
              <w:bottom w:val="single" w:sz="4" w:space="0" w:color="auto"/>
              <w:right w:val="nil"/>
            </w:tcBorders>
            <w:shd w:val="clear" w:color="000000" w:fill="FFFFFF"/>
            <w:vAlign w:val="center"/>
          </w:tcPr>
          <w:p w:rsidR="005A6EF7" w:rsidRPr="00313984" w:rsidRDefault="005A6EF7" w:rsidP="005A6EF7">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feb</w:t>
            </w:r>
            <w:r w:rsidRPr="00313984">
              <w:rPr>
                <w:rFonts w:ascii="Arial Narrow" w:hAnsi="Arial Narrow"/>
                <w:b/>
                <w:bCs/>
                <w:color w:val="000000"/>
                <w:kern w:val="0"/>
                <w:sz w:val="16"/>
                <w:szCs w:val="18"/>
              </w:rPr>
              <w:t>-23</w:t>
            </w:r>
          </w:p>
        </w:tc>
        <w:tc>
          <w:tcPr>
            <w:tcW w:w="501" w:type="dxa"/>
            <w:tcBorders>
              <w:top w:val="single" w:sz="4" w:space="0" w:color="auto"/>
              <w:left w:val="nil"/>
              <w:bottom w:val="single" w:sz="4" w:space="0" w:color="auto"/>
              <w:right w:val="nil"/>
            </w:tcBorders>
            <w:shd w:val="clear" w:color="000000" w:fill="FFFFFF"/>
            <w:vAlign w:val="center"/>
          </w:tcPr>
          <w:p w:rsidR="005A6EF7" w:rsidRPr="00313984" w:rsidRDefault="005A6EF7" w:rsidP="005A6EF7">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mar</w:t>
            </w:r>
            <w:r w:rsidRPr="00313984">
              <w:rPr>
                <w:rFonts w:ascii="Arial Narrow" w:hAnsi="Arial Narrow"/>
                <w:b/>
                <w:bCs/>
                <w:color w:val="000000"/>
                <w:kern w:val="0"/>
                <w:sz w:val="16"/>
                <w:szCs w:val="18"/>
              </w:rPr>
              <w:t>-23</w:t>
            </w:r>
          </w:p>
        </w:tc>
        <w:tc>
          <w:tcPr>
            <w:tcW w:w="501" w:type="dxa"/>
            <w:tcBorders>
              <w:top w:val="single" w:sz="4" w:space="0" w:color="auto"/>
              <w:left w:val="nil"/>
              <w:bottom w:val="single" w:sz="4" w:space="0" w:color="auto"/>
              <w:right w:val="nil"/>
            </w:tcBorders>
            <w:shd w:val="clear" w:color="000000" w:fill="FFFFFF"/>
            <w:vAlign w:val="center"/>
          </w:tcPr>
          <w:p w:rsidR="005A6EF7" w:rsidRPr="00363206" w:rsidRDefault="005A6EF7" w:rsidP="005A6EF7">
            <w:pPr>
              <w:ind w:left="-153" w:right="-13"/>
              <w:jc w:val="right"/>
              <w:rPr>
                <w:rFonts w:ascii="Arial Narrow" w:hAnsi="Arial Narrow"/>
                <w:b/>
                <w:bCs/>
                <w:color w:val="000000"/>
                <w:kern w:val="0"/>
                <w:sz w:val="16"/>
                <w:szCs w:val="18"/>
              </w:rPr>
            </w:pPr>
            <w:r w:rsidRPr="00363206">
              <w:rPr>
                <w:rFonts w:ascii="Arial Narrow" w:hAnsi="Arial Narrow"/>
                <w:b/>
                <w:bCs/>
                <w:color w:val="000000"/>
                <w:kern w:val="0"/>
                <w:sz w:val="16"/>
                <w:szCs w:val="18"/>
              </w:rPr>
              <w:t>apr-2</w:t>
            </w:r>
            <w:r>
              <w:rPr>
                <w:rFonts w:ascii="Arial Narrow" w:hAnsi="Arial Narrow"/>
                <w:b/>
                <w:bCs/>
                <w:color w:val="000000"/>
                <w:kern w:val="0"/>
                <w:sz w:val="16"/>
                <w:szCs w:val="18"/>
              </w:rPr>
              <w:t>3</w:t>
            </w:r>
          </w:p>
        </w:tc>
        <w:tc>
          <w:tcPr>
            <w:tcW w:w="501" w:type="dxa"/>
            <w:tcBorders>
              <w:top w:val="single" w:sz="4" w:space="0" w:color="auto"/>
              <w:left w:val="nil"/>
              <w:bottom w:val="single" w:sz="4" w:space="0" w:color="auto"/>
              <w:right w:val="nil"/>
            </w:tcBorders>
            <w:shd w:val="clear" w:color="000000" w:fill="FFFFFF"/>
            <w:vAlign w:val="center"/>
          </w:tcPr>
          <w:p w:rsidR="005A6EF7" w:rsidRPr="00363206" w:rsidRDefault="005A6EF7" w:rsidP="005A6EF7">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mag</w:t>
            </w:r>
            <w:r w:rsidRPr="00363206">
              <w:rPr>
                <w:rFonts w:ascii="Arial Narrow" w:hAnsi="Arial Narrow"/>
                <w:b/>
                <w:bCs/>
                <w:color w:val="000000"/>
                <w:kern w:val="0"/>
                <w:sz w:val="16"/>
                <w:szCs w:val="18"/>
              </w:rPr>
              <w:t>-2</w:t>
            </w:r>
            <w:r>
              <w:rPr>
                <w:rFonts w:ascii="Arial Narrow" w:hAnsi="Arial Narrow"/>
                <w:b/>
                <w:bCs/>
                <w:color w:val="000000"/>
                <w:kern w:val="0"/>
                <w:sz w:val="16"/>
                <w:szCs w:val="18"/>
              </w:rPr>
              <w:t>3</w:t>
            </w:r>
          </w:p>
        </w:tc>
        <w:tc>
          <w:tcPr>
            <w:tcW w:w="501" w:type="dxa"/>
            <w:tcBorders>
              <w:top w:val="single" w:sz="4" w:space="0" w:color="auto"/>
              <w:left w:val="nil"/>
              <w:bottom w:val="single" w:sz="4" w:space="0" w:color="auto"/>
              <w:right w:val="nil"/>
            </w:tcBorders>
            <w:shd w:val="clear" w:color="000000" w:fill="FFFFFF"/>
            <w:vAlign w:val="center"/>
          </w:tcPr>
          <w:p w:rsidR="005A6EF7" w:rsidRPr="00363206" w:rsidRDefault="005A6EF7" w:rsidP="005A6EF7">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giu-23</w:t>
            </w:r>
          </w:p>
        </w:tc>
        <w:tc>
          <w:tcPr>
            <w:tcW w:w="501" w:type="dxa"/>
            <w:tcBorders>
              <w:top w:val="single" w:sz="4" w:space="0" w:color="auto"/>
              <w:left w:val="nil"/>
              <w:bottom w:val="single" w:sz="4" w:space="0" w:color="auto"/>
              <w:right w:val="nil"/>
            </w:tcBorders>
            <w:shd w:val="clear" w:color="000000" w:fill="FFFFFF"/>
            <w:vAlign w:val="center"/>
          </w:tcPr>
          <w:p w:rsidR="005A6EF7" w:rsidRPr="00363206" w:rsidRDefault="005A6EF7" w:rsidP="005A6EF7">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lug-23</w:t>
            </w:r>
          </w:p>
        </w:tc>
        <w:tc>
          <w:tcPr>
            <w:tcW w:w="501" w:type="dxa"/>
            <w:tcBorders>
              <w:top w:val="single" w:sz="4" w:space="0" w:color="auto"/>
              <w:left w:val="nil"/>
              <w:bottom w:val="single" w:sz="4" w:space="0" w:color="auto"/>
              <w:right w:val="nil"/>
            </w:tcBorders>
            <w:shd w:val="clear" w:color="000000" w:fill="FFFFFF"/>
            <w:vAlign w:val="center"/>
          </w:tcPr>
          <w:p w:rsidR="005A6EF7" w:rsidRPr="00363206" w:rsidRDefault="005A6EF7" w:rsidP="005A6EF7">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ago-23</w:t>
            </w:r>
          </w:p>
        </w:tc>
        <w:tc>
          <w:tcPr>
            <w:tcW w:w="552" w:type="dxa"/>
            <w:tcBorders>
              <w:top w:val="single" w:sz="4" w:space="0" w:color="auto"/>
              <w:left w:val="nil"/>
              <w:bottom w:val="single" w:sz="4" w:space="0" w:color="auto"/>
              <w:right w:val="nil"/>
            </w:tcBorders>
            <w:shd w:val="clear" w:color="000000" w:fill="FFFFFF"/>
          </w:tcPr>
          <w:p w:rsidR="005A6EF7" w:rsidRDefault="005A6EF7" w:rsidP="005A6EF7">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set-23</w:t>
            </w:r>
          </w:p>
        </w:tc>
        <w:tc>
          <w:tcPr>
            <w:tcW w:w="552" w:type="dxa"/>
            <w:tcBorders>
              <w:top w:val="single" w:sz="4" w:space="0" w:color="auto"/>
              <w:left w:val="nil"/>
              <w:bottom w:val="single" w:sz="4" w:space="0" w:color="auto"/>
              <w:right w:val="nil"/>
            </w:tcBorders>
            <w:shd w:val="clear" w:color="000000" w:fill="FFFFFF"/>
          </w:tcPr>
          <w:p w:rsidR="005A6EF7" w:rsidRDefault="005A6EF7" w:rsidP="005A6EF7">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ott-23</w:t>
            </w:r>
          </w:p>
        </w:tc>
        <w:tc>
          <w:tcPr>
            <w:tcW w:w="525" w:type="dxa"/>
            <w:tcBorders>
              <w:top w:val="single" w:sz="4" w:space="0" w:color="auto"/>
              <w:left w:val="nil"/>
              <w:bottom w:val="single" w:sz="4" w:space="0" w:color="auto"/>
              <w:right w:val="nil"/>
            </w:tcBorders>
            <w:shd w:val="clear" w:color="000000" w:fill="FFFFFF"/>
          </w:tcPr>
          <w:p w:rsidR="005A6EF7" w:rsidRDefault="005A6EF7" w:rsidP="005A6EF7">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nov-23</w:t>
            </w:r>
          </w:p>
        </w:tc>
        <w:tc>
          <w:tcPr>
            <w:tcW w:w="522" w:type="dxa"/>
            <w:tcBorders>
              <w:top w:val="single" w:sz="4" w:space="0" w:color="auto"/>
              <w:left w:val="nil"/>
              <w:bottom w:val="single" w:sz="4" w:space="0" w:color="auto"/>
              <w:right w:val="nil"/>
            </w:tcBorders>
            <w:shd w:val="clear" w:color="000000" w:fill="FFFFFF"/>
          </w:tcPr>
          <w:p w:rsidR="005A6EF7" w:rsidRDefault="005A6EF7" w:rsidP="005A6EF7">
            <w:pPr>
              <w:ind w:left="-153" w:right="-13"/>
              <w:jc w:val="right"/>
              <w:rPr>
                <w:rFonts w:ascii="Arial Narrow" w:hAnsi="Arial Narrow"/>
                <w:b/>
                <w:bCs/>
                <w:color w:val="000000"/>
                <w:kern w:val="0"/>
                <w:sz w:val="16"/>
                <w:szCs w:val="18"/>
              </w:rPr>
            </w:pPr>
            <w:r>
              <w:rPr>
                <w:rFonts w:ascii="Arial Narrow" w:hAnsi="Arial Narrow"/>
                <w:b/>
                <w:bCs/>
                <w:color w:val="000000"/>
                <w:kern w:val="0"/>
                <w:sz w:val="16"/>
                <w:szCs w:val="18"/>
              </w:rPr>
              <w:t>dic-23</w:t>
            </w:r>
          </w:p>
        </w:tc>
      </w:tr>
      <w:tr w:rsidR="005A6EF7" w:rsidRPr="001D642A" w:rsidTr="00D331B6">
        <w:trPr>
          <w:trHeight w:val="255"/>
          <w:jc w:val="center"/>
        </w:trPr>
        <w:tc>
          <w:tcPr>
            <w:tcW w:w="3262" w:type="dxa"/>
            <w:vMerge w:val="restart"/>
            <w:tcBorders>
              <w:top w:val="nil"/>
              <w:left w:val="nil"/>
              <w:bottom w:val="single" w:sz="4" w:space="0" w:color="000000"/>
              <w:right w:val="nil"/>
            </w:tcBorders>
            <w:shd w:val="clear" w:color="000000" w:fill="FFFFFF"/>
            <w:vAlign w:val="center"/>
            <w:hideMark/>
          </w:tcPr>
          <w:p w:rsidR="005A6EF7" w:rsidRPr="001D642A" w:rsidRDefault="005A6EF7" w:rsidP="005A6EF7">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Beni alimentari (incluse bevande alcoliche) e tabacchi, di cui:</w:t>
            </w:r>
          </w:p>
        </w:tc>
        <w:tc>
          <w:tcPr>
            <w:tcW w:w="286" w:type="dxa"/>
            <w:tcBorders>
              <w:top w:val="nil"/>
              <w:left w:val="nil"/>
              <w:bottom w:val="single" w:sz="4" w:space="0" w:color="auto"/>
              <w:right w:val="nil"/>
            </w:tcBorders>
            <w:shd w:val="clear" w:color="000000" w:fill="FFFFFF"/>
            <w:noWrap/>
            <w:vAlign w:val="center"/>
            <w:hideMark/>
          </w:tcPr>
          <w:p w:rsidR="005A6EF7" w:rsidRPr="001D642A" w:rsidRDefault="005A6EF7" w:rsidP="005A6EF7">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00" w:type="dxa"/>
            <w:tcBorders>
              <w:top w:val="nil"/>
              <w:left w:val="nil"/>
              <w:bottom w:val="single" w:sz="4" w:space="0" w:color="auto"/>
              <w:right w:val="nil"/>
            </w:tcBorders>
            <w:shd w:val="clear" w:color="000000" w:fill="FFFFFF"/>
            <w:vAlign w:val="center"/>
          </w:tcPr>
          <w:p w:rsidR="005A6EF7" w:rsidRPr="00E66B46" w:rsidRDefault="005A6EF7" w:rsidP="005A6EF7">
            <w:pPr>
              <w:widowControl/>
              <w:overflowPunct/>
              <w:autoSpaceDE/>
              <w:autoSpaceDN/>
              <w:adjustRightInd/>
              <w:spacing w:before="0" w:after="0"/>
              <w:jc w:val="right"/>
              <w:rPr>
                <w:rFonts w:ascii="Arial Narrow" w:hAnsi="Arial Narrow"/>
                <w:color w:val="000000"/>
                <w:sz w:val="18"/>
                <w:szCs w:val="18"/>
              </w:rPr>
            </w:pPr>
            <w:r w:rsidRPr="00E66B46">
              <w:rPr>
                <w:rFonts w:ascii="Arial Narrow" w:hAnsi="Arial Narrow"/>
                <w:color w:val="000000"/>
                <w:sz w:val="18"/>
                <w:szCs w:val="18"/>
              </w:rPr>
              <w:t>11,6</w:t>
            </w:r>
          </w:p>
        </w:tc>
        <w:tc>
          <w:tcPr>
            <w:tcW w:w="500" w:type="dxa"/>
            <w:tcBorders>
              <w:top w:val="nil"/>
              <w:left w:val="nil"/>
              <w:bottom w:val="single" w:sz="4" w:space="0" w:color="auto"/>
              <w:right w:val="nil"/>
            </w:tcBorders>
            <w:shd w:val="clear" w:color="000000" w:fill="FFFFFF"/>
            <w:vAlign w:val="center"/>
          </w:tcPr>
          <w:p w:rsidR="005A6EF7" w:rsidRPr="00313984" w:rsidRDefault="005A6EF7" w:rsidP="005A6EF7">
            <w:pPr>
              <w:widowControl/>
              <w:overflowPunct/>
              <w:autoSpaceDE/>
              <w:autoSpaceDN/>
              <w:adjustRightInd/>
              <w:spacing w:before="0" w:after="0"/>
              <w:jc w:val="right"/>
              <w:rPr>
                <w:rFonts w:ascii="Arial Narrow" w:hAnsi="Arial Narrow"/>
                <w:color w:val="000000"/>
                <w:sz w:val="18"/>
                <w:szCs w:val="18"/>
              </w:rPr>
            </w:pPr>
            <w:r w:rsidRPr="00313984">
              <w:rPr>
                <w:rFonts w:ascii="Arial Narrow" w:hAnsi="Arial Narrow"/>
                <w:color w:val="000000"/>
                <w:sz w:val="18"/>
                <w:szCs w:val="18"/>
              </w:rPr>
              <w:t>11,2</w:t>
            </w:r>
          </w:p>
        </w:tc>
        <w:tc>
          <w:tcPr>
            <w:tcW w:w="500" w:type="dxa"/>
            <w:tcBorders>
              <w:top w:val="nil"/>
              <w:left w:val="nil"/>
              <w:bottom w:val="single" w:sz="4" w:space="0" w:color="auto"/>
              <w:right w:val="nil"/>
            </w:tcBorders>
            <w:shd w:val="clear" w:color="000000" w:fill="FFFFFF"/>
            <w:vAlign w:val="center"/>
          </w:tcPr>
          <w:p w:rsidR="005A6EF7" w:rsidRPr="00B74CA0"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12,1</w:t>
            </w:r>
          </w:p>
        </w:tc>
        <w:tc>
          <w:tcPr>
            <w:tcW w:w="501" w:type="dxa"/>
            <w:tcBorders>
              <w:top w:val="nil"/>
              <w:left w:val="nil"/>
              <w:bottom w:val="single" w:sz="4" w:space="0" w:color="auto"/>
              <w:right w:val="nil"/>
            </w:tcBorders>
            <w:shd w:val="clear" w:color="000000" w:fill="FFFFFF"/>
            <w:vAlign w:val="center"/>
          </w:tcPr>
          <w:p w:rsidR="005A6EF7" w:rsidRPr="00B74CA0"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12,0</w:t>
            </w:r>
          </w:p>
        </w:tc>
        <w:tc>
          <w:tcPr>
            <w:tcW w:w="501" w:type="dxa"/>
            <w:tcBorders>
              <w:top w:val="nil"/>
              <w:left w:val="nil"/>
              <w:bottom w:val="single" w:sz="4" w:space="0" w:color="auto"/>
              <w:right w:val="nil"/>
            </w:tcBorders>
            <w:shd w:val="clear" w:color="000000" w:fill="FFFFFF"/>
            <w:vAlign w:val="center"/>
          </w:tcPr>
          <w:p w:rsidR="005A6EF7" w:rsidRPr="001E018C" w:rsidRDefault="005A6EF7" w:rsidP="005A6EF7">
            <w:pPr>
              <w:widowControl/>
              <w:overflowPunct/>
              <w:autoSpaceDE/>
              <w:autoSpaceDN/>
              <w:adjustRightInd/>
              <w:spacing w:before="0" w:after="0"/>
              <w:jc w:val="right"/>
              <w:rPr>
                <w:rFonts w:ascii="Arial Narrow" w:hAnsi="Arial Narrow"/>
                <w:color w:val="000000"/>
                <w:sz w:val="18"/>
                <w:szCs w:val="18"/>
              </w:rPr>
            </w:pPr>
            <w:r w:rsidRPr="001E018C">
              <w:rPr>
                <w:rFonts w:ascii="Arial Narrow" w:hAnsi="Arial Narrow"/>
                <w:color w:val="000000"/>
                <w:sz w:val="18"/>
                <w:szCs w:val="18"/>
              </w:rPr>
              <w:t>11,</w:t>
            </w:r>
            <w:r>
              <w:rPr>
                <w:rFonts w:ascii="Arial Narrow" w:hAnsi="Arial Narrow"/>
                <w:color w:val="000000"/>
                <w:sz w:val="18"/>
                <w:szCs w:val="18"/>
              </w:rPr>
              <w:t>4</w:t>
            </w:r>
          </w:p>
        </w:tc>
        <w:tc>
          <w:tcPr>
            <w:tcW w:w="501" w:type="dxa"/>
            <w:tcBorders>
              <w:top w:val="nil"/>
              <w:left w:val="nil"/>
              <w:bottom w:val="single" w:sz="4" w:space="0" w:color="auto"/>
              <w:right w:val="nil"/>
            </w:tcBorders>
            <w:shd w:val="clear" w:color="000000" w:fill="FFFFFF"/>
            <w:vAlign w:val="bottom"/>
          </w:tcPr>
          <w:p w:rsidR="005A6EF7" w:rsidRPr="00CA61DA" w:rsidRDefault="005A6EF7" w:rsidP="005A6EF7">
            <w:pPr>
              <w:widowControl/>
              <w:overflowPunct/>
              <w:autoSpaceDE/>
              <w:autoSpaceDN/>
              <w:adjustRightInd/>
              <w:spacing w:before="0" w:after="0"/>
              <w:jc w:val="right"/>
              <w:rPr>
                <w:rFonts w:ascii="Arial Narrow" w:hAnsi="Arial Narrow"/>
                <w:color w:val="000000"/>
                <w:sz w:val="18"/>
                <w:szCs w:val="18"/>
              </w:rPr>
            </w:pPr>
            <w:r w:rsidRPr="00CA61DA">
              <w:rPr>
                <w:rFonts w:ascii="Arial Narrow" w:hAnsi="Arial Narrow"/>
                <w:color w:val="000000"/>
                <w:sz w:val="18"/>
                <w:szCs w:val="18"/>
              </w:rPr>
              <w:t>10,9</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10</w:t>
            </w:r>
            <w:r>
              <w:rPr>
                <w:rFonts w:ascii="Arial Narrow" w:hAnsi="Arial Narrow" w:cs="Calibri"/>
                <w:color w:val="000000"/>
                <w:sz w:val="18"/>
                <w:szCs w:val="18"/>
              </w:rPr>
              <w:t>,</w:t>
            </w:r>
            <w:r w:rsidRPr="00A00F0F">
              <w:rPr>
                <w:rFonts w:ascii="Arial Narrow" w:hAnsi="Arial Narrow" w:cs="Calibri"/>
                <w:color w:val="000000"/>
                <w:sz w:val="18"/>
                <w:szCs w:val="18"/>
              </w:rPr>
              <w:t>4</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10</w:t>
            </w:r>
            <w:r>
              <w:rPr>
                <w:rFonts w:ascii="Arial Narrow" w:hAnsi="Arial Narrow" w:cs="Calibri"/>
                <w:color w:val="000000"/>
                <w:sz w:val="18"/>
                <w:szCs w:val="18"/>
              </w:rPr>
              <w:t>,0</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9,3</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8,2</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6,4</w:t>
            </w:r>
          </w:p>
        </w:tc>
        <w:tc>
          <w:tcPr>
            <w:tcW w:w="525"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6,0</w:t>
            </w:r>
          </w:p>
        </w:tc>
        <w:tc>
          <w:tcPr>
            <w:tcW w:w="52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5,5</w:t>
            </w:r>
          </w:p>
        </w:tc>
      </w:tr>
      <w:tr w:rsidR="005A6EF7" w:rsidRPr="001D642A" w:rsidTr="00D331B6">
        <w:trPr>
          <w:trHeight w:val="255"/>
          <w:jc w:val="center"/>
        </w:trPr>
        <w:tc>
          <w:tcPr>
            <w:tcW w:w="3262" w:type="dxa"/>
            <w:vMerge/>
            <w:tcBorders>
              <w:top w:val="nil"/>
              <w:left w:val="nil"/>
              <w:bottom w:val="single" w:sz="4" w:space="0" w:color="000000"/>
              <w:right w:val="nil"/>
            </w:tcBorders>
            <w:vAlign w:val="center"/>
            <w:hideMark/>
          </w:tcPr>
          <w:p w:rsidR="005A6EF7" w:rsidRPr="001D642A" w:rsidRDefault="005A6EF7" w:rsidP="005A6EF7">
            <w:pPr>
              <w:widowControl/>
              <w:overflowPunct/>
              <w:autoSpaceDE/>
              <w:autoSpaceDN/>
              <w:adjustRightInd/>
              <w:spacing w:before="0" w:after="0"/>
              <w:rPr>
                <w:rFonts w:ascii="Arial Narrow" w:hAnsi="Arial Narrow"/>
                <w:color w:val="000000"/>
                <w:kern w:val="0"/>
                <w:sz w:val="18"/>
                <w:szCs w:val="18"/>
              </w:rPr>
            </w:pPr>
          </w:p>
        </w:tc>
        <w:tc>
          <w:tcPr>
            <w:tcW w:w="286" w:type="dxa"/>
            <w:tcBorders>
              <w:top w:val="nil"/>
              <w:left w:val="nil"/>
              <w:bottom w:val="single" w:sz="4" w:space="0" w:color="auto"/>
              <w:right w:val="nil"/>
            </w:tcBorders>
            <w:shd w:val="clear" w:color="000000" w:fill="FFFFFF"/>
            <w:noWrap/>
            <w:vAlign w:val="center"/>
            <w:hideMark/>
          </w:tcPr>
          <w:p w:rsidR="005A6EF7" w:rsidRPr="001D642A" w:rsidRDefault="005A6EF7" w:rsidP="005A6EF7">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00" w:type="dxa"/>
            <w:tcBorders>
              <w:top w:val="nil"/>
              <w:left w:val="nil"/>
              <w:bottom w:val="single" w:sz="4" w:space="0" w:color="auto"/>
              <w:right w:val="nil"/>
            </w:tcBorders>
            <w:shd w:val="clear" w:color="000000" w:fill="FFFFFF"/>
            <w:vAlign w:val="center"/>
          </w:tcPr>
          <w:p w:rsidR="005A6EF7" w:rsidRPr="00E66B46" w:rsidRDefault="005A6EF7" w:rsidP="005A6EF7">
            <w:pPr>
              <w:widowControl/>
              <w:overflowPunct/>
              <w:autoSpaceDE/>
              <w:autoSpaceDN/>
              <w:adjustRightInd/>
              <w:spacing w:before="0" w:after="0"/>
              <w:jc w:val="right"/>
              <w:rPr>
                <w:rFonts w:ascii="Arial Narrow" w:hAnsi="Arial Narrow"/>
                <w:color w:val="000000"/>
                <w:sz w:val="18"/>
                <w:szCs w:val="18"/>
              </w:rPr>
            </w:pPr>
            <w:r w:rsidRPr="00E66B46">
              <w:rPr>
                <w:rFonts w:ascii="Arial Narrow" w:hAnsi="Arial Narrow"/>
                <w:color w:val="000000"/>
                <w:sz w:val="18"/>
                <w:szCs w:val="18"/>
              </w:rPr>
              <w:t>11,6</w:t>
            </w:r>
          </w:p>
        </w:tc>
        <w:tc>
          <w:tcPr>
            <w:tcW w:w="500" w:type="dxa"/>
            <w:tcBorders>
              <w:top w:val="nil"/>
              <w:left w:val="nil"/>
              <w:bottom w:val="single" w:sz="4" w:space="0" w:color="auto"/>
              <w:right w:val="nil"/>
            </w:tcBorders>
            <w:shd w:val="clear" w:color="000000" w:fill="FFFFFF"/>
            <w:vAlign w:val="center"/>
          </w:tcPr>
          <w:p w:rsidR="005A6EF7" w:rsidRPr="00313984" w:rsidRDefault="005A6EF7" w:rsidP="005A6EF7">
            <w:pPr>
              <w:widowControl/>
              <w:overflowPunct/>
              <w:autoSpaceDE/>
              <w:autoSpaceDN/>
              <w:adjustRightInd/>
              <w:spacing w:before="0" w:after="0"/>
              <w:jc w:val="right"/>
              <w:rPr>
                <w:rFonts w:ascii="Arial Narrow" w:hAnsi="Arial Narrow"/>
                <w:color w:val="000000"/>
                <w:sz w:val="18"/>
                <w:szCs w:val="18"/>
              </w:rPr>
            </w:pPr>
            <w:r w:rsidRPr="00313984">
              <w:rPr>
                <w:rFonts w:ascii="Arial Narrow" w:hAnsi="Arial Narrow"/>
                <w:color w:val="000000"/>
                <w:sz w:val="18"/>
                <w:szCs w:val="18"/>
              </w:rPr>
              <w:t>11,0</w:t>
            </w:r>
          </w:p>
        </w:tc>
        <w:tc>
          <w:tcPr>
            <w:tcW w:w="500"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11,9</w:t>
            </w:r>
          </w:p>
        </w:tc>
        <w:tc>
          <w:tcPr>
            <w:tcW w:w="501"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12,0</w:t>
            </w:r>
          </w:p>
        </w:tc>
        <w:tc>
          <w:tcPr>
            <w:tcW w:w="501" w:type="dxa"/>
            <w:tcBorders>
              <w:top w:val="nil"/>
              <w:left w:val="nil"/>
              <w:bottom w:val="single" w:sz="4" w:space="0" w:color="auto"/>
              <w:right w:val="nil"/>
            </w:tcBorders>
            <w:shd w:val="clear" w:color="000000" w:fill="FFFFFF"/>
            <w:vAlign w:val="center"/>
          </w:tcPr>
          <w:p w:rsidR="005A6EF7" w:rsidRPr="001E018C" w:rsidRDefault="005A6EF7" w:rsidP="005A6EF7">
            <w:pPr>
              <w:widowControl/>
              <w:overflowPunct/>
              <w:autoSpaceDE/>
              <w:autoSpaceDN/>
              <w:adjustRightInd/>
              <w:spacing w:before="0" w:after="0"/>
              <w:jc w:val="right"/>
              <w:rPr>
                <w:rFonts w:ascii="Arial Narrow" w:hAnsi="Arial Narrow"/>
                <w:color w:val="000000"/>
                <w:sz w:val="18"/>
                <w:szCs w:val="18"/>
              </w:rPr>
            </w:pPr>
            <w:r w:rsidRPr="001E018C">
              <w:rPr>
                <w:rFonts w:ascii="Arial Narrow" w:hAnsi="Arial Narrow"/>
                <w:color w:val="000000"/>
                <w:sz w:val="18"/>
                <w:szCs w:val="18"/>
              </w:rPr>
              <w:t>11,0</w:t>
            </w:r>
          </w:p>
        </w:tc>
        <w:tc>
          <w:tcPr>
            <w:tcW w:w="501" w:type="dxa"/>
            <w:tcBorders>
              <w:top w:val="nil"/>
              <w:left w:val="nil"/>
              <w:bottom w:val="single" w:sz="4" w:space="0" w:color="auto"/>
              <w:right w:val="nil"/>
            </w:tcBorders>
            <w:shd w:val="clear" w:color="000000" w:fill="FFFFFF"/>
            <w:vAlign w:val="bottom"/>
          </w:tcPr>
          <w:p w:rsidR="005A6EF7" w:rsidRPr="00CA61DA" w:rsidRDefault="005A6EF7" w:rsidP="005A6EF7">
            <w:pPr>
              <w:widowControl/>
              <w:overflowPunct/>
              <w:autoSpaceDE/>
              <w:autoSpaceDN/>
              <w:adjustRightInd/>
              <w:spacing w:before="0" w:after="0"/>
              <w:jc w:val="right"/>
              <w:rPr>
                <w:rFonts w:ascii="Arial Narrow" w:hAnsi="Arial Narrow"/>
                <w:color w:val="000000"/>
                <w:sz w:val="18"/>
                <w:szCs w:val="18"/>
              </w:rPr>
            </w:pPr>
            <w:r w:rsidRPr="00CA61DA">
              <w:rPr>
                <w:rFonts w:ascii="Arial Narrow" w:hAnsi="Arial Narrow"/>
                <w:color w:val="000000"/>
                <w:sz w:val="18"/>
                <w:szCs w:val="18"/>
              </w:rPr>
              <w:t>10,8</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10</w:t>
            </w:r>
            <w:r>
              <w:rPr>
                <w:rFonts w:ascii="Arial Narrow" w:hAnsi="Arial Narrow" w:cs="Calibri"/>
                <w:color w:val="000000"/>
                <w:sz w:val="18"/>
                <w:szCs w:val="18"/>
              </w:rPr>
              <w:t>,</w:t>
            </w:r>
            <w:r w:rsidRPr="00A00F0F">
              <w:rPr>
                <w:rFonts w:ascii="Arial Narrow" w:hAnsi="Arial Narrow" w:cs="Calibri"/>
                <w:color w:val="000000"/>
                <w:sz w:val="18"/>
                <w:szCs w:val="18"/>
              </w:rPr>
              <w:t>1</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9,8</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9,1</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8,0</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6,2</w:t>
            </w:r>
          </w:p>
        </w:tc>
        <w:tc>
          <w:tcPr>
            <w:tcW w:w="525"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5,6</w:t>
            </w:r>
          </w:p>
        </w:tc>
        <w:tc>
          <w:tcPr>
            <w:tcW w:w="52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5,5</w:t>
            </w:r>
          </w:p>
        </w:tc>
      </w:tr>
      <w:tr w:rsidR="005A6EF7" w:rsidRPr="001D642A" w:rsidTr="00D331B6">
        <w:trPr>
          <w:trHeight w:val="255"/>
          <w:jc w:val="center"/>
        </w:trPr>
        <w:tc>
          <w:tcPr>
            <w:tcW w:w="3262" w:type="dxa"/>
            <w:vMerge w:val="restart"/>
            <w:tcBorders>
              <w:top w:val="nil"/>
              <w:left w:val="nil"/>
              <w:bottom w:val="nil"/>
              <w:right w:val="nil"/>
            </w:tcBorders>
            <w:shd w:val="clear" w:color="000000" w:fill="FFFFFF"/>
            <w:vAlign w:val="center"/>
            <w:hideMark/>
          </w:tcPr>
          <w:p w:rsidR="005A6EF7" w:rsidRPr="001D642A" w:rsidRDefault="005A6EF7" w:rsidP="005A6EF7">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 xml:space="preserve">    Alimentari lavorati</w:t>
            </w:r>
          </w:p>
        </w:tc>
        <w:tc>
          <w:tcPr>
            <w:tcW w:w="286" w:type="dxa"/>
            <w:tcBorders>
              <w:top w:val="nil"/>
              <w:left w:val="nil"/>
              <w:bottom w:val="single" w:sz="4" w:space="0" w:color="auto"/>
              <w:right w:val="nil"/>
            </w:tcBorders>
            <w:shd w:val="clear" w:color="000000" w:fill="FFFFFF"/>
            <w:noWrap/>
            <w:vAlign w:val="center"/>
            <w:hideMark/>
          </w:tcPr>
          <w:p w:rsidR="005A6EF7" w:rsidRPr="001D642A" w:rsidRDefault="005A6EF7" w:rsidP="005A6EF7">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00" w:type="dxa"/>
            <w:tcBorders>
              <w:top w:val="nil"/>
              <w:left w:val="nil"/>
              <w:bottom w:val="single" w:sz="4" w:space="0" w:color="auto"/>
              <w:right w:val="nil"/>
            </w:tcBorders>
            <w:shd w:val="clear" w:color="000000" w:fill="FFFFFF"/>
            <w:vAlign w:val="center"/>
          </w:tcPr>
          <w:p w:rsidR="005A6EF7" w:rsidRPr="00E66B46" w:rsidRDefault="005A6EF7" w:rsidP="005A6EF7">
            <w:pPr>
              <w:widowControl/>
              <w:overflowPunct/>
              <w:autoSpaceDE/>
              <w:autoSpaceDN/>
              <w:adjustRightInd/>
              <w:spacing w:before="0" w:after="0"/>
              <w:jc w:val="right"/>
              <w:rPr>
                <w:rFonts w:ascii="Arial Narrow" w:hAnsi="Arial Narrow"/>
                <w:color w:val="000000"/>
                <w:sz w:val="18"/>
                <w:szCs w:val="18"/>
              </w:rPr>
            </w:pPr>
            <w:r w:rsidRPr="00E66B46">
              <w:rPr>
                <w:rFonts w:ascii="Arial Narrow" w:hAnsi="Arial Narrow"/>
                <w:color w:val="000000"/>
                <w:sz w:val="18"/>
                <w:szCs w:val="18"/>
              </w:rPr>
              <w:t>12,8</w:t>
            </w:r>
          </w:p>
        </w:tc>
        <w:tc>
          <w:tcPr>
            <w:tcW w:w="500" w:type="dxa"/>
            <w:tcBorders>
              <w:top w:val="nil"/>
              <w:left w:val="nil"/>
              <w:bottom w:val="single" w:sz="4" w:space="0" w:color="auto"/>
              <w:right w:val="nil"/>
            </w:tcBorders>
            <w:shd w:val="clear" w:color="000000" w:fill="FFFFFF"/>
            <w:vAlign w:val="center"/>
          </w:tcPr>
          <w:p w:rsidR="005A6EF7" w:rsidRPr="00313984" w:rsidRDefault="005A6EF7" w:rsidP="005A6EF7">
            <w:pPr>
              <w:widowControl/>
              <w:overflowPunct/>
              <w:autoSpaceDE/>
              <w:autoSpaceDN/>
              <w:adjustRightInd/>
              <w:spacing w:before="0" w:after="0"/>
              <w:jc w:val="right"/>
              <w:rPr>
                <w:rFonts w:ascii="Arial Narrow" w:hAnsi="Arial Narrow"/>
                <w:color w:val="000000"/>
                <w:sz w:val="18"/>
                <w:szCs w:val="18"/>
              </w:rPr>
            </w:pPr>
            <w:r w:rsidRPr="00313984">
              <w:rPr>
                <w:rFonts w:ascii="Arial Narrow" w:hAnsi="Arial Narrow"/>
                <w:color w:val="000000"/>
                <w:sz w:val="18"/>
                <w:szCs w:val="18"/>
              </w:rPr>
              <w:t>13,1</w:t>
            </w:r>
          </w:p>
        </w:tc>
        <w:tc>
          <w:tcPr>
            <w:tcW w:w="500"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14,0</w:t>
            </w:r>
          </w:p>
        </w:tc>
        <w:tc>
          <w:tcPr>
            <w:tcW w:w="501"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13,5</w:t>
            </w:r>
          </w:p>
        </w:tc>
        <w:tc>
          <w:tcPr>
            <w:tcW w:w="501" w:type="dxa"/>
            <w:tcBorders>
              <w:top w:val="nil"/>
              <w:left w:val="nil"/>
              <w:bottom w:val="single" w:sz="4" w:space="0" w:color="auto"/>
              <w:right w:val="nil"/>
            </w:tcBorders>
            <w:shd w:val="clear" w:color="000000" w:fill="FFFFFF"/>
            <w:vAlign w:val="center"/>
          </w:tcPr>
          <w:p w:rsidR="005A6EF7" w:rsidRPr="001E018C" w:rsidRDefault="005A6EF7" w:rsidP="005A6EF7">
            <w:pPr>
              <w:widowControl/>
              <w:overflowPunct/>
              <w:autoSpaceDE/>
              <w:autoSpaceDN/>
              <w:adjustRightInd/>
              <w:spacing w:before="0" w:after="0"/>
              <w:jc w:val="right"/>
              <w:rPr>
                <w:rFonts w:ascii="Arial Narrow" w:hAnsi="Arial Narrow"/>
                <w:color w:val="000000"/>
                <w:sz w:val="18"/>
                <w:szCs w:val="18"/>
              </w:rPr>
            </w:pPr>
            <w:r w:rsidRPr="001E018C">
              <w:rPr>
                <w:rFonts w:ascii="Arial Narrow" w:hAnsi="Arial Narrow"/>
                <w:color w:val="000000"/>
                <w:sz w:val="18"/>
                <w:szCs w:val="18"/>
              </w:rPr>
              <w:t>13,0</w:t>
            </w:r>
          </w:p>
        </w:tc>
        <w:tc>
          <w:tcPr>
            <w:tcW w:w="501" w:type="dxa"/>
            <w:tcBorders>
              <w:top w:val="nil"/>
              <w:left w:val="nil"/>
              <w:bottom w:val="single" w:sz="4" w:space="0" w:color="auto"/>
              <w:right w:val="nil"/>
            </w:tcBorders>
            <w:shd w:val="clear" w:color="000000" w:fill="FFFFFF"/>
            <w:vAlign w:val="bottom"/>
          </w:tcPr>
          <w:p w:rsidR="005A6EF7" w:rsidRPr="00CA61DA" w:rsidRDefault="005A6EF7" w:rsidP="005A6EF7">
            <w:pPr>
              <w:widowControl/>
              <w:overflowPunct/>
              <w:autoSpaceDE/>
              <w:autoSpaceDN/>
              <w:adjustRightInd/>
              <w:spacing w:before="0" w:after="0"/>
              <w:jc w:val="right"/>
              <w:rPr>
                <w:rFonts w:ascii="Arial Narrow" w:hAnsi="Arial Narrow"/>
                <w:color w:val="000000"/>
                <w:sz w:val="18"/>
                <w:szCs w:val="18"/>
              </w:rPr>
            </w:pPr>
            <w:r w:rsidRPr="00CA61DA">
              <w:rPr>
                <w:rFonts w:ascii="Arial Narrow" w:hAnsi="Arial Narrow"/>
                <w:color w:val="000000"/>
                <w:sz w:val="18"/>
                <w:szCs w:val="18"/>
              </w:rPr>
              <w:t>11,9</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10</w:t>
            </w:r>
            <w:r>
              <w:rPr>
                <w:rFonts w:ascii="Arial Narrow" w:hAnsi="Arial Narrow" w:cs="Calibri"/>
                <w:color w:val="000000"/>
                <w:sz w:val="18"/>
                <w:szCs w:val="18"/>
              </w:rPr>
              <w:t>,</w:t>
            </w:r>
            <w:r w:rsidRPr="00A00F0F">
              <w:rPr>
                <w:rFonts w:ascii="Arial Narrow" w:hAnsi="Arial Narrow" w:cs="Calibri"/>
                <w:color w:val="000000"/>
                <w:sz w:val="18"/>
                <w:szCs w:val="18"/>
              </w:rPr>
              <w:t>7</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9,</w:t>
            </w:r>
            <w:r w:rsidRPr="00A00F0F">
              <w:rPr>
                <w:rFonts w:ascii="Arial Narrow" w:hAnsi="Arial Narrow" w:cs="Calibri"/>
                <w:color w:val="000000"/>
                <w:sz w:val="18"/>
                <w:szCs w:val="18"/>
              </w:rPr>
              <w:t>7</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9,0</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8,1</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6,7</w:t>
            </w:r>
          </w:p>
        </w:tc>
        <w:tc>
          <w:tcPr>
            <w:tcW w:w="525"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5,8</w:t>
            </w:r>
          </w:p>
        </w:tc>
        <w:tc>
          <w:tcPr>
            <w:tcW w:w="52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4,6</w:t>
            </w:r>
          </w:p>
        </w:tc>
      </w:tr>
      <w:tr w:rsidR="005A6EF7" w:rsidRPr="001D642A" w:rsidTr="00D331B6">
        <w:trPr>
          <w:trHeight w:val="255"/>
          <w:jc w:val="center"/>
        </w:trPr>
        <w:tc>
          <w:tcPr>
            <w:tcW w:w="3262" w:type="dxa"/>
            <w:vMerge/>
            <w:tcBorders>
              <w:top w:val="nil"/>
              <w:left w:val="nil"/>
              <w:bottom w:val="nil"/>
              <w:right w:val="nil"/>
            </w:tcBorders>
            <w:vAlign w:val="center"/>
            <w:hideMark/>
          </w:tcPr>
          <w:p w:rsidR="005A6EF7" w:rsidRPr="001D642A" w:rsidRDefault="005A6EF7" w:rsidP="005A6EF7">
            <w:pPr>
              <w:widowControl/>
              <w:overflowPunct/>
              <w:autoSpaceDE/>
              <w:autoSpaceDN/>
              <w:adjustRightInd/>
              <w:spacing w:before="0" w:after="0"/>
              <w:rPr>
                <w:rFonts w:ascii="Arial Narrow" w:hAnsi="Arial Narrow"/>
                <w:color w:val="000000"/>
                <w:kern w:val="0"/>
                <w:sz w:val="18"/>
                <w:szCs w:val="18"/>
              </w:rPr>
            </w:pPr>
          </w:p>
        </w:tc>
        <w:tc>
          <w:tcPr>
            <w:tcW w:w="286" w:type="dxa"/>
            <w:tcBorders>
              <w:top w:val="nil"/>
              <w:left w:val="nil"/>
              <w:bottom w:val="single" w:sz="4" w:space="0" w:color="auto"/>
              <w:right w:val="nil"/>
            </w:tcBorders>
            <w:shd w:val="clear" w:color="000000" w:fill="FFFFFF"/>
            <w:noWrap/>
            <w:vAlign w:val="center"/>
            <w:hideMark/>
          </w:tcPr>
          <w:p w:rsidR="005A6EF7" w:rsidRPr="001D642A" w:rsidRDefault="005A6EF7" w:rsidP="005A6EF7">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00" w:type="dxa"/>
            <w:tcBorders>
              <w:top w:val="nil"/>
              <w:left w:val="nil"/>
              <w:bottom w:val="single" w:sz="4" w:space="0" w:color="auto"/>
              <w:right w:val="nil"/>
            </w:tcBorders>
            <w:shd w:val="clear" w:color="000000" w:fill="FFFFFF"/>
            <w:vAlign w:val="center"/>
          </w:tcPr>
          <w:p w:rsidR="005A6EF7" w:rsidRPr="00E66B46" w:rsidRDefault="005A6EF7" w:rsidP="005A6EF7">
            <w:pPr>
              <w:widowControl/>
              <w:overflowPunct/>
              <w:autoSpaceDE/>
              <w:autoSpaceDN/>
              <w:adjustRightInd/>
              <w:spacing w:before="0" w:after="0"/>
              <w:jc w:val="right"/>
              <w:rPr>
                <w:rFonts w:ascii="Arial Narrow" w:hAnsi="Arial Narrow"/>
                <w:color w:val="000000"/>
                <w:sz w:val="18"/>
                <w:szCs w:val="18"/>
              </w:rPr>
            </w:pPr>
            <w:r w:rsidRPr="00E66B46">
              <w:rPr>
                <w:rFonts w:ascii="Arial Narrow" w:hAnsi="Arial Narrow"/>
                <w:color w:val="000000"/>
                <w:sz w:val="18"/>
                <w:szCs w:val="18"/>
              </w:rPr>
              <w:t>12,7</w:t>
            </w:r>
          </w:p>
        </w:tc>
        <w:tc>
          <w:tcPr>
            <w:tcW w:w="500" w:type="dxa"/>
            <w:tcBorders>
              <w:top w:val="nil"/>
              <w:left w:val="nil"/>
              <w:bottom w:val="single" w:sz="4" w:space="0" w:color="auto"/>
              <w:right w:val="nil"/>
            </w:tcBorders>
            <w:shd w:val="clear" w:color="000000" w:fill="FFFFFF"/>
            <w:vAlign w:val="center"/>
          </w:tcPr>
          <w:p w:rsidR="005A6EF7" w:rsidRPr="00313984" w:rsidRDefault="005A6EF7" w:rsidP="005A6EF7">
            <w:pPr>
              <w:widowControl/>
              <w:overflowPunct/>
              <w:autoSpaceDE/>
              <w:autoSpaceDN/>
              <w:adjustRightInd/>
              <w:spacing w:before="0" w:after="0"/>
              <w:jc w:val="right"/>
              <w:rPr>
                <w:rFonts w:ascii="Arial Narrow" w:hAnsi="Arial Narrow"/>
                <w:color w:val="000000"/>
                <w:sz w:val="18"/>
                <w:szCs w:val="18"/>
              </w:rPr>
            </w:pPr>
            <w:r w:rsidRPr="00313984">
              <w:rPr>
                <w:rFonts w:ascii="Arial Narrow" w:hAnsi="Arial Narrow"/>
                <w:color w:val="000000"/>
                <w:sz w:val="18"/>
                <w:szCs w:val="18"/>
              </w:rPr>
              <w:t>12,9</w:t>
            </w:r>
          </w:p>
        </w:tc>
        <w:tc>
          <w:tcPr>
            <w:tcW w:w="500"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13,6</w:t>
            </w:r>
          </w:p>
        </w:tc>
        <w:tc>
          <w:tcPr>
            <w:tcW w:w="501"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13,4</w:t>
            </w:r>
          </w:p>
        </w:tc>
        <w:tc>
          <w:tcPr>
            <w:tcW w:w="501" w:type="dxa"/>
            <w:tcBorders>
              <w:top w:val="nil"/>
              <w:left w:val="nil"/>
              <w:bottom w:val="single" w:sz="4" w:space="0" w:color="auto"/>
              <w:right w:val="nil"/>
            </w:tcBorders>
            <w:shd w:val="clear" w:color="000000" w:fill="FFFFFF"/>
            <w:vAlign w:val="center"/>
          </w:tcPr>
          <w:p w:rsidR="005A6EF7" w:rsidRPr="001E018C" w:rsidRDefault="005A6EF7" w:rsidP="005A6EF7">
            <w:pPr>
              <w:widowControl/>
              <w:overflowPunct/>
              <w:autoSpaceDE/>
              <w:autoSpaceDN/>
              <w:adjustRightInd/>
              <w:spacing w:before="0" w:after="0"/>
              <w:jc w:val="right"/>
              <w:rPr>
                <w:rFonts w:ascii="Arial Narrow" w:hAnsi="Arial Narrow"/>
                <w:color w:val="000000"/>
                <w:sz w:val="18"/>
                <w:szCs w:val="18"/>
              </w:rPr>
            </w:pPr>
            <w:r w:rsidRPr="001E018C">
              <w:rPr>
                <w:rFonts w:ascii="Arial Narrow" w:hAnsi="Arial Narrow"/>
                <w:color w:val="000000"/>
                <w:sz w:val="18"/>
                <w:szCs w:val="18"/>
              </w:rPr>
              <w:t>12,5</w:t>
            </w:r>
          </w:p>
        </w:tc>
        <w:tc>
          <w:tcPr>
            <w:tcW w:w="501" w:type="dxa"/>
            <w:tcBorders>
              <w:top w:val="nil"/>
              <w:left w:val="nil"/>
              <w:bottom w:val="single" w:sz="4" w:space="0" w:color="auto"/>
              <w:right w:val="nil"/>
            </w:tcBorders>
            <w:shd w:val="clear" w:color="000000" w:fill="FFFFFF"/>
            <w:vAlign w:val="bottom"/>
          </w:tcPr>
          <w:p w:rsidR="005A6EF7" w:rsidRPr="00CA61DA" w:rsidRDefault="005A6EF7" w:rsidP="005A6EF7">
            <w:pPr>
              <w:widowControl/>
              <w:overflowPunct/>
              <w:autoSpaceDE/>
              <w:autoSpaceDN/>
              <w:adjustRightInd/>
              <w:spacing w:before="0" w:after="0"/>
              <w:jc w:val="right"/>
              <w:rPr>
                <w:rFonts w:ascii="Arial Narrow" w:hAnsi="Arial Narrow"/>
                <w:color w:val="000000"/>
                <w:sz w:val="18"/>
                <w:szCs w:val="18"/>
              </w:rPr>
            </w:pPr>
            <w:r w:rsidRPr="00CA61DA">
              <w:rPr>
                <w:rFonts w:ascii="Arial Narrow" w:hAnsi="Arial Narrow"/>
                <w:color w:val="000000"/>
                <w:sz w:val="18"/>
                <w:szCs w:val="18"/>
              </w:rPr>
              <w:t>11,7</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10</w:t>
            </w:r>
            <w:r>
              <w:rPr>
                <w:rFonts w:ascii="Arial Narrow" w:hAnsi="Arial Narrow" w:cs="Calibri"/>
                <w:color w:val="000000"/>
                <w:sz w:val="18"/>
                <w:szCs w:val="18"/>
              </w:rPr>
              <w:t>,</w:t>
            </w:r>
            <w:r w:rsidRPr="00A00F0F">
              <w:rPr>
                <w:rFonts w:ascii="Arial Narrow" w:hAnsi="Arial Narrow" w:cs="Calibri"/>
                <w:color w:val="000000"/>
                <w:sz w:val="18"/>
                <w:szCs w:val="18"/>
              </w:rPr>
              <w:t>4</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9,</w:t>
            </w:r>
            <w:r w:rsidRPr="00A00F0F">
              <w:rPr>
                <w:rFonts w:ascii="Arial Narrow" w:hAnsi="Arial Narrow" w:cs="Calibri"/>
                <w:color w:val="000000"/>
                <w:sz w:val="18"/>
                <w:szCs w:val="18"/>
              </w:rPr>
              <w:t>4</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8,9</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7,9</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6,5</w:t>
            </w:r>
          </w:p>
        </w:tc>
        <w:tc>
          <w:tcPr>
            <w:tcW w:w="525"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5,3</w:t>
            </w:r>
          </w:p>
        </w:tc>
        <w:tc>
          <w:tcPr>
            <w:tcW w:w="52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4,5</w:t>
            </w:r>
          </w:p>
        </w:tc>
      </w:tr>
      <w:tr w:rsidR="005A6EF7" w:rsidRPr="001D642A" w:rsidTr="00D331B6">
        <w:trPr>
          <w:trHeight w:val="127"/>
          <w:jc w:val="center"/>
        </w:trPr>
        <w:tc>
          <w:tcPr>
            <w:tcW w:w="3262" w:type="dxa"/>
            <w:vMerge w:val="restart"/>
            <w:tcBorders>
              <w:top w:val="single" w:sz="4" w:space="0" w:color="auto"/>
              <w:left w:val="nil"/>
              <w:bottom w:val="single" w:sz="4" w:space="0" w:color="000000"/>
              <w:right w:val="nil"/>
            </w:tcBorders>
            <w:shd w:val="clear" w:color="000000" w:fill="FFFFFF"/>
            <w:vAlign w:val="center"/>
            <w:hideMark/>
          </w:tcPr>
          <w:p w:rsidR="005A6EF7" w:rsidRPr="001D642A" w:rsidRDefault="005A6EF7" w:rsidP="005A6EF7">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 xml:space="preserve">    Alimentari non lavorati</w:t>
            </w:r>
          </w:p>
        </w:tc>
        <w:tc>
          <w:tcPr>
            <w:tcW w:w="286" w:type="dxa"/>
            <w:tcBorders>
              <w:top w:val="nil"/>
              <w:left w:val="nil"/>
              <w:bottom w:val="single" w:sz="4" w:space="0" w:color="auto"/>
              <w:right w:val="nil"/>
            </w:tcBorders>
            <w:shd w:val="clear" w:color="000000" w:fill="FFFFFF"/>
            <w:noWrap/>
            <w:vAlign w:val="center"/>
            <w:hideMark/>
          </w:tcPr>
          <w:p w:rsidR="005A6EF7" w:rsidRPr="001D642A" w:rsidRDefault="005A6EF7" w:rsidP="005A6EF7">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00" w:type="dxa"/>
            <w:tcBorders>
              <w:top w:val="nil"/>
              <w:left w:val="nil"/>
              <w:bottom w:val="single" w:sz="4" w:space="0" w:color="auto"/>
              <w:right w:val="nil"/>
            </w:tcBorders>
            <w:shd w:val="clear" w:color="000000" w:fill="FFFFFF"/>
            <w:vAlign w:val="center"/>
          </w:tcPr>
          <w:p w:rsidR="005A6EF7" w:rsidRPr="00E66B46" w:rsidRDefault="005A6EF7" w:rsidP="005A6EF7">
            <w:pPr>
              <w:widowControl/>
              <w:overflowPunct/>
              <w:autoSpaceDE/>
              <w:autoSpaceDN/>
              <w:adjustRightInd/>
              <w:spacing w:before="0" w:after="0"/>
              <w:jc w:val="right"/>
              <w:rPr>
                <w:rFonts w:ascii="Arial Narrow" w:hAnsi="Arial Narrow"/>
                <w:color w:val="000000"/>
                <w:sz w:val="18"/>
                <w:szCs w:val="18"/>
              </w:rPr>
            </w:pPr>
            <w:r w:rsidRPr="00E66B46">
              <w:rPr>
                <w:rFonts w:ascii="Arial Narrow" w:hAnsi="Arial Narrow"/>
                <w:color w:val="000000"/>
                <w:sz w:val="18"/>
                <w:szCs w:val="18"/>
              </w:rPr>
              <w:t>9,1</w:t>
            </w:r>
          </w:p>
        </w:tc>
        <w:tc>
          <w:tcPr>
            <w:tcW w:w="500" w:type="dxa"/>
            <w:tcBorders>
              <w:top w:val="nil"/>
              <w:left w:val="nil"/>
              <w:bottom w:val="single" w:sz="4" w:space="0" w:color="auto"/>
              <w:right w:val="nil"/>
            </w:tcBorders>
            <w:shd w:val="clear" w:color="000000" w:fill="FFFFFF"/>
            <w:vAlign w:val="center"/>
          </w:tcPr>
          <w:p w:rsidR="005A6EF7" w:rsidRPr="00313984" w:rsidRDefault="005A6EF7" w:rsidP="005A6EF7">
            <w:pPr>
              <w:widowControl/>
              <w:overflowPunct/>
              <w:autoSpaceDE/>
              <w:autoSpaceDN/>
              <w:adjustRightInd/>
              <w:spacing w:before="0" w:after="0"/>
              <w:jc w:val="right"/>
              <w:rPr>
                <w:rFonts w:ascii="Arial Narrow" w:hAnsi="Arial Narrow"/>
                <w:color w:val="000000"/>
                <w:sz w:val="18"/>
                <w:szCs w:val="18"/>
              </w:rPr>
            </w:pPr>
            <w:r w:rsidRPr="00313984">
              <w:rPr>
                <w:rFonts w:ascii="Arial Narrow" w:hAnsi="Arial Narrow"/>
                <w:color w:val="000000"/>
                <w:sz w:val="18"/>
                <w:szCs w:val="18"/>
              </w:rPr>
              <w:t>7,1</w:t>
            </w:r>
          </w:p>
        </w:tc>
        <w:tc>
          <w:tcPr>
            <w:tcW w:w="500"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7,8</w:t>
            </w:r>
          </w:p>
        </w:tc>
        <w:tc>
          <w:tcPr>
            <w:tcW w:w="501"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9,0</w:t>
            </w:r>
          </w:p>
        </w:tc>
        <w:tc>
          <w:tcPr>
            <w:tcW w:w="501" w:type="dxa"/>
            <w:tcBorders>
              <w:top w:val="nil"/>
              <w:left w:val="nil"/>
              <w:bottom w:val="single" w:sz="4" w:space="0" w:color="auto"/>
              <w:right w:val="nil"/>
            </w:tcBorders>
            <w:shd w:val="clear" w:color="000000" w:fill="FFFFFF"/>
            <w:vAlign w:val="center"/>
          </w:tcPr>
          <w:p w:rsidR="005A6EF7" w:rsidRPr="001E018C" w:rsidRDefault="005A6EF7" w:rsidP="005A6EF7">
            <w:pPr>
              <w:widowControl/>
              <w:overflowPunct/>
              <w:autoSpaceDE/>
              <w:autoSpaceDN/>
              <w:adjustRightInd/>
              <w:spacing w:before="0" w:after="0"/>
              <w:jc w:val="right"/>
              <w:rPr>
                <w:rFonts w:ascii="Arial Narrow" w:hAnsi="Arial Narrow"/>
                <w:color w:val="000000"/>
                <w:sz w:val="18"/>
                <w:szCs w:val="18"/>
              </w:rPr>
            </w:pPr>
            <w:r w:rsidRPr="001E018C">
              <w:rPr>
                <w:rFonts w:ascii="Arial Narrow" w:hAnsi="Arial Narrow"/>
                <w:color w:val="000000"/>
                <w:sz w:val="18"/>
                <w:szCs w:val="18"/>
              </w:rPr>
              <w:t>7,9</w:t>
            </w:r>
          </w:p>
        </w:tc>
        <w:tc>
          <w:tcPr>
            <w:tcW w:w="501" w:type="dxa"/>
            <w:tcBorders>
              <w:top w:val="nil"/>
              <w:left w:val="nil"/>
              <w:bottom w:val="single" w:sz="4" w:space="0" w:color="auto"/>
              <w:right w:val="nil"/>
            </w:tcBorders>
            <w:shd w:val="clear" w:color="000000" w:fill="FFFFFF"/>
            <w:vAlign w:val="bottom"/>
          </w:tcPr>
          <w:p w:rsidR="005A6EF7" w:rsidRPr="00CA61DA" w:rsidRDefault="005A6EF7" w:rsidP="005A6EF7">
            <w:pPr>
              <w:widowControl/>
              <w:overflowPunct/>
              <w:autoSpaceDE/>
              <w:autoSpaceDN/>
              <w:adjustRightInd/>
              <w:spacing w:before="0" w:after="0"/>
              <w:jc w:val="right"/>
              <w:rPr>
                <w:rFonts w:ascii="Arial Narrow" w:hAnsi="Arial Narrow"/>
                <w:color w:val="000000"/>
                <w:sz w:val="18"/>
                <w:szCs w:val="18"/>
              </w:rPr>
            </w:pPr>
            <w:r w:rsidRPr="00CA61DA">
              <w:rPr>
                <w:rFonts w:ascii="Arial Narrow" w:hAnsi="Arial Narrow"/>
                <w:color w:val="000000"/>
                <w:sz w:val="18"/>
                <w:szCs w:val="18"/>
              </w:rPr>
              <w:t>8,9</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9</w:t>
            </w:r>
            <w:r>
              <w:rPr>
                <w:rFonts w:ascii="Arial Narrow" w:hAnsi="Arial Narrow" w:cs="Calibri"/>
                <w:color w:val="000000"/>
                <w:sz w:val="18"/>
                <w:szCs w:val="18"/>
              </w:rPr>
              <w:t>,</w:t>
            </w:r>
            <w:r w:rsidRPr="00A00F0F">
              <w:rPr>
                <w:rFonts w:ascii="Arial Narrow" w:hAnsi="Arial Narrow" w:cs="Calibri"/>
                <w:color w:val="000000"/>
                <w:sz w:val="18"/>
                <w:szCs w:val="18"/>
              </w:rPr>
              <w:t>8</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10,9</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9,7</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8,3</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5,5</w:t>
            </w:r>
          </w:p>
        </w:tc>
        <w:tc>
          <w:tcPr>
            <w:tcW w:w="525"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6,4</w:t>
            </w:r>
          </w:p>
        </w:tc>
        <w:tc>
          <w:tcPr>
            <w:tcW w:w="52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7,8</w:t>
            </w:r>
          </w:p>
        </w:tc>
      </w:tr>
      <w:tr w:rsidR="005A6EF7" w:rsidRPr="001D642A" w:rsidTr="00D331B6">
        <w:trPr>
          <w:trHeight w:val="255"/>
          <w:jc w:val="center"/>
        </w:trPr>
        <w:tc>
          <w:tcPr>
            <w:tcW w:w="3262" w:type="dxa"/>
            <w:vMerge/>
            <w:tcBorders>
              <w:top w:val="single" w:sz="4" w:space="0" w:color="auto"/>
              <w:left w:val="nil"/>
              <w:bottom w:val="single" w:sz="4" w:space="0" w:color="000000"/>
              <w:right w:val="nil"/>
            </w:tcBorders>
            <w:vAlign w:val="center"/>
            <w:hideMark/>
          </w:tcPr>
          <w:p w:rsidR="005A6EF7" w:rsidRPr="001D642A" w:rsidRDefault="005A6EF7" w:rsidP="005A6EF7">
            <w:pPr>
              <w:widowControl/>
              <w:overflowPunct/>
              <w:autoSpaceDE/>
              <w:autoSpaceDN/>
              <w:adjustRightInd/>
              <w:spacing w:before="0" w:after="0"/>
              <w:rPr>
                <w:rFonts w:ascii="Arial Narrow" w:hAnsi="Arial Narrow"/>
                <w:color w:val="000000"/>
                <w:kern w:val="0"/>
                <w:sz w:val="18"/>
                <w:szCs w:val="18"/>
              </w:rPr>
            </w:pPr>
          </w:p>
        </w:tc>
        <w:tc>
          <w:tcPr>
            <w:tcW w:w="286" w:type="dxa"/>
            <w:tcBorders>
              <w:top w:val="nil"/>
              <w:left w:val="nil"/>
              <w:bottom w:val="single" w:sz="4" w:space="0" w:color="auto"/>
              <w:right w:val="nil"/>
            </w:tcBorders>
            <w:shd w:val="clear" w:color="000000" w:fill="FFFFFF"/>
            <w:noWrap/>
            <w:vAlign w:val="center"/>
            <w:hideMark/>
          </w:tcPr>
          <w:p w:rsidR="005A6EF7" w:rsidRPr="001D642A" w:rsidRDefault="005A6EF7" w:rsidP="005A6EF7">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00" w:type="dxa"/>
            <w:tcBorders>
              <w:top w:val="nil"/>
              <w:left w:val="nil"/>
              <w:bottom w:val="single" w:sz="4" w:space="0" w:color="auto"/>
              <w:right w:val="nil"/>
            </w:tcBorders>
            <w:shd w:val="clear" w:color="000000" w:fill="FFFFFF"/>
            <w:vAlign w:val="center"/>
          </w:tcPr>
          <w:p w:rsidR="005A6EF7" w:rsidRPr="00E66B46" w:rsidRDefault="005A6EF7" w:rsidP="005A6EF7">
            <w:pPr>
              <w:widowControl/>
              <w:overflowPunct/>
              <w:autoSpaceDE/>
              <w:autoSpaceDN/>
              <w:adjustRightInd/>
              <w:spacing w:before="0" w:after="0"/>
              <w:jc w:val="right"/>
              <w:rPr>
                <w:rFonts w:ascii="Arial Narrow" w:hAnsi="Arial Narrow"/>
                <w:color w:val="000000"/>
                <w:sz w:val="18"/>
                <w:szCs w:val="18"/>
              </w:rPr>
            </w:pPr>
            <w:r w:rsidRPr="00E66B46">
              <w:rPr>
                <w:rFonts w:ascii="Arial Narrow" w:hAnsi="Arial Narrow"/>
                <w:color w:val="000000"/>
                <w:sz w:val="18"/>
                <w:szCs w:val="18"/>
              </w:rPr>
              <w:t>9,0</w:t>
            </w:r>
          </w:p>
        </w:tc>
        <w:tc>
          <w:tcPr>
            <w:tcW w:w="500" w:type="dxa"/>
            <w:tcBorders>
              <w:top w:val="nil"/>
              <w:left w:val="nil"/>
              <w:bottom w:val="single" w:sz="4" w:space="0" w:color="auto"/>
              <w:right w:val="nil"/>
            </w:tcBorders>
            <w:shd w:val="clear" w:color="000000" w:fill="FFFFFF"/>
            <w:vAlign w:val="center"/>
          </w:tcPr>
          <w:p w:rsidR="005A6EF7" w:rsidRPr="00313984" w:rsidRDefault="005A6EF7" w:rsidP="005A6EF7">
            <w:pPr>
              <w:widowControl/>
              <w:overflowPunct/>
              <w:autoSpaceDE/>
              <w:autoSpaceDN/>
              <w:adjustRightInd/>
              <w:spacing w:before="0" w:after="0"/>
              <w:jc w:val="right"/>
              <w:rPr>
                <w:rFonts w:ascii="Arial Narrow" w:hAnsi="Arial Narrow"/>
                <w:color w:val="000000"/>
                <w:sz w:val="18"/>
                <w:szCs w:val="18"/>
              </w:rPr>
            </w:pPr>
            <w:r w:rsidRPr="00313984">
              <w:rPr>
                <w:rFonts w:ascii="Arial Narrow" w:hAnsi="Arial Narrow"/>
                <w:color w:val="000000"/>
                <w:sz w:val="18"/>
                <w:szCs w:val="18"/>
              </w:rPr>
              <w:t>7,0</w:t>
            </w:r>
          </w:p>
        </w:tc>
        <w:tc>
          <w:tcPr>
            <w:tcW w:w="500"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8,3</w:t>
            </w:r>
          </w:p>
        </w:tc>
        <w:tc>
          <w:tcPr>
            <w:tcW w:w="501"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8,8</w:t>
            </w:r>
          </w:p>
        </w:tc>
        <w:tc>
          <w:tcPr>
            <w:tcW w:w="501" w:type="dxa"/>
            <w:tcBorders>
              <w:top w:val="nil"/>
              <w:left w:val="nil"/>
              <w:bottom w:val="single" w:sz="4" w:space="0" w:color="auto"/>
              <w:right w:val="nil"/>
            </w:tcBorders>
            <w:shd w:val="clear" w:color="000000" w:fill="FFFFFF"/>
            <w:vAlign w:val="center"/>
          </w:tcPr>
          <w:p w:rsidR="005A6EF7" w:rsidRPr="001E018C" w:rsidRDefault="005A6EF7" w:rsidP="005A6EF7">
            <w:pPr>
              <w:widowControl/>
              <w:overflowPunct/>
              <w:autoSpaceDE/>
              <w:autoSpaceDN/>
              <w:adjustRightInd/>
              <w:spacing w:before="0" w:after="0"/>
              <w:jc w:val="right"/>
              <w:rPr>
                <w:rFonts w:ascii="Arial Narrow" w:hAnsi="Arial Narrow"/>
                <w:color w:val="000000"/>
                <w:sz w:val="18"/>
                <w:szCs w:val="18"/>
              </w:rPr>
            </w:pPr>
            <w:r w:rsidRPr="001E018C">
              <w:rPr>
                <w:rFonts w:ascii="Arial Narrow" w:hAnsi="Arial Narrow"/>
                <w:color w:val="000000"/>
                <w:sz w:val="18"/>
                <w:szCs w:val="18"/>
              </w:rPr>
              <w:t>8,0</w:t>
            </w:r>
          </w:p>
        </w:tc>
        <w:tc>
          <w:tcPr>
            <w:tcW w:w="501" w:type="dxa"/>
            <w:tcBorders>
              <w:top w:val="nil"/>
              <w:left w:val="nil"/>
              <w:bottom w:val="single" w:sz="4" w:space="0" w:color="auto"/>
              <w:right w:val="nil"/>
            </w:tcBorders>
            <w:shd w:val="clear" w:color="000000" w:fill="FFFFFF"/>
            <w:vAlign w:val="bottom"/>
          </w:tcPr>
          <w:p w:rsidR="005A6EF7" w:rsidRPr="00CA61DA" w:rsidRDefault="005A6EF7" w:rsidP="005A6EF7">
            <w:pPr>
              <w:widowControl/>
              <w:overflowPunct/>
              <w:autoSpaceDE/>
              <w:autoSpaceDN/>
              <w:adjustRightInd/>
              <w:spacing w:before="0" w:after="0"/>
              <w:jc w:val="right"/>
              <w:rPr>
                <w:rFonts w:ascii="Arial Narrow" w:hAnsi="Arial Narrow"/>
                <w:color w:val="000000"/>
                <w:sz w:val="18"/>
                <w:szCs w:val="18"/>
              </w:rPr>
            </w:pPr>
            <w:r w:rsidRPr="00CA61DA">
              <w:rPr>
                <w:rFonts w:ascii="Arial Narrow" w:hAnsi="Arial Narrow"/>
                <w:color w:val="000000"/>
                <w:sz w:val="18"/>
                <w:szCs w:val="18"/>
              </w:rPr>
              <w:t>8,8</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9</w:t>
            </w:r>
            <w:r>
              <w:rPr>
                <w:rFonts w:ascii="Arial Narrow" w:hAnsi="Arial Narrow" w:cs="Calibri"/>
                <w:color w:val="000000"/>
                <w:sz w:val="18"/>
                <w:szCs w:val="18"/>
              </w:rPr>
              <w:t>,</w:t>
            </w:r>
            <w:r w:rsidRPr="00A00F0F">
              <w:rPr>
                <w:rFonts w:ascii="Arial Narrow" w:hAnsi="Arial Narrow" w:cs="Calibri"/>
                <w:color w:val="000000"/>
                <w:sz w:val="18"/>
                <w:szCs w:val="18"/>
              </w:rPr>
              <w:t>4</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10,7</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9,6</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8,3</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5,4</w:t>
            </w:r>
          </w:p>
        </w:tc>
        <w:tc>
          <w:tcPr>
            <w:tcW w:w="525"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6,3</w:t>
            </w:r>
          </w:p>
        </w:tc>
        <w:tc>
          <w:tcPr>
            <w:tcW w:w="52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7,9</w:t>
            </w:r>
          </w:p>
        </w:tc>
      </w:tr>
      <w:tr w:rsidR="005A6EF7" w:rsidRPr="001D642A" w:rsidTr="00D331B6">
        <w:trPr>
          <w:trHeight w:val="255"/>
          <w:jc w:val="center"/>
        </w:trPr>
        <w:tc>
          <w:tcPr>
            <w:tcW w:w="3262" w:type="dxa"/>
            <w:vMerge w:val="restart"/>
            <w:tcBorders>
              <w:top w:val="nil"/>
              <w:left w:val="nil"/>
              <w:bottom w:val="single" w:sz="4" w:space="0" w:color="000000"/>
              <w:right w:val="nil"/>
            </w:tcBorders>
            <w:shd w:val="clear" w:color="000000" w:fill="FFFFFF"/>
            <w:vAlign w:val="center"/>
            <w:hideMark/>
          </w:tcPr>
          <w:p w:rsidR="005A6EF7" w:rsidRPr="001D642A" w:rsidRDefault="005A6EF7" w:rsidP="005A6EF7">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Energia</w:t>
            </w:r>
          </w:p>
        </w:tc>
        <w:tc>
          <w:tcPr>
            <w:tcW w:w="286" w:type="dxa"/>
            <w:tcBorders>
              <w:top w:val="nil"/>
              <w:left w:val="nil"/>
              <w:bottom w:val="single" w:sz="4" w:space="0" w:color="auto"/>
              <w:right w:val="nil"/>
            </w:tcBorders>
            <w:shd w:val="clear" w:color="000000" w:fill="FFFFFF"/>
            <w:noWrap/>
            <w:vAlign w:val="center"/>
            <w:hideMark/>
          </w:tcPr>
          <w:p w:rsidR="005A6EF7" w:rsidRPr="001D642A" w:rsidRDefault="005A6EF7" w:rsidP="005A6EF7">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00" w:type="dxa"/>
            <w:tcBorders>
              <w:top w:val="nil"/>
              <w:left w:val="nil"/>
              <w:bottom w:val="single" w:sz="4" w:space="0" w:color="auto"/>
              <w:right w:val="nil"/>
            </w:tcBorders>
            <w:shd w:val="clear" w:color="000000" w:fill="FFFFFF"/>
            <w:vAlign w:val="center"/>
          </w:tcPr>
          <w:p w:rsidR="005A6EF7" w:rsidRPr="00E66B46" w:rsidRDefault="005A6EF7" w:rsidP="005A6EF7">
            <w:pPr>
              <w:widowControl/>
              <w:overflowPunct/>
              <w:autoSpaceDE/>
              <w:autoSpaceDN/>
              <w:adjustRightInd/>
              <w:spacing w:before="0" w:after="0"/>
              <w:jc w:val="right"/>
              <w:rPr>
                <w:rFonts w:ascii="Arial Narrow" w:hAnsi="Arial Narrow"/>
                <w:color w:val="000000"/>
                <w:sz w:val="18"/>
                <w:szCs w:val="18"/>
              </w:rPr>
            </w:pPr>
            <w:r w:rsidRPr="00E66B46">
              <w:rPr>
                <w:rFonts w:ascii="Arial Narrow" w:hAnsi="Arial Narrow"/>
                <w:color w:val="000000"/>
                <w:sz w:val="18"/>
                <w:szCs w:val="18"/>
              </w:rPr>
              <w:t>65,1</w:t>
            </w:r>
          </w:p>
        </w:tc>
        <w:tc>
          <w:tcPr>
            <w:tcW w:w="500" w:type="dxa"/>
            <w:tcBorders>
              <w:top w:val="nil"/>
              <w:left w:val="nil"/>
              <w:bottom w:val="single" w:sz="4" w:space="0" w:color="auto"/>
              <w:right w:val="nil"/>
            </w:tcBorders>
            <w:shd w:val="clear" w:color="000000" w:fill="FFFFFF"/>
            <w:vAlign w:val="center"/>
          </w:tcPr>
          <w:p w:rsidR="005A6EF7" w:rsidRPr="00313984" w:rsidRDefault="005A6EF7" w:rsidP="005A6EF7">
            <w:pPr>
              <w:widowControl/>
              <w:overflowPunct/>
              <w:autoSpaceDE/>
              <w:autoSpaceDN/>
              <w:adjustRightInd/>
              <w:spacing w:before="0" w:after="0"/>
              <w:jc w:val="right"/>
              <w:rPr>
                <w:rFonts w:ascii="Arial Narrow" w:hAnsi="Arial Narrow"/>
                <w:color w:val="000000"/>
                <w:sz w:val="18"/>
                <w:szCs w:val="18"/>
              </w:rPr>
            </w:pPr>
            <w:r w:rsidRPr="00313984">
              <w:rPr>
                <w:rFonts w:ascii="Arial Narrow" w:hAnsi="Arial Narrow"/>
                <w:color w:val="000000"/>
                <w:sz w:val="18"/>
                <w:szCs w:val="18"/>
              </w:rPr>
              <w:t>43,3</w:t>
            </w:r>
          </w:p>
        </w:tc>
        <w:tc>
          <w:tcPr>
            <w:tcW w:w="500"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28,2</w:t>
            </w:r>
          </w:p>
        </w:tc>
        <w:tc>
          <w:tcPr>
            <w:tcW w:w="501"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10,7</w:t>
            </w:r>
          </w:p>
        </w:tc>
        <w:tc>
          <w:tcPr>
            <w:tcW w:w="501" w:type="dxa"/>
            <w:tcBorders>
              <w:top w:val="nil"/>
              <w:left w:val="nil"/>
              <w:bottom w:val="single" w:sz="4" w:space="0" w:color="auto"/>
              <w:right w:val="nil"/>
            </w:tcBorders>
            <w:shd w:val="clear" w:color="000000" w:fill="FFFFFF"/>
            <w:vAlign w:val="center"/>
          </w:tcPr>
          <w:p w:rsidR="005A6EF7" w:rsidRPr="001E018C" w:rsidRDefault="005A6EF7" w:rsidP="005A6EF7">
            <w:pPr>
              <w:widowControl/>
              <w:overflowPunct/>
              <w:autoSpaceDE/>
              <w:autoSpaceDN/>
              <w:adjustRightInd/>
              <w:spacing w:before="0" w:after="0"/>
              <w:jc w:val="right"/>
              <w:rPr>
                <w:rFonts w:ascii="Arial Narrow" w:hAnsi="Arial Narrow"/>
                <w:color w:val="000000"/>
                <w:sz w:val="18"/>
                <w:szCs w:val="18"/>
              </w:rPr>
            </w:pPr>
            <w:r w:rsidRPr="001E018C">
              <w:rPr>
                <w:rFonts w:ascii="Arial Narrow" w:hAnsi="Arial Narrow"/>
                <w:color w:val="000000"/>
                <w:sz w:val="18"/>
                <w:szCs w:val="18"/>
              </w:rPr>
              <w:t>16,7</w:t>
            </w:r>
          </w:p>
        </w:tc>
        <w:tc>
          <w:tcPr>
            <w:tcW w:w="501" w:type="dxa"/>
            <w:tcBorders>
              <w:top w:val="nil"/>
              <w:left w:val="nil"/>
              <w:bottom w:val="single" w:sz="4" w:space="0" w:color="auto"/>
              <w:right w:val="nil"/>
            </w:tcBorders>
            <w:shd w:val="clear" w:color="000000" w:fill="FFFFFF"/>
            <w:vAlign w:val="bottom"/>
          </w:tcPr>
          <w:p w:rsidR="005A6EF7" w:rsidRPr="00CA61DA" w:rsidRDefault="005A6EF7" w:rsidP="005A6EF7">
            <w:pPr>
              <w:widowControl/>
              <w:overflowPunct/>
              <w:autoSpaceDE/>
              <w:autoSpaceDN/>
              <w:adjustRightInd/>
              <w:spacing w:before="0" w:after="0"/>
              <w:jc w:val="right"/>
              <w:rPr>
                <w:rFonts w:ascii="Arial Narrow" w:hAnsi="Arial Narrow"/>
                <w:color w:val="000000"/>
                <w:sz w:val="18"/>
                <w:szCs w:val="18"/>
              </w:rPr>
            </w:pPr>
            <w:r w:rsidRPr="00CA61DA">
              <w:rPr>
                <w:rFonts w:ascii="Arial Narrow" w:hAnsi="Arial Narrow"/>
                <w:color w:val="000000"/>
                <w:sz w:val="18"/>
                <w:szCs w:val="18"/>
              </w:rPr>
              <w:t>11,9</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2</w:t>
            </w:r>
            <w:r>
              <w:rPr>
                <w:rFonts w:ascii="Arial Narrow" w:hAnsi="Arial Narrow" w:cs="Calibri"/>
                <w:color w:val="000000"/>
                <w:sz w:val="18"/>
                <w:szCs w:val="18"/>
              </w:rPr>
              <w:t>,</w:t>
            </w:r>
            <w:r w:rsidRPr="00A00F0F">
              <w:rPr>
                <w:rFonts w:ascii="Arial Narrow" w:hAnsi="Arial Narrow" w:cs="Calibri"/>
                <w:color w:val="000000"/>
                <w:sz w:val="18"/>
                <w:szCs w:val="18"/>
              </w:rPr>
              <w:t>0</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0,6</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-0,1</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1,6</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-20,1</w:t>
            </w:r>
          </w:p>
        </w:tc>
        <w:tc>
          <w:tcPr>
            <w:tcW w:w="525"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-24,7</w:t>
            </w:r>
          </w:p>
        </w:tc>
        <w:tc>
          <w:tcPr>
            <w:tcW w:w="52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-25,0</w:t>
            </w:r>
          </w:p>
        </w:tc>
      </w:tr>
      <w:tr w:rsidR="005A6EF7" w:rsidRPr="001D642A" w:rsidTr="00D331B6">
        <w:trPr>
          <w:trHeight w:val="255"/>
          <w:jc w:val="center"/>
        </w:trPr>
        <w:tc>
          <w:tcPr>
            <w:tcW w:w="3262" w:type="dxa"/>
            <w:vMerge/>
            <w:tcBorders>
              <w:top w:val="nil"/>
              <w:left w:val="nil"/>
              <w:bottom w:val="single" w:sz="4" w:space="0" w:color="000000"/>
              <w:right w:val="nil"/>
            </w:tcBorders>
            <w:vAlign w:val="center"/>
            <w:hideMark/>
          </w:tcPr>
          <w:p w:rsidR="005A6EF7" w:rsidRPr="001D642A" w:rsidRDefault="005A6EF7" w:rsidP="005A6EF7">
            <w:pPr>
              <w:widowControl/>
              <w:overflowPunct/>
              <w:autoSpaceDE/>
              <w:autoSpaceDN/>
              <w:adjustRightInd/>
              <w:spacing w:before="0" w:after="0"/>
              <w:rPr>
                <w:rFonts w:ascii="Arial Narrow" w:hAnsi="Arial Narrow"/>
                <w:color w:val="000000"/>
                <w:kern w:val="0"/>
                <w:sz w:val="18"/>
                <w:szCs w:val="18"/>
              </w:rPr>
            </w:pPr>
          </w:p>
        </w:tc>
        <w:tc>
          <w:tcPr>
            <w:tcW w:w="286" w:type="dxa"/>
            <w:tcBorders>
              <w:top w:val="nil"/>
              <w:left w:val="nil"/>
              <w:bottom w:val="single" w:sz="4" w:space="0" w:color="auto"/>
              <w:right w:val="nil"/>
            </w:tcBorders>
            <w:shd w:val="clear" w:color="000000" w:fill="FFFFFF"/>
            <w:noWrap/>
            <w:vAlign w:val="center"/>
            <w:hideMark/>
          </w:tcPr>
          <w:p w:rsidR="005A6EF7" w:rsidRPr="001D642A" w:rsidRDefault="005A6EF7" w:rsidP="005A6EF7">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00" w:type="dxa"/>
            <w:tcBorders>
              <w:top w:val="nil"/>
              <w:left w:val="nil"/>
              <w:bottom w:val="single" w:sz="4" w:space="0" w:color="auto"/>
              <w:right w:val="nil"/>
            </w:tcBorders>
            <w:shd w:val="clear" w:color="000000" w:fill="FFFFFF"/>
            <w:vAlign w:val="center"/>
          </w:tcPr>
          <w:p w:rsidR="005A6EF7" w:rsidRPr="00E66B46" w:rsidRDefault="005A6EF7" w:rsidP="005A6EF7">
            <w:pPr>
              <w:widowControl/>
              <w:overflowPunct/>
              <w:autoSpaceDE/>
              <w:autoSpaceDN/>
              <w:adjustRightInd/>
              <w:spacing w:before="0" w:after="0"/>
              <w:jc w:val="right"/>
              <w:rPr>
                <w:rFonts w:ascii="Arial Narrow" w:hAnsi="Arial Narrow"/>
                <w:color w:val="000000"/>
                <w:sz w:val="18"/>
                <w:szCs w:val="18"/>
              </w:rPr>
            </w:pPr>
            <w:r w:rsidRPr="00E66B46">
              <w:rPr>
                <w:rFonts w:ascii="Arial Narrow" w:hAnsi="Arial Narrow"/>
                <w:color w:val="000000"/>
                <w:sz w:val="18"/>
                <w:szCs w:val="18"/>
              </w:rPr>
              <w:t>65,1</w:t>
            </w:r>
          </w:p>
        </w:tc>
        <w:tc>
          <w:tcPr>
            <w:tcW w:w="500" w:type="dxa"/>
            <w:tcBorders>
              <w:top w:val="nil"/>
              <w:left w:val="nil"/>
              <w:bottom w:val="single" w:sz="4" w:space="0" w:color="auto"/>
              <w:right w:val="nil"/>
            </w:tcBorders>
            <w:shd w:val="clear" w:color="000000" w:fill="FFFFFF"/>
            <w:vAlign w:val="center"/>
          </w:tcPr>
          <w:p w:rsidR="005A6EF7" w:rsidRPr="00313984" w:rsidRDefault="005A6EF7" w:rsidP="005A6EF7">
            <w:pPr>
              <w:widowControl/>
              <w:overflowPunct/>
              <w:autoSpaceDE/>
              <w:autoSpaceDN/>
              <w:adjustRightInd/>
              <w:spacing w:before="0" w:after="0"/>
              <w:jc w:val="right"/>
              <w:rPr>
                <w:rFonts w:ascii="Arial Narrow" w:hAnsi="Arial Narrow"/>
                <w:color w:val="000000"/>
                <w:sz w:val="18"/>
                <w:szCs w:val="18"/>
              </w:rPr>
            </w:pPr>
            <w:r w:rsidRPr="00313984">
              <w:rPr>
                <w:rFonts w:ascii="Arial Narrow" w:hAnsi="Arial Narrow"/>
                <w:color w:val="000000"/>
                <w:sz w:val="18"/>
                <w:szCs w:val="18"/>
              </w:rPr>
              <w:t>42,8</w:t>
            </w:r>
          </w:p>
        </w:tc>
        <w:tc>
          <w:tcPr>
            <w:tcW w:w="500"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28,2</w:t>
            </w:r>
          </w:p>
        </w:tc>
        <w:tc>
          <w:tcPr>
            <w:tcW w:w="501"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10,7</w:t>
            </w:r>
          </w:p>
        </w:tc>
        <w:tc>
          <w:tcPr>
            <w:tcW w:w="501" w:type="dxa"/>
            <w:tcBorders>
              <w:top w:val="nil"/>
              <w:left w:val="nil"/>
              <w:bottom w:val="single" w:sz="4" w:space="0" w:color="auto"/>
              <w:right w:val="nil"/>
            </w:tcBorders>
            <w:shd w:val="clear" w:color="000000" w:fill="FFFFFF"/>
            <w:vAlign w:val="center"/>
          </w:tcPr>
          <w:p w:rsidR="005A6EF7" w:rsidRPr="001E018C" w:rsidRDefault="005A6EF7" w:rsidP="005A6EF7">
            <w:pPr>
              <w:widowControl/>
              <w:overflowPunct/>
              <w:autoSpaceDE/>
              <w:autoSpaceDN/>
              <w:adjustRightInd/>
              <w:spacing w:before="0" w:after="0"/>
              <w:jc w:val="right"/>
              <w:rPr>
                <w:rFonts w:ascii="Arial Narrow" w:hAnsi="Arial Narrow"/>
                <w:color w:val="000000"/>
                <w:sz w:val="18"/>
                <w:szCs w:val="18"/>
              </w:rPr>
            </w:pPr>
            <w:r w:rsidRPr="001E018C">
              <w:rPr>
                <w:rFonts w:ascii="Arial Narrow" w:hAnsi="Arial Narrow"/>
                <w:color w:val="000000"/>
                <w:sz w:val="18"/>
                <w:szCs w:val="18"/>
              </w:rPr>
              <w:t>16,</w:t>
            </w:r>
            <w:r>
              <w:rPr>
                <w:rFonts w:ascii="Arial Narrow" w:hAnsi="Arial Narrow"/>
                <w:color w:val="000000"/>
                <w:sz w:val="18"/>
                <w:szCs w:val="18"/>
              </w:rPr>
              <w:t>4</w:t>
            </w:r>
          </w:p>
        </w:tc>
        <w:tc>
          <w:tcPr>
            <w:tcW w:w="501" w:type="dxa"/>
            <w:tcBorders>
              <w:top w:val="nil"/>
              <w:left w:val="nil"/>
              <w:bottom w:val="single" w:sz="4" w:space="0" w:color="auto"/>
              <w:right w:val="nil"/>
            </w:tcBorders>
            <w:shd w:val="clear" w:color="000000" w:fill="FFFFFF"/>
            <w:vAlign w:val="bottom"/>
          </w:tcPr>
          <w:p w:rsidR="005A6EF7" w:rsidRPr="00CA61DA" w:rsidRDefault="005A6EF7" w:rsidP="005A6EF7">
            <w:pPr>
              <w:widowControl/>
              <w:overflowPunct/>
              <w:autoSpaceDE/>
              <w:autoSpaceDN/>
              <w:adjustRightInd/>
              <w:spacing w:before="0" w:after="0"/>
              <w:jc w:val="right"/>
              <w:rPr>
                <w:rFonts w:ascii="Arial Narrow" w:hAnsi="Arial Narrow"/>
                <w:color w:val="000000"/>
                <w:sz w:val="18"/>
                <w:szCs w:val="18"/>
              </w:rPr>
            </w:pPr>
            <w:r w:rsidRPr="00CA61DA">
              <w:rPr>
                <w:rFonts w:ascii="Arial Narrow" w:hAnsi="Arial Narrow"/>
                <w:color w:val="000000"/>
                <w:sz w:val="18"/>
                <w:szCs w:val="18"/>
              </w:rPr>
              <w:t>11,5</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2</w:t>
            </w:r>
            <w:r>
              <w:rPr>
                <w:rFonts w:ascii="Arial Narrow" w:hAnsi="Arial Narrow" w:cs="Calibri"/>
                <w:color w:val="000000"/>
                <w:sz w:val="18"/>
                <w:szCs w:val="18"/>
              </w:rPr>
              <w:t>,</w:t>
            </w:r>
            <w:r w:rsidRPr="00A00F0F">
              <w:rPr>
                <w:rFonts w:ascii="Arial Narrow" w:hAnsi="Arial Narrow" w:cs="Calibri"/>
                <w:color w:val="000000"/>
                <w:sz w:val="18"/>
                <w:szCs w:val="18"/>
              </w:rPr>
              <w:t>0</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0,6</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-0,2</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1,6</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-19,9</w:t>
            </w:r>
          </w:p>
        </w:tc>
        <w:tc>
          <w:tcPr>
            <w:tcW w:w="525"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-24,6</w:t>
            </w:r>
          </w:p>
        </w:tc>
        <w:tc>
          <w:tcPr>
            <w:tcW w:w="52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-25,0</w:t>
            </w:r>
          </w:p>
        </w:tc>
      </w:tr>
      <w:tr w:rsidR="005A6EF7" w:rsidRPr="001D642A" w:rsidTr="00D331B6">
        <w:trPr>
          <w:trHeight w:val="255"/>
          <w:jc w:val="center"/>
        </w:trPr>
        <w:tc>
          <w:tcPr>
            <w:tcW w:w="3262" w:type="dxa"/>
            <w:vMerge w:val="restart"/>
            <w:tcBorders>
              <w:top w:val="nil"/>
              <w:left w:val="nil"/>
              <w:bottom w:val="single" w:sz="4" w:space="0" w:color="000000"/>
              <w:right w:val="nil"/>
            </w:tcBorders>
            <w:shd w:val="clear" w:color="000000" w:fill="FFFFFF"/>
            <w:vAlign w:val="center"/>
            <w:hideMark/>
          </w:tcPr>
          <w:p w:rsidR="005A6EF7" w:rsidRPr="001D642A" w:rsidRDefault="005A6EF7" w:rsidP="005A6EF7">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Beni industriali non energetici</w:t>
            </w:r>
          </w:p>
        </w:tc>
        <w:tc>
          <w:tcPr>
            <w:tcW w:w="286" w:type="dxa"/>
            <w:tcBorders>
              <w:top w:val="nil"/>
              <w:left w:val="nil"/>
              <w:bottom w:val="single" w:sz="4" w:space="0" w:color="auto"/>
              <w:right w:val="nil"/>
            </w:tcBorders>
            <w:shd w:val="clear" w:color="000000" w:fill="FFFFFF"/>
            <w:noWrap/>
            <w:vAlign w:val="center"/>
            <w:hideMark/>
          </w:tcPr>
          <w:p w:rsidR="005A6EF7" w:rsidRPr="001D642A" w:rsidRDefault="005A6EF7" w:rsidP="005A6EF7">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00" w:type="dxa"/>
            <w:tcBorders>
              <w:top w:val="nil"/>
              <w:left w:val="nil"/>
              <w:bottom w:val="single" w:sz="4" w:space="0" w:color="auto"/>
              <w:right w:val="nil"/>
            </w:tcBorders>
            <w:shd w:val="clear" w:color="000000" w:fill="FFFFFF"/>
            <w:vAlign w:val="center"/>
          </w:tcPr>
          <w:p w:rsidR="005A6EF7" w:rsidRPr="00E66B46" w:rsidRDefault="005A6EF7" w:rsidP="005A6EF7">
            <w:pPr>
              <w:widowControl/>
              <w:overflowPunct/>
              <w:autoSpaceDE/>
              <w:autoSpaceDN/>
              <w:adjustRightInd/>
              <w:spacing w:before="0" w:after="0"/>
              <w:jc w:val="right"/>
              <w:rPr>
                <w:rFonts w:ascii="Arial Narrow" w:hAnsi="Arial Narrow"/>
                <w:color w:val="000000"/>
                <w:sz w:val="18"/>
                <w:szCs w:val="18"/>
              </w:rPr>
            </w:pPr>
            <w:r w:rsidRPr="00E66B46">
              <w:rPr>
                <w:rFonts w:ascii="Arial Narrow" w:hAnsi="Arial Narrow"/>
                <w:color w:val="000000"/>
                <w:sz w:val="18"/>
                <w:szCs w:val="18"/>
              </w:rPr>
              <w:t>5,3</w:t>
            </w:r>
          </w:p>
        </w:tc>
        <w:tc>
          <w:tcPr>
            <w:tcW w:w="500" w:type="dxa"/>
            <w:tcBorders>
              <w:top w:val="nil"/>
              <w:left w:val="nil"/>
              <w:bottom w:val="single" w:sz="4" w:space="0" w:color="auto"/>
              <w:right w:val="nil"/>
            </w:tcBorders>
            <w:shd w:val="clear" w:color="000000" w:fill="FFFFFF"/>
            <w:vAlign w:val="center"/>
          </w:tcPr>
          <w:p w:rsidR="005A6EF7" w:rsidRPr="00313984" w:rsidRDefault="005A6EF7" w:rsidP="005A6EF7">
            <w:pPr>
              <w:widowControl/>
              <w:overflowPunct/>
              <w:autoSpaceDE/>
              <w:autoSpaceDN/>
              <w:adjustRightInd/>
              <w:spacing w:before="0" w:after="0"/>
              <w:jc w:val="right"/>
              <w:rPr>
                <w:rFonts w:ascii="Arial Narrow" w:hAnsi="Arial Narrow"/>
                <w:color w:val="000000"/>
                <w:sz w:val="18"/>
                <w:szCs w:val="18"/>
              </w:rPr>
            </w:pPr>
            <w:r w:rsidRPr="00313984">
              <w:rPr>
                <w:rFonts w:ascii="Arial Narrow" w:hAnsi="Arial Narrow"/>
                <w:color w:val="000000"/>
                <w:sz w:val="18"/>
                <w:szCs w:val="18"/>
              </w:rPr>
              <w:t>6,9</w:t>
            </w:r>
          </w:p>
        </w:tc>
        <w:tc>
          <w:tcPr>
            <w:tcW w:w="500"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6,9</w:t>
            </w:r>
          </w:p>
        </w:tc>
        <w:tc>
          <w:tcPr>
            <w:tcW w:w="501"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6,0</w:t>
            </w:r>
          </w:p>
        </w:tc>
        <w:tc>
          <w:tcPr>
            <w:tcW w:w="501" w:type="dxa"/>
            <w:tcBorders>
              <w:top w:val="nil"/>
              <w:left w:val="nil"/>
              <w:bottom w:val="single" w:sz="4" w:space="0" w:color="auto"/>
              <w:right w:val="nil"/>
            </w:tcBorders>
            <w:shd w:val="clear" w:color="000000" w:fill="FFFFFF"/>
            <w:vAlign w:val="center"/>
          </w:tcPr>
          <w:p w:rsidR="005A6EF7" w:rsidRPr="001E018C" w:rsidRDefault="005A6EF7" w:rsidP="005A6EF7">
            <w:pPr>
              <w:widowControl/>
              <w:overflowPunct/>
              <w:autoSpaceDE/>
              <w:autoSpaceDN/>
              <w:adjustRightInd/>
              <w:spacing w:before="0" w:after="0"/>
              <w:jc w:val="right"/>
              <w:rPr>
                <w:rFonts w:ascii="Arial Narrow" w:hAnsi="Arial Narrow"/>
                <w:color w:val="000000"/>
                <w:sz w:val="18"/>
                <w:szCs w:val="18"/>
              </w:rPr>
            </w:pPr>
            <w:r w:rsidRPr="001E018C">
              <w:rPr>
                <w:rFonts w:ascii="Arial Narrow" w:hAnsi="Arial Narrow"/>
                <w:color w:val="000000"/>
                <w:sz w:val="18"/>
                <w:szCs w:val="18"/>
              </w:rPr>
              <w:t>5,6</w:t>
            </w:r>
          </w:p>
        </w:tc>
        <w:tc>
          <w:tcPr>
            <w:tcW w:w="501" w:type="dxa"/>
            <w:tcBorders>
              <w:top w:val="nil"/>
              <w:left w:val="nil"/>
              <w:bottom w:val="single" w:sz="4" w:space="0" w:color="auto"/>
              <w:right w:val="nil"/>
            </w:tcBorders>
            <w:shd w:val="clear" w:color="000000" w:fill="FFFFFF"/>
            <w:vAlign w:val="bottom"/>
          </w:tcPr>
          <w:p w:rsidR="005A6EF7" w:rsidRPr="00CA61DA" w:rsidRDefault="005A6EF7" w:rsidP="005A6EF7">
            <w:pPr>
              <w:widowControl/>
              <w:overflowPunct/>
              <w:autoSpaceDE/>
              <w:autoSpaceDN/>
              <w:adjustRightInd/>
              <w:spacing w:before="0" w:after="0"/>
              <w:jc w:val="right"/>
              <w:rPr>
                <w:rFonts w:ascii="Arial Narrow" w:hAnsi="Arial Narrow"/>
                <w:color w:val="000000"/>
                <w:sz w:val="18"/>
                <w:szCs w:val="18"/>
              </w:rPr>
            </w:pPr>
            <w:r w:rsidRPr="00CA61DA">
              <w:rPr>
                <w:rFonts w:ascii="Arial Narrow" w:hAnsi="Arial Narrow"/>
                <w:color w:val="000000"/>
                <w:sz w:val="18"/>
                <w:szCs w:val="18"/>
              </w:rPr>
              <w:t>5,3</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5</w:t>
            </w:r>
            <w:r>
              <w:rPr>
                <w:rFonts w:ascii="Arial Narrow" w:hAnsi="Arial Narrow" w:cs="Calibri"/>
                <w:color w:val="000000"/>
                <w:sz w:val="18"/>
                <w:szCs w:val="18"/>
              </w:rPr>
              <w:t>,</w:t>
            </w:r>
            <w:r w:rsidRPr="00A00F0F">
              <w:rPr>
                <w:rFonts w:ascii="Arial Narrow" w:hAnsi="Arial Narrow" w:cs="Calibri"/>
                <w:color w:val="000000"/>
                <w:sz w:val="18"/>
                <w:szCs w:val="18"/>
              </w:rPr>
              <w:t>0</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5</w:t>
            </w:r>
            <w:r>
              <w:rPr>
                <w:rFonts w:ascii="Arial Narrow" w:hAnsi="Arial Narrow" w:cs="Calibri"/>
                <w:color w:val="000000"/>
                <w:sz w:val="18"/>
                <w:szCs w:val="18"/>
              </w:rPr>
              <w:t>,3</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4,4</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4,0</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3,4</w:t>
            </w:r>
          </w:p>
        </w:tc>
        <w:tc>
          <w:tcPr>
            <w:tcW w:w="525"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2,7</w:t>
            </w:r>
          </w:p>
        </w:tc>
        <w:tc>
          <w:tcPr>
            <w:tcW w:w="52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2,2</w:t>
            </w:r>
          </w:p>
        </w:tc>
      </w:tr>
      <w:tr w:rsidR="005A6EF7" w:rsidRPr="001D642A" w:rsidTr="00D331B6">
        <w:trPr>
          <w:trHeight w:val="255"/>
          <w:jc w:val="center"/>
        </w:trPr>
        <w:tc>
          <w:tcPr>
            <w:tcW w:w="3262" w:type="dxa"/>
            <w:vMerge/>
            <w:tcBorders>
              <w:top w:val="nil"/>
              <w:left w:val="nil"/>
              <w:bottom w:val="single" w:sz="4" w:space="0" w:color="000000"/>
              <w:right w:val="nil"/>
            </w:tcBorders>
            <w:vAlign w:val="center"/>
            <w:hideMark/>
          </w:tcPr>
          <w:p w:rsidR="005A6EF7" w:rsidRPr="001D642A" w:rsidRDefault="005A6EF7" w:rsidP="005A6EF7">
            <w:pPr>
              <w:widowControl/>
              <w:overflowPunct/>
              <w:autoSpaceDE/>
              <w:autoSpaceDN/>
              <w:adjustRightInd/>
              <w:spacing w:before="0" w:after="0"/>
              <w:rPr>
                <w:rFonts w:ascii="Arial Narrow" w:hAnsi="Arial Narrow"/>
                <w:color w:val="000000"/>
                <w:kern w:val="0"/>
                <w:sz w:val="18"/>
                <w:szCs w:val="18"/>
              </w:rPr>
            </w:pPr>
          </w:p>
        </w:tc>
        <w:tc>
          <w:tcPr>
            <w:tcW w:w="286" w:type="dxa"/>
            <w:tcBorders>
              <w:top w:val="nil"/>
              <w:left w:val="nil"/>
              <w:bottom w:val="single" w:sz="4" w:space="0" w:color="auto"/>
              <w:right w:val="nil"/>
            </w:tcBorders>
            <w:shd w:val="clear" w:color="000000" w:fill="FFFFFF"/>
            <w:noWrap/>
            <w:vAlign w:val="center"/>
            <w:hideMark/>
          </w:tcPr>
          <w:p w:rsidR="005A6EF7" w:rsidRPr="001D642A" w:rsidRDefault="005A6EF7" w:rsidP="005A6EF7">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00" w:type="dxa"/>
            <w:tcBorders>
              <w:top w:val="nil"/>
              <w:left w:val="nil"/>
              <w:bottom w:val="single" w:sz="4" w:space="0" w:color="auto"/>
              <w:right w:val="nil"/>
            </w:tcBorders>
            <w:shd w:val="clear" w:color="000000" w:fill="FFFFFF"/>
            <w:vAlign w:val="center"/>
          </w:tcPr>
          <w:p w:rsidR="005A6EF7" w:rsidRPr="00E66B46" w:rsidRDefault="005A6EF7" w:rsidP="005A6EF7">
            <w:pPr>
              <w:widowControl/>
              <w:overflowPunct/>
              <w:autoSpaceDE/>
              <w:autoSpaceDN/>
              <w:adjustRightInd/>
              <w:spacing w:before="0" w:after="0"/>
              <w:jc w:val="right"/>
              <w:rPr>
                <w:rFonts w:ascii="Arial Narrow" w:hAnsi="Arial Narrow"/>
                <w:color w:val="000000"/>
                <w:sz w:val="18"/>
                <w:szCs w:val="18"/>
              </w:rPr>
            </w:pPr>
            <w:r w:rsidRPr="00E66B46">
              <w:rPr>
                <w:rFonts w:ascii="Arial Narrow" w:hAnsi="Arial Narrow"/>
                <w:color w:val="000000"/>
                <w:sz w:val="18"/>
                <w:szCs w:val="18"/>
              </w:rPr>
              <w:t>5,5</w:t>
            </w:r>
          </w:p>
        </w:tc>
        <w:tc>
          <w:tcPr>
            <w:tcW w:w="500" w:type="dxa"/>
            <w:tcBorders>
              <w:top w:val="nil"/>
              <w:left w:val="nil"/>
              <w:bottom w:val="single" w:sz="4" w:space="0" w:color="auto"/>
              <w:right w:val="nil"/>
            </w:tcBorders>
            <w:shd w:val="clear" w:color="000000" w:fill="FFFFFF"/>
            <w:vAlign w:val="center"/>
          </w:tcPr>
          <w:p w:rsidR="005A6EF7" w:rsidRPr="00313984" w:rsidRDefault="005A6EF7" w:rsidP="005A6EF7">
            <w:pPr>
              <w:widowControl/>
              <w:overflowPunct/>
              <w:autoSpaceDE/>
              <w:autoSpaceDN/>
              <w:adjustRightInd/>
              <w:spacing w:before="0" w:after="0"/>
              <w:jc w:val="right"/>
              <w:rPr>
                <w:rFonts w:ascii="Arial Narrow" w:hAnsi="Arial Narrow"/>
                <w:color w:val="000000"/>
                <w:sz w:val="18"/>
                <w:szCs w:val="18"/>
              </w:rPr>
            </w:pPr>
            <w:r w:rsidRPr="00313984">
              <w:rPr>
                <w:rFonts w:ascii="Arial Narrow" w:hAnsi="Arial Narrow"/>
                <w:color w:val="000000"/>
                <w:sz w:val="18"/>
                <w:szCs w:val="18"/>
              </w:rPr>
              <w:t>6,</w:t>
            </w:r>
            <w:r>
              <w:rPr>
                <w:rFonts w:ascii="Arial Narrow" w:hAnsi="Arial Narrow"/>
                <w:color w:val="000000"/>
                <w:sz w:val="18"/>
                <w:szCs w:val="18"/>
              </w:rPr>
              <w:t>6</w:t>
            </w:r>
          </w:p>
        </w:tc>
        <w:tc>
          <w:tcPr>
            <w:tcW w:w="500"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6,8</w:t>
            </w:r>
          </w:p>
        </w:tc>
        <w:tc>
          <w:tcPr>
            <w:tcW w:w="501"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5,9</w:t>
            </w:r>
          </w:p>
        </w:tc>
        <w:tc>
          <w:tcPr>
            <w:tcW w:w="501" w:type="dxa"/>
            <w:tcBorders>
              <w:top w:val="nil"/>
              <w:left w:val="nil"/>
              <w:bottom w:val="single" w:sz="4" w:space="0" w:color="auto"/>
              <w:right w:val="nil"/>
            </w:tcBorders>
            <w:shd w:val="clear" w:color="000000" w:fill="FFFFFF"/>
            <w:vAlign w:val="center"/>
          </w:tcPr>
          <w:p w:rsidR="005A6EF7" w:rsidRPr="001E018C" w:rsidRDefault="005A6EF7" w:rsidP="005A6EF7">
            <w:pPr>
              <w:widowControl/>
              <w:overflowPunct/>
              <w:autoSpaceDE/>
              <w:autoSpaceDN/>
              <w:adjustRightInd/>
              <w:spacing w:before="0" w:after="0"/>
              <w:jc w:val="right"/>
              <w:rPr>
                <w:rFonts w:ascii="Arial Narrow" w:hAnsi="Arial Narrow"/>
                <w:color w:val="000000"/>
                <w:sz w:val="18"/>
                <w:szCs w:val="18"/>
              </w:rPr>
            </w:pPr>
            <w:r w:rsidRPr="001E018C">
              <w:rPr>
                <w:rFonts w:ascii="Arial Narrow" w:hAnsi="Arial Narrow"/>
                <w:color w:val="000000"/>
                <w:sz w:val="18"/>
                <w:szCs w:val="18"/>
              </w:rPr>
              <w:t>5,5</w:t>
            </w:r>
          </w:p>
        </w:tc>
        <w:tc>
          <w:tcPr>
            <w:tcW w:w="501" w:type="dxa"/>
            <w:tcBorders>
              <w:top w:val="nil"/>
              <w:left w:val="nil"/>
              <w:bottom w:val="single" w:sz="4" w:space="0" w:color="auto"/>
              <w:right w:val="nil"/>
            </w:tcBorders>
            <w:shd w:val="clear" w:color="000000" w:fill="FFFFFF"/>
            <w:vAlign w:val="bottom"/>
          </w:tcPr>
          <w:p w:rsidR="005A6EF7" w:rsidRPr="00CA61DA" w:rsidRDefault="005A6EF7" w:rsidP="005A6EF7">
            <w:pPr>
              <w:widowControl/>
              <w:overflowPunct/>
              <w:autoSpaceDE/>
              <w:autoSpaceDN/>
              <w:adjustRightInd/>
              <w:spacing w:before="0" w:after="0"/>
              <w:jc w:val="right"/>
              <w:rPr>
                <w:rFonts w:ascii="Arial Narrow" w:hAnsi="Arial Narrow"/>
                <w:color w:val="000000"/>
                <w:sz w:val="18"/>
                <w:szCs w:val="18"/>
              </w:rPr>
            </w:pPr>
            <w:r w:rsidRPr="00CA61DA">
              <w:rPr>
                <w:rFonts w:ascii="Arial Narrow" w:hAnsi="Arial Narrow"/>
                <w:color w:val="000000"/>
                <w:sz w:val="18"/>
                <w:szCs w:val="18"/>
              </w:rPr>
              <w:t>5,2</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5</w:t>
            </w:r>
            <w:r>
              <w:rPr>
                <w:rFonts w:ascii="Arial Narrow" w:hAnsi="Arial Narrow" w:cs="Calibri"/>
                <w:color w:val="000000"/>
                <w:sz w:val="18"/>
                <w:szCs w:val="18"/>
              </w:rPr>
              <w:t>,</w:t>
            </w:r>
            <w:r w:rsidRPr="00A00F0F">
              <w:rPr>
                <w:rFonts w:ascii="Arial Narrow" w:hAnsi="Arial Narrow" w:cs="Calibri"/>
                <w:color w:val="000000"/>
                <w:sz w:val="18"/>
                <w:szCs w:val="18"/>
              </w:rPr>
              <w:t>0</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5</w:t>
            </w:r>
            <w:r>
              <w:rPr>
                <w:rFonts w:ascii="Arial Narrow" w:hAnsi="Arial Narrow" w:cs="Calibri"/>
                <w:color w:val="000000"/>
                <w:sz w:val="18"/>
                <w:szCs w:val="18"/>
              </w:rPr>
              <w:t>,2</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4,3</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3,9</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3,2</w:t>
            </w:r>
          </w:p>
        </w:tc>
        <w:tc>
          <w:tcPr>
            <w:tcW w:w="525"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2,5</w:t>
            </w:r>
          </w:p>
        </w:tc>
        <w:tc>
          <w:tcPr>
            <w:tcW w:w="52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2,2</w:t>
            </w:r>
          </w:p>
        </w:tc>
      </w:tr>
      <w:tr w:rsidR="005A6EF7" w:rsidRPr="001D642A" w:rsidTr="00D331B6">
        <w:trPr>
          <w:trHeight w:val="255"/>
          <w:jc w:val="center"/>
        </w:trPr>
        <w:tc>
          <w:tcPr>
            <w:tcW w:w="3262" w:type="dxa"/>
            <w:vMerge w:val="restart"/>
            <w:tcBorders>
              <w:top w:val="nil"/>
              <w:left w:val="nil"/>
              <w:bottom w:val="single" w:sz="4" w:space="0" w:color="000000"/>
              <w:right w:val="nil"/>
            </w:tcBorders>
            <w:shd w:val="clear" w:color="000000" w:fill="FFFFFF"/>
            <w:vAlign w:val="center"/>
            <w:hideMark/>
          </w:tcPr>
          <w:p w:rsidR="005A6EF7" w:rsidRPr="001D642A" w:rsidRDefault="005A6EF7" w:rsidP="005A6EF7">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Servizi</w:t>
            </w:r>
          </w:p>
        </w:tc>
        <w:tc>
          <w:tcPr>
            <w:tcW w:w="286" w:type="dxa"/>
            <w:tcBorders>
              <w:top w:val="nil"/>
              <w:left w:val="nil"/>
              <w:bottom w:val="single" w:sz="4" w:space="0" w:color="auto"/>
              <w:right w:val="nil"/>
            </w:tcBorders>
            <w:shd w:val="clear" w:color="000000" w:fill="FFFFFF"/>
            <w:noWrap/>
            <w:vAlign w:val="center"/>
            <w:hideMark/>
          </w:tcPr>
          <w:p w:rsidR="005A6EF7" w:rsidRPr="001D642A" w:rsidRDefault="005A6EF7" w:rsidP="005A6EF7">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00" w:type="dxa"/>
            <w:tcBorders>
              <w:top w:val="nil"/>
              <w:left w:val="nil"/>
              <w:bottom w:val="single" w:sz="4" w:space="0" w:color="auto"/>
              <w:right w:val="nil"/>
            </w:tcBorders>
            <w:shd w:val="clear" w:color="000000" w:fill="FFFFFF"/>
            <w:vAlign w:val="center"/>
          </w:tcPr>
          <w:p w:rsidR="005A6EF7" w:rsidRPr="00E66B46" w:rsidRDefault="005A6EF7" w:rsidP="005A6EF7">
            <w:pPr>
              <w:widowControl/>
              <w:overflowPunct/>
              <w:autoSpaceDE/>
              <w:autoSpaceDN/>
              <w:adjustRightInd/>
              <w:spacing w:before="0" w:after="0"/>
              <w:jc w:val="right"/>
              <w:rPr>
                <w:rFonts w:ascii="Arial Narrow" w:hAnsi="Arial Narrow"/>
                <w:color w:val="000000"/>
                <w:sz w:val="18"/>
                <w:szCs w:val="18"/>
              </w:rPr>
            </w:pPr>
            <w:r w:rsidRPr="00E66B46">
              <w:rPr>
                <w:rFonts w:ascii="Arial Narrow" w:hAnsi="Arial Narrow"/>
                <w:color w:val="000000"/>
                <w:sz w:val="18"/>
                <w:szCs w:val="18"/>
              </w:rPr>
              <w:t>4,5</w:t>
            </w:r>
          </w:p>
        </w:tc>
        <w:tc>
          <w:tcPr>
            <w:tcW w:w="500" w:type="dxa"/>
            <w:tcBorders>
              <w:top w:val="nil"/>
              <w:left w:val="nil"/>
              <w:bottom w:val="single" w:sz="4" w:space="0" w:color="auto"/>
              <w:right w:val="nil"/>
            </w:tcBorders>
            <w:shd w:val="clear" w:color="000000" w:fill="FFFFFF"/>
            <w:vAlign w:val="center"/>
          </w:tcPr>
          <w:p w:rsidR="005A6EF7" w:rsidRPr="00313984" w:rsidRDefault="005A6EF7" w:rsidP="005A6EF7">
            <w:pPr>
              <w:widowControl/>
              <w:overflowPunct/>
              <w:autoSpaceDE/>
              <w:autoSpaceDN/>
              <w:adjustRightInd/>
              <w:spacing w:before="0" w:after="0"/>
              <w:jc w:val="right"/>
              <w:rPr>
                <w:rFonts w:ascii="Arial Narrow" w:hAnsi="Arial Narrow"/>
                <w:color w:val="000000"/>
                <w:sz w:val="18"/>
                <w:szCs w:val="18"/>
              </w:rPr>
            </w:pPr>
            <w:r w:rsidRPr="00313984">
              <w:rPr>
                <w:rFonts w:ascii="Arial Narrow" w:hAnsi="Arial Narrow"/>
                <w:color w:val="000000"/>
                <w:sz w:val="18"/>
                <w:szCs w:val="18"/>
              </w:rPr>
              <w:t>4,4</w:t>
            </w:r>
          </w:p>
        </w:tc>
        <w:tc>
          <w:tcPr>
            <w:tcW w:w="500"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4,8</w:t>
            </w:r>
          </w:p>
        </w:tc>
        <w:tc>
          <w:tcPr>
            <w:tcW w:w="501"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4,8</w:t>
            </w:r>
          </w:p>
        </w:tc>
        <w:tc>
          <w:tcPr>
            <w:tcW w:w="501" w:type="dxa"/>
            <w:tcBorders>
              <w:top w:val="nil"/>
              <w:left w:val="nil"/>
              <w:bottom w:val="single" w:sz="4" w:space="0" w:color="auto"/>
              <w:right w:val="nil"/>
            </w:tcBorders>
            <w:shd w:val="clear" w:color="000000" w:fill="FFFFFF"/>
            <w:vAlign w:val="center"/>
          </w:tcPr>
          <w:p w:rsidR="005A6EF7" w:rsidRPr="001E018C" w:rsidRDefault="005A6EF7" w:rsidP="005A6EF7">
            <w:pPr>
              <w:widowControl/>
              <w:overflowPunct/>
              <w:autoSpaceDE/>
              <w:autoSpaceDN/>
              <w:adjustRightInd/>
              <w:spacing w:before="0" w:after="0"/>
              <w:jc w:val="right"/>
              <w:rPr>
                <w:rFonts w:ascii="Arial Narrow" w:hAnsi="Arial Narrow"/>
                <w:color w:val="000000"/>
                <w:sz w:val="18"/>
                <w:szCs w:val="18"/>
              </w:rPr>
            </w:pPr>
            <w:r w:rsidRPr="001E018C">
              <w:rPr>
                <w:rFonts w:ascii="Arial Narrow" w:hAnsi="Arial Narrow"/>
                <w:color w:val="000000"/>
                <w:sz w:val="18"/>
                <w:szCs w:val="18"/>
              </w:rPr>
              <w:t>5,0</w:t>
            </w:r>
          </w:p>
        </w:tc>
        <w:tc>
          <w:tcPr>
            <w:tcW w:w="501" w:type="dxa"/>
            <w:tcBorders>
              <w:top w:val="nil"/>
              <w:left w:val="nil"/>
              <w:bottom w:val="single" w:sz="4" w:space="0" w:color="auto"/>
              <w:right w:val="nil"/>
            </w:tcBorders>
            <w:shd w:val="clear" w:color="000000" w:fill="FFFFFF"/>
            <w:vAlign w:val="bottom"/>
          </w:tcPr>
          <w:p w:rsidR="005A6EF7" w:rsidRPr="00CA61DA" w:rsidRDefault="005A6EF7" w:rsidP="005A6EF7">
            <w:pPr>
              <w:widowControl/>
              <w:overflowPunct/>
              <w:autoSpaceDE/>
              <w:autoSpaceDN/>
              <w:adjustRightInd/>
              <w:spacing w:before="0" w:after="0"/>
              <w:jc w:val="right"/>
              <w:rPr>
                <w:rFonts w:ascii="Arial Narrow" w:hAnsi="Arial Narrow"/>
                <w:color w:val="000000"/>
                <w:sz w:val="18"/>
                <w:szCs w:val="18"/>
              </w:rPr>
            </w:pPr>
            <w:r w:rsidRPr="00CA61DA">
              <w:rPr>
                <w:rFonts w:ascii="Arial Narrow" w:hAnsi="Arial Narrow"/>
                <w:color w:val="000000"/>
                <w:sz w:val="18"/>
                <w:szCs w:val="18"/>
              </w:rPr>
              <w:t>5,1</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4</w:t>
            </w:r>
            <w:r>
              <w:rPr>
                <w:rFonts w:ascii="Arial Narrow" w:hAnsi="Arial Narrow" w:cs="Calibri"/>
                <w:color w:val="000000"/>
                <w:sz w:val="18"/>
                <w:szCs w:val="18"/>
              </w:rPr>
              <w:t>,</w:t>
            </w:r>
            <w:r w:rsidRPr="00A00F0F">
              <w:rPr>
                <w:rFonts w:ascii="Arial Narrow" w:hAnsi="Arial Narrow" w:cs="Calibri"/>
                <w:color w:val="000000"/>
                <w:sz w:val="18"/>
                <w:szCs w:val="18"/>
              </w:rPr>
              <w:t>8</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4</w:t>
            </w:r>
            <w:r>
              <w:rPr>
                <w:rFonts w:ascii="Arial Narrow" w:hAnsi="Arial Narrow" w:cs="Calibri"/>
                <w:color w:val="000000"/>
                <w:sz w:val="18"/>
                <w:szCs w:val="18"/>
              </w:rPr>
              <w:t>,6</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4,0</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4,4</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4,4</w:t>
            </w:r>
          </w:p>
        </w:tc>
        <w:tc>
          <w:tcPr>
            <w:tcW w:w="525"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3,8</w:t>
            </w:r>
          </w:p>
        </w:tc>
        <w:tc>
          <w:tcPr>
            <w:tcW w:w="52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3,5</w:t>
            </w:r>
          </w:p>
        </w:tc>
      </w:tr>
      <w:tr w:rsidR="005A6EF7" w:rsidRPr="001D642A" w:rsidTr="00D331B6">
        <w:trPr>
          <w:trHeight w:val="255"/>
          <w:jc w:val="center"/>
        </w:trPr>
        <w:tc>
          <w:tcPr>
            <w:tcW w:w="3262" w:type="dxa"/>
            <w:vMerge/>
            <w:tcBorders>
              <w:top w:val="nil"/>
              <w:left w:val="nil"/>
              <w:bottom w:val="single" w:sz="4" w:space="0" w:color="000000"/>
              <w:right w:val="nil"/>
            </w:tcBorders>
            <w:vAlign w:val="center"/>
            <w:hideMark/>
          </w:tcPr>
          <w:p w:rsidR="005A6EF7" w:rsidRPr="001D642A" w:rsidRDefault="005A6EF7" w:rsidP="005A6EF7">
            <w:pPr>
              <w:widowControl/>
              <w:overflowPunct/>
              <w:autoSpaceDE/>
              <w:autoSpaceDN/>
              <w:adjustRightInd/>
              <w:spacing w:before="0" w:after="0"/>
              <w:rPr>
                <w:rFonts w:ascii="Arial Narrow" w:hAnsi="Arial Narrow"/>
                <w:color w:val="000000"/>
                <w:kern w:val="0"/>
                <w:sz w:val="18"/>
                <w:szCs w:val="18"/>
              </w:rPr>
            </w:pPr>
          </w:p>
        </w:tc>
        <w:tc>
          <w:tcPr>
            <w:tcW w:w="286" w:type="dxa"/>
            <w:tcBorders>
              <w:top w:val="nil"/>
              <w:left w:val="nil"/>
              <w:bottom w:val="single" w:sz="4" w:space="0" w:color="auto"/>
              <w:right w:val="nil"/>
            </w:tcBorders>
            <w:shd w:val="clear" w:color="000000" w:fill="FFFFFF"/>
            <w:noWrap/>
            <w:vAlign w:val="center"/>
            <w:hideMark/>
          </w:tcPr>
          <w:p w:rsidR="005A6EF7" w:rsidRPr="001D642A" w:rsidRDefault="005A6EF7" w:rsidP="005A6EF7">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00" w:type="dxa"/>
            <w:tcBorders>
              <w:top w:val="nil"/>
              <w:left w:val="nil"/>
              <w:bottom w:val="single" w:sz="4" w:space="0" w:color="auto"/>
              <w:right w:val="nil"/>
            </w:tcBorders>
            <w:shd w:val="clear" w:color="000000" w:fill="FFFFFF"/>
            <w:vAlign w:val="center"/>
          </w:tcPr>
          <w:p w:rsidR="005A6EF7" w:rsidRPr="00E66B46" w:rsidRDefault="005A6EF7" w:rsidP="005A6EF7">
            <w:pPr>
              <w:widowControl/>
              <w:overflowPunct/>
              <w:autoSpaceDE/>
              <w:autoSpaceDN/>
              <w:adjustRightInd/>
              <w:spacing w:before="0" w:after="0"/>
              <w:jc w:val="right"/>
              <w:rPr>
                <w:rFonts w:ascii="Arial Narrow" w:hAnsi="Arial Narrow"/>
                <w:color w:val="000000"/>
                <w:sz w:val="18"/>
                <w:szCs w:val="18"/>
              </w:rPr>
            </w:pPr>
            <w:r w:rsidRPr="00E66B46">
              <w:rPr>
                <w:rFonts w:ascii="Arial Narrow" w:hAnsi="Arial Narrow"/>
                <w:color w:val="000000"/>
                <w:sz w:val="18"/>
                <w:szCs w:val="18"/>
              </w:rPr>
              <w:t>4,5</w:t>
            </w:r>
          </w:p>
        </w:tc>
        <w:tc>
          <w:tcPr>
            <w:tcW w:w="500" w:type="dxa"/>
            <w:tcBorders>
              <w:top w:val="nil"/>
              <w:left w:val="nil"/>
              <w:bottom w:val="single" w:sz="4" w:space="0" w:color="auto"/>
              <w:right w:val="nil"/>
            </w:tcBorders>
            <w:shd w:val="clear" w:color="000000" w:fill="FFFFFF"/>
            <w:vAlign w:val="center"/>
          </w:tcPr>
          <w:p w:rsidR="005A6EF7" w:rsidRPr="00313984" w:rsidRDefault="005A6EF7" w:rsidP="005A6EF7">
            <w:pPr>
              <w:widowControl/>
              <w:overflowPunct/>
              <w:autoSpaceDE/>
              <w:autoSpaceDN/>
              <w:adjustRightInd/>
              <w:spacing w:before="0" w:after="0"/>
              <w:jc w:val="right"/>
              <w:rPr>
                <w:rFonts w:ascii="Arial Narrow" w:hAnsi="Arial Narrow"/>
                <w:color w:val="000000"/>
                <w:sz w:val="18"/>
                <w:szCs w:val="18"/>
              </w:rPr>
            </w:pPr>
            <w:r w:rsidRPr="00313984">
              <w:rPr>
                <w:rFonts w:ascii="Arial Narrow" w:hAnsi="Arial Narrow"/>
                <w:color w:val="000000"/>
                <w:sz w:val="18"/>
                <w:szCs w:val="18"/>
              </w:rPr>
              <w:t>4,4</w:t>
            </w:r>
          </w:p>
        </w:tc>
        <w:tc>
          <w:tcPr>
            <w:tcW w:w="500"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4,8</w:t>
            </w:r>
          </w:p>
        </w:tc>
        <w:tc>
          <w:tcPr>
            <w:tcW w:w="501"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4,8</w:t>
            </w:r>
          </w:p>
        </w:tc>
        <w:tc>
          <w:tcPr>
            <w:tcW w:w="501" w:type="dxa"/>
            <w:tcBorders>
              <w:top w:val="nil"/>
              <w:left w:val="nil"/>
              <w:bottom w:val="single" w:sz="4" w:space="0" w:color="auto"/>
              <w:right w:val="nil"/>
            </w:tcBorders>
            <w:shd w:val="clear" w:color="000000" w:fill="FFFFFF"/>
            <w:vAlign w:val="center"/>
          </w:tcPr>
          <w:p w:rsidR="005A6EF7" w:rsidRPr="001E018C" w:rsidRDefault="005A6EF7" w:rsidP="005A6EF7">
            <w:pPr>
              <w:widowControl/>
              <w:overflowPunct/>
              <w:autoSpaceDE/>
              <w:autoSpaceDN/>
              <w:adjustRightInd/>
              <w:spacing w:before="0" w:after="0"/>
              <w:jc w:val="right"/>
              <w:rPr>
                <w:rFonts w:ascii="Arial Narrow" w:hAnsi="Arial Narrow"/>
                <w:color w:val="000000"/>
                <w:sz w:val="18"/>
                <w:szCs w:val="18"/>
              </w:rPr>
            </w:pPr>
            <w:r w:rsidRPr="001E018C">
              <w:rPr>
                <w:rFonts w:ascii="Arial Narrow" w:hAnsi="Arial Narrow"/>
                <w:color w:val="000000"/>
                <w:sz w:val="18"/>
                <w:szCs w:val="18"/>
              </w:rPr>
              <w:t>5,1</w:t>
            </w:r>
          </w:p>
        </w:tc>
        <w:tc>
          <w:tcPr>
            <w:tcW w:w="501" w:type="dxa"/>
            <w:tcBorders>
              <w:top w:val="nil"/>
              <w:left w:val="nil"/>
              <w:bottom w:val="single" w:sz="4" w:space="0" w:color="auto"/>
              <w:right w:val="nil"/>
            </w:tcBorders>
            <w:shd w:val="clear" w:color="000000" w:fill="FFFFFF"/>
            <w:vAlign w:val="bottom"/>
          </w:tcPr>
          <w:p w:rsidR="005A6EF7" w:rsidRPr="00CA61DA" w:rsidRDefault="005A6EF7" w:rsidP="005A6EF7">
            <w:pPr>
              <w:widowControl/>
              <w:overflowPunct/>
              <w:autoSpaceDE/>
              <w:autoSpaceDN/>
              <w:adjustRightInd/>
              <w:spacing w:before="0" w:after="0"/>
              <w:jc w:val="right"/>
              <w:rPr>
                <w:rFonts w:ascii="Arial Narrow" w:hAnsi="Arial Narrow"/>
                <w:color w:val="000000"/>
                <w:sz w:val="18"/>
                <w:szCs w:val="18"/>
              </w:rPr>
            </w:pPr>
            <w:r w:rsidRPr="00CA61DA">
              <w:rPr>
                <w:rFonts w:ascii="Arial Narrow" w:hAnsi="Arial Narrow"/>
                <w:color w:val="000000"/>
                <w:sz w:val="18"/>
                <w:szCs w:val="18"/>
              </w:rPr>
              <w:t>5,1</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5</w:t>
            </w:r>
            <w:r>
              <w:rPr>
                <w:rFonts w:ascii="Arial Narrow" w:hAnsi="Arial Narrow" w:cs="Calibri"/>
                <w:color w:val="000000"/>
                <w:sz w:val="18"/>
                <w:szCs w:val="18"/>
              </w:rPr>
              <w:t>,</w:t>
            </w:r>
            <w:r w:rsidRPr="00A00F0F">
              <w:rPr>
                <w:rFonts w:ascii="Arial Narrow" w:hAnsi="Arial Narrow" w:cs="Calibri"/>
                <w:color w:val="000000"/>
                <w:sz w:val="18"/>
                <w:szCs w:val="18"/>
              </w:rPr>
              <w:t>0</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4,6</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4,0</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4,4</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4,4</w:t>
            </w:r>
          </w:p>
        </w:tc>
        <w:tc>
          <w:tcPr>
            <w:tcW w:w="525"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3,8</w:t>
            </w:r>
          </w:p>
        </w:tc>
        <w:tc>
          <w:tcPr>
            <w:tcW w:w="52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3,5</w:t>
            </w:r>
          </w:p>
        </w:tc>
      </w:tr>
      <w:tr w:rsidR="005A6EF7" w:rsidRPr="00313984" w:rsidTr="00D331B6">
        <w:trPr>
          <w:trHeight w:val="255"/>
          <w:jc w:val="center"/>
        </w:trPr>
        <w:tc>
          <w:tcPr>
            <w:tcW w:w="3262" w:type="dxa"/>
            <w:vMerge w:val="restart"/>
            <w:tcBorders>
              <w:top w:val="nil"/>
              <w:left w:val="nil"/>
              <w:bottom w:val="single" w:sz="4" w:space="0" w:color="000000"/>
              <w:right w:val="nil"/>
            </w:tcBorders>
            <w:shd w:val="clear" w:color="000000" w:fill="FF0000"/>
            <w:vAlign w:val="center"/>
            <w:hideMark/>
          </w:tcPr>
          <w:p w:rsidR="005A6EF7" w:rsidRPr="001D642A" w:rsidRDefault="005A6EF7" w:rsidP="005A6EF7">
            <w:pPr>
              <w:widowControl/>
              <w:overflowPunct/>
              <w:autoSpaceDE/>
              <w:autoSpaceDN/>
              <w:adjustRightInd/>
              <w:spacing w:before="0" w:after="0"/>
              <w:rPr>
                <w:rFonts w:ascii="Arial Narrow" w:hAnsi="Arial Narrow"/>
                <w:b/>
                <w:bCs/>
                <w:color w:val="FFFFFF"/>
                <w:kern w:val="0"/>
                <w:sz w:val="18"/>
                <w:szCs w:val="18"/>
              </w:rPr>
            </w:pPr>
            <w:r w:rsidRPr="001D642A">
              <w:rPr>
                <w:rFonts w:ascii="Arial Narrow" w:hAnsi="Arial Narrow"/>
                <w:b/>
                <w:bCs/>
                <w:color w:val="FFFFFF"/>
                <w:kern w:val="0"/>
                <w:sz w:val="18"/>
                <w:szCs w:val="18"/>
              </w:rPr>
              <w:t>Indice generale</w:t>
            </w:r>
          </w:p>
        </w:tc>
        <w:tc>
          <w:tcPr>
            <w:tcW w:w="286" w:type="dxa"/>
            <w:tcBorders>
              <w:top w:val="nil"/>
              <w:left w:val="nil"/>
              <w:bottom w:val="single" w:sz="4" w:space="0" w:color="auto"/>
              <w:right w:val="nil"/>
            </w:tcBorders>
            <w:shd w:val="clear" w:color="000000" w:fill="FFFFFF"/>
            <w:noWrap/>
            <w:vAlign w:val="center"/>
            <w:hideMark/>
          </w:tcPr>
          <w:p w:rsidR="005A6EF7" w:rsidRPr="001D642A" w:rsidRDefault="005A6EF7" w:rsidP="005A6EF7">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00" w:type="dxa"/>
            <w:tcBorders>
              <w:top w:val="nil"/>
              <w:left w:val="nil"/>
              <w:bottom w:val="single" w:sz="4" w:space="0" w:color="auto"/>
              <w:right w:val="nil"/>
            </w:tcBorders>
            <w:shd w:val="clear" w:color="000000" w:fill="FFFFFF"/>
            <w:vAlign w:val="center"/>
          </w:tcPr>
          <w:p w:rsidR="005A6EF7" w:rsidRPr="00E66B46" w:rsidRDefault="005A6EF7" w:rsidP="005A6EF7">
            <w:pPr>
              <w:widowControl/>
              <w:overflowPunct/>
              <w:autoSpaceDE/>
              <w:autoSpaceDN/>
              <w:adjustRightInd/>
              <w:spacing w:before="0" w:after="0"/>
              <w:jc w:val="right"/>
              <w:rPr>
                <w:rFonts w:ascii="Arial Narrow" w:hAnsi="Arial Narrow"/>
                <w:b/>
                <w:color w:val="000000"/>
                <w:sz w:val="18"/>
                <w:szCs w:val="18"/>
              </w:rPr>
            </w:pPr>
            <w:r w:rsidRPr="00E66B46">
              <w:rPr>
                <w:rFonts w:ascii="Arial Narrow" w:hAnsi="Arial Narrow"/>
                <w:b/>
                <w:color w:val="000000"/>
                <w:sz w:val="18"/>
                <w:szCs w:val="18"/>
              </w:rPr>
              <w:t>12,3</w:t>
            </w:r>
          </w:p>
        </w:tc>
        <w:tc>
          <w:tcPr>
            <w:tcW w:w="500" w:type="dxa"/>
            <w:tcBorders>
              <w:top w:val="nil"/>
              <w:left w:val="nil"/>
              <w:bottom w:val="single" w:sz="4" w:space="0" w:color="auto"/>
              <w:right w:val="nil"/>
            </w:tcBorders>
            <w:shd w:val="clear" w:color="000000" w:fill="FFFFFF"/>
            <w:vAlign w:val="center"/>
          </w:tcPr>
          <w:p w:rsidR="005A6EF7" w:rsidRPr="00313984" w:rsidRDefault="005A6EF7" w:rsidP="005A6EF7">
            <w:pPr>
              <w:widowControl/>
              <w:overflowPunct/>
              <w:autoSpaceDE/>
              <w:autoSpaceDN/>
              <w:adjustRightInd/>
              <w:spacing w:before="0" w:after="0"/>
              <w:jc w:val="right"/>
              <w:rPr>
                <w:rFonts w:ascii="Arial Narrow" w:hAnsi="Arial Narrow"/>
                <w:b/>
                <w:color w:val="000000"/>
                <w:sz w:val="18"/>
                <w:szCs w:val="18"/>
              </w:rPr>
            </w:pPr>
            <w:r w:rsidRPr="00313984">
              <w:rPr>
                <w:rFonts w:ascii="Arial Narrow" w:hAnsi="Arial Narrow"/>
                <w:b/>
                <w:color w:val="000000"/>
                <w:sz w:val="18"/>
                <w:szCs w:val="18"/>
              </w:rPr>
              <w:t>10,9</w:t>
            </w:r>
          </w:p>
        </w:tc>
        <w:tc>
          <w:tcPr>
            <w:tcW w:w="500" w:type="dxa"/>
            <w:tcBorders>
              <w:top w:val="nil"/>
              <w:left w:val="nil"/>
              <w:bottom w:val="single" w:sz="4" w:space="0" w:color="auto"/>
              <w:right w:val="nil"/>
            </w:tcBorders>
            <w:shd w:val="clear" w:color="000000" w:fill="FFFFFF"/>
            <w:vAlign w:val="center"/>
          </w:tcPr>
          <w:p w:rsidR="005A6EF7" w:rsidRPr="00B74CA0" w:rsidRDefault="005A6EF7" w:rsidP="005A6EF7">
            <w:pPr>
              <w:widowControl/>
              <w:overflowPunct/>
              <w:autoSpaceDE/>
              <w:autoSpaceDN/>
              <w:adjustRightInd/>
              <w:spacing w:before="0" w:after="0"/>
              <w:jc w:val="right"/>
              <w:rPr>
                <w:rFonts w:ascii="Arial Narrow" w:hAnsi="Arial Narrow"/>
                <w:b/>
                <w:color w:val="000000"/>
                <w:sz w:val="18"/>
                <w:szCs w:val="18"/>
              </w:rPr>
            </w:pPr>
            <w:r w:rsidRPr="00B74CA0">
              <w:rPr>
                <w:rFonts w:ascii="Arial Narrow" w:hAnsi="Arial Narrow"/>
                <w:b/>
                <w:color w:val="000000"/>
                <w:sz w:val="18"/>
                <w:szCs w:val="18"/>
              </w:rPr>
              <w:t>9,9</w:t>
            </w:r>
          </w:p>
        </w:tc>
        <w:tc>
          <w:tcPr>
            <w:tcW w:w="501" w:type="dxa"/>
            <w:tcBorders>
              <w:top w:val="nil"/>
              <w:left w:val="nil"/>
              <w:bottom w:val="single" w:sz="4" w:space="0" w:color="auto"/>
              <w:right w:val="nil"/>
            </w:tcBorders>
            <w:shd w:val="clear" w:color="000000" w:fill="FFFFFF"/>
            <w:vAlign w:val="center"/>
          </w:tcPr>
          <w:p w:rsidR="005A6EF7" w:rsidRPr="00B74CA0" w:rsidRDefault="005A6EF7" w:rsidP="005A6EF7">
            <w:pPr>
              <w:widowControl/>
              <w:overflowPunct/>
              <w:autoSpaceDE/>
              <w:autoSpaceDN/>
              <w:adjustRightInd/>
              <w:spacing w:before="0" w:after="0"/>
              <w:jc w:val="right"/>
              <w:rPr>
                <w:rFonts w:ascii="Arial Narrow" w:hAnsi="Arial Narrow"/>
                <w:b/>
                <w:color w:val="000000"/>
                <w:sz w:val="18"/>
                <w:szCs w:val="18"/>
              </w:rPr>
            </w:pPr>
            <w:r>
              <w:rPr>
                <w:rFonts w:ascii="Arial Narrow" w:hAnsi="Arial Narrow"/>
                <w:b/>
                <w:color w:val="000000"/>
                <w:sz w:val="18"/>
                <w:szCs w:val="18"/>
              </w:rPr>
              <w:t>8,2</w:t>
            </w:r>
          </w:p>
        </w:tc>
        <w:tc>
          <w:tcPr>
            <w:tcW w:w="501" w:type="dxa"/>
            <w:tcBorders>
              <w:top w:val="nil"/>
              <w:left w:val="nil"/>
              <w:bottom w:val="single" w:sz="4" w:space="0" w:color="auto"/>
              <w:right w:val="nil"/>
            </w:tcBorders>
            <w:shd w:val="clear" w:color="000000" w:fill="FFFFFF"/>
            <w:vAlign w:val="center"/>
          </w:tcPr>
          <w:p w:rsidR="005A6EF7" w:rsidRPr="001E018C" w:rsidRDefault="005A6EF7" w:rsidP="005A6EF7">
            <w:pPr>
              <w:widowControl/>
              <w:overflowPunct/>
              <w:autoSpaceDE/>
              <w:autoSpaceDN/>
              <w:adjustRightInd/>
              <w:spacing w:before="0" w:after="0"/>
              <w:jc w:val="right"/>
              <w:rPr>
                <w:rFonts w:ascii="Arial Narrow" w:hAnsi="Arial Narrow"/>
                <w:b/>
                <w:color w:val="000000"/>
                <w:sz w:val="18"/>
                <w:szCs w:val="18"/>
              </w:rPr>
            </w:pPr>
            <w:r w:rsidRPr="001E018C">
              <w:rPr>
                <w:rFonts w:ascii="Arial Narrow" w:hAnsi="Arial Narrow"/>
                <w:b/>
                <w:color w:val="000000"/>
                <w:sz w:val="18"/>
                <w:szCs w:val="18"/>
              </w:rPr>
              <w:t>8,8</w:t>
            </w:r>
          </w:p>
        </w:tc>
        <w:tc>
          <w:tcPr>
            <w:tcW w:w="501" w:type="dxa"/>
            <w:tcBorders>
              <w:top w:val="nil"/>
              <w:left w:val="nil"/>
              <w:bottom w:val="single" w:sz="4" w:space="0" w:color="auto"/>
              <w:right w:val="nil"/>
            </w:tcBorders>
            <w:shd w:val="clear" w:color="000000" w:fill="FFFFFF"/>
            <w:vAlign w:val="bottom"/>
          </w:tcPr>
          <w:p w:rsidR="005A6EF7" w:rsidRPr="00CA61DA" w:rsidRDefault="005A6EF7" w:rsidP="005A6EF7">
            <w:pPr>
              <w:widowControl/>
              <w:overflowPunct/>
              <w:autoSpaceDE/>
              <w:autoSpaceDN/>
              <w:adjustRightInd/>
              <w:spacing w:before="0" w:after="0"/>
              <w:jc w:val="right"/>
              <w:rPr>
                <w:rFonts w:ascii="Arial Narrow" w:hAnsi="Arial Narrow"/>
                <w:b/>
                <w:color w:val="000000"/>
                <w:sz w:val="18"/>
                <w:szCs w:val="18"/>
              </w:rPr>
            </w:pPr>
            <w:r w:rsidRPr="00CA61DA">
              <w:rPr>
                <w:rFonts w:ascii="Arial Narrow" w:hAnsi="Arial Narrow"/>
                <w:b/>
                <w:color w:val="000000"/>
                <w:sz w:val="18"/>
                <w:szCs w:val="18"/>
              </w:rPr>
              <w:t>8,1</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b/>
                <w:color w:val="000000"/>
                <w:sz w:val="18"/>
                <w:szCs w:val="18"/>
              </w:rPr>
            </w:pPr>
            <w:r w:rsidRPr="00A00F0F">
              <w:rPr>
                <w:rFonts w:ascii="Arial Narrow" w:hAnsi="Arial Narrow" w:cs="Calibri"/>
                <w:b/>
                <w:color w:val="000000"/>
                <w:sz w:val="18"/>
                <w:szCs w:val="18"/>
              </w:rPr>
              <w:t>6</w:t>
            </w:r>
            <w:r>
              <w:rPr>
                <w:rFonts w:ascii="Arial Narrow" w:hAnsi="Arial Narrow" w:cs="Calibri"/>
                <w:b/>
                <w:color w:val="000000"/>
                <w:sz w:val="18"/>
                <w:szCs w:val="18"/>
              </w:rPr>
              <w:t>,</w:t>
            </w:r>
            <w:r w:rsidRPr="00A00F0F">
              <w:rPr>
                <w:rFonts w:ascii="Arial Narrow" w:hAnsi="Arial Narrow" w:cs="Calibri"/>
                <w:b/>
                <w:color w:val="000000"/>
                <w:sz w:val="18"/>
                <w:szCs w:val="18"/>
              </w:rPr>
              <w:t>7</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b/>
                <w:color w:val="000000"/>
                <w:sz w:val="18"/>
                <w:szCs w:val="18"/>
              </w:rPr>
            </w:pPr>
            <w:r w:rsidRPr="00A00F0F">
              <w:rPr>
                <w:rFonts w:ascii="Arial Narrow" w:hAnsi="Arial Narrow" w:cs="Calibri"/>
                <w:b/>
                <w:color w:val="000000"/>
                <w:sz w:val="18"/>
                <w:szCs w:val="18"/>
              </w:rPr>
              <w:t>6</w:t>
            </w:r>
            <w:r>
              <w:rPr>
                <w:rFonts w:ascii="Arial Narrow" w:hAnsi="Arial Narrow" w:cs="Calibri"/>
                <w:b/>
                <w:color w:val="000000"/>
                <w:sz w:val="18"/>
                <w:szCs w:val="18"/>
              </w:rPr>
              <w:t>,4</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b/>
                <w:color w:val="000000"/>
                <w:sz w:val="18"/>
                <w:szCs w:val="18"/>
              </w:rPr>
            </w:pPr>
            <w:r>
              <w:rPr>
                <w:rFonts w:ascii="Arial Narrow" w:hAnsi="Arial Narrow" w:cs="Calibri"/>
                <w:b/>
                <w:color w:val="000000"/>
                <w:sz w:val="18"/>
                <w:szCs w:val="18"/>
              </w:rPr>
              <w:t>5,5</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b/>
                <w:color w:val="000000"/>
                <w:sz w:val="18"/>
                <w:szCs w:val="18"/>
              </w:rPr>
            </w:pPr>
            <w:r>
              <w:rPr>
                <w:rFonts w:ascii="Arial Narrow" w:hAnsi="Arial Narrow" w:cs="Calibri"/>
                <w:b/>
                <w:color w:val="000000"/>
                <w:sz w:val="18"/>
                <w:szCs w:val="18"/>
              </w:rPr>
              <w:t>5,7</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b/>
                <w:color w:val="000000"/>
                <w:sz w:val="18"/>
                <w:szCs w:val="18"/>
              </w:rPr>
            </w:pPr>
            <w:r>
              <w:rPr>
                <w:rFonts w:ascii="Arial Narrow" w:hAnsi="Arial Narrow" w:cs="Calibri"/>
                <w:b/>
                <w:color w:val="000000"/>
                <w:sz w:val="18"/>
                <w:szCs w:val="18"/>
              </w:rPr>
              <w:t>1,9</w:t>
            </w:r>
          </w:p>
        </w:tc>
        <w:tc>
          <w:tcPr>
            <w:tcW w:w="525"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b/>
                <w:color w:val="000000"/>
                <w:sz w:val="18"/>
                <w:szCs w:val="18"/>
              </w:rPr>
            </w:pPr>
            <w:r>
              <w:rPr>
                <w:rFonts w:ascii="Arial Narrow" w:hAnsi="Arial Narrow" w:cs="Calibri"/>
                <w:b/>
                <w:color w:val="000000"/>
                <w:sz w:val="18"/>
                <w:szCs w:val="18"/>
              </w:rPr>
              <w:t>0,7</w:t>
            </w:r>
          </w:p>
        </w:tc>
        <w:tc>
          <w:tcPr>
            <w:tcW w:w="52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b/>
                <w:color w:val="000000"/>
                <w:sz w:val="18"/>
                <w:szCs w:val="18"/>
              </w:rPr>
            </w:pPr>
            <w:r>
              <w:rPr>
                <w:rFonts w:ascii="Arial Narrow" w:hAnsi="Arial Narrow" w:cs="Calibri"/>
                <w:b/>
                <w:color w:val="000000"/>
                <w:sz w:val="18"/>
                <w:szCs w:val="18"/>
              </w:rPr>
              <w:t>0,5</w:t>
            </w:r>
          </w:p>
        </w:tc>
      </w:tr>
      <w:tr w:rsidR="005A6EF7" w:rsidRPr="00313984" w:rsidTr="00D331B6">
        <w:trPr>
          <w:trHeight w:val="255"/>
          <w:jc w:val="center"/>
        </w:trPr>
        <w:tc>
          <w:tcPr>
            <w:tcW w:w="3262" w:type="dxa"/>
            <w:vMerge/>
            <w:tcBorders>
              <w:top w:val="nil"/>
              <w:left w:val="nil"/>
              <w:bottom w:val="single" w:sz="4" w:space="0" w:color="000000"/>
              <w:right w:val="nil"/>
            </w:tcBorders>
            <w:vAlign w:val="center"/>
            <w:hideMark/>
          </w:tcPr>
          <w:p w:rsidR="005A6EF7" w:rsidRPr="001D642A" w:rsidRDefault="005A6EF7" w:rsidP="005A6EF7">
            <w:pPr>
              <w:widowControl/>
              <w:overflowPunct/>
              <w:autoSpaceDE/>
              <w:autoSpaceDN/>
              <w:adjustRightInd/>
              <w:spacing w:before="0" w:after="0"/>
              <w:rPr>
                <w:rFonts w:ascii="Arial Narrow" w:hAnsi="Arial Narrow"/>
                <w:b/>
                <w:bCs/>
                <w:color w:val="FFFFFF"/>
                <w:kern w:val="0"/>
                <w:sz w:val="18"/>
                <w:szCs w:val="18"/>
              </w:rPr>
            </w:pPr>
          </w:p>
        </w:tc>
        <w:tc>
          <w:tcPr>
            <w:tcW w:w="286" w:type="dxa"/>
            <w:tcBorders>
              <w:top w:val="nil"/>
              <w:left w:val="nil"/>
              <w:bottom w:val="single" w:sz="4" w:space="0" w:color="auto"/>
              <w:right w:val="nil"/>
            </w:tcBorders>
            <w:shd w:val="clear" w:color="000000" w:fill="FFFFFF"/>
            <w:noWrap/>
            <w:vAlign w:val="center"/>
            <w:hideMark/>
          </w:tcPr>
          <w:p w:rsidR="005A6EF7" w:rsidRPr="001D642A" w:rsidRDefault="005A6EF7" w:rsidP="005A6EF7">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00" w:type="dxa"/>
            <w:tcBorders>
              <w:top w:val="nil"/>
              <w:left w:val="nil"/>
              <w:bottom w:val="single" w:sz="4" w:space="0" w:color="auto"/>
              <w:right w:val="nil"/>
            </w:tcBorders>
            <w:shd w:val="clear" w:color="000000" w:fill="FFFFFF"/>
            <w:vAlign w:val="center"/>
          </w:tcPr>
          <w:p w:rsidR="005A6EF7" w:rsidRPr="00E66B46" w:rsidRDefault="005A6EF7" w:rsidP="005A6EF7">
            <w:pPr>
              <w:widowControl/>
              <w:overflowPunct/>
              <w:autoSpaceDE/>
              <w:autoSpaceDN/>
              <w:adjustRightInd/>
              <w:spacing w:before="0" w:after="0"/>
              <w:jc w:val="right"/>
              <w:rPr>
                <w:rFonts w:ascii="Arial Narrow" w:hAnsi="Arial Narrow"/>
                <w:b/>
                <w:color w:val="000000"/>
                <w:sz w:val="18"/>
                <w:szCs w:val="18"/>
              </w:rPr>
            </w:pPr>
            <w:r w:rsidRPr="00E66B46">
              <w:rPr>
                <w:rFonts w:ascii="Arial Narrow" w:hAnsi="Arial Narrow"/>
                <w:b/>
                <w:color w:val="000000"/>
                <w:sz w:val="18"/>
                <w:szCs w:val="18"/>
              </w:rPr>
              <w:t>12,3</w:t>
            </w:r>
          </w:p>
        </w:tc>
        <w:tc>
          <w:tcPr>
            <w:tcW w:w="500" w:type="dxa"/>
            <w:tcBorders>
              <w:top w:val="nil"/>
              <w:left w:val="nil"/>
              <w:bottom w:val="single" w:sz="4" w:space="0" w:color="auto"/>
              <w:right w:val="nil"/>
            </w:tcBorders>
            <w:shd w:val="clear" w:color="000000" w:fill="FFFFFF"/>
            <w:vAlign w:val="center"/>
          </w:tcPr>
          <w:p w:rsidR="005A6EF7" w:rsidRPr="00313984" w:rsidRDefault="005A6EF7" w:rsidP="005A6EF7">
            <w:pPr>
              <w:widowControl/>
              <w:overflowPunct/>
              <w:autoSpaceDE/>
              <w:autoSpaceDN/>
              <w:adjustRightInd/>
              <w:spacing w:before="0" w:after="0"/>
              <w:jc w:val="right"/>
              <w:rPr>
                <w:rFonts w:ascii="Arial Narrow" w:hAnsi="Arial Narrow"/>
                <w:b/>
                <w:color w:val="000000"/>
                <w:sz w:val="18"/>
                <w:szCs w:val="18"/>
              </w:rPr>
            </w:pPr>
            <w:r w:rsidRPr="00313984">
              <w:rPr>
                <w:rFonts w:ascii="Arial Narrow" w:hAnsi="Arial Narrow"/>
                <w:b/>
                <w:color w:val="000000"/>
                <w:sz w:val="18"/>
                <w:szCs w:val="18"/>
              </w:rPr>
              <w:t>10,7</w:t>
            </w:r>
          </w:p>
        </w:tc>
        <w:tc>
          <w:tcPr>
            <w:tcW w:w="500" w:type="dxa"/>
            <w:tcBorders>
              <w:top w:val="nil"/>
              <w:left w:val="nil"/>
              <w:bottom w:val="single" w:sz="4" w:space="0" w:color="auto"/>
              <w:right w:val="nil"/>
            </w:tcBorders>
            <w:shd w:val="clear" w:color="000000" w:fill="FFFFFF"/>
            <w:vAlign w:val="center"/>
          </w:tcPr>
          <w:p w:rsidR="005A6EF7" w:rsidRPr="00B74CA0" w:rsidRDefault="005A6EF7" w:rsidP="005A6EF7">
            <w:pPr>
              <w:widowControl/>
              <w:overflowPunct/>
              <w:autoSpaceDE/>
              <w:autoSpaceDN/>
              <w:adjustRightInd/>
              <w:spacing w:before="0" w:after="0"/>
              <w:jc w:val="right"/>
              <w:rPr>
                <w:rFonts w:ascii="Arial Narrow" w:hAnsi="Arial Narrow"/>
                <w:b/>
                <w:color w:val="000000"/>
                <w:sz w:val="18"/>
                <w:szCs w:val="18"/>
              </w:rPr>
            </w:pPr>
            <w:r w:rsidRPr="00B74CA0">
              <w:rPr>
                <w:rFonts w:ascii="Arial Narrow" w:hAnsi="Arial Narrow"/>
                <w:b/>
                <w:color w:val="000000"/>
                <w:sz w:val="18"/>
                <w:szCs w:val="18"/>
              </w:rPr>
              <w:t>9,8</w:t>
            </w:r>
          </w:p>
        </w:tc>
        <w:tc>
          <w:tcPr>
            <w:tcW w:w="501" w:type="dxa"/>
            <w:tcBorders>
              <w:top w:val="nil"/>
              <w:left w:val="nil"/>
              <w:bottom w:val="single" w:sz="4" w:space="0" w:color="auto"/>
              <w:right w:val="nil"/>
            </w:tcBorders>
            <w:shd w:val="clear" w:color="000000" w:fill="FFFFFF"/>
            <w:vAlign w:val="center"/>
          </w:tcPr>
          <w:p w:rsidR="005A6EF7" w:rsidRPr="00B74CA0" w:rsidRDefault="005A6EF7" w:rsidP="005A6EF7">
            <w:pPr>
              <w:widowControl/>
              <w:overflowPunct/>
              <w:autoSpaceDE/>
              <w:autoSpaceDN/>
              <w:adjustRightInd/>
              <w:spacing w:before="0" w:after="0"/>
              <w:jc w:val="right"/>
              <w:rPr>
                <w:rFonts w:ascii="Arial Narrow" w:hAnsi="Arial Narrow"/>
                <w:b/>
                <w:color w:val="000000"/>
                <w:sz w:val="18"/>
                <w:szCs w:val="18"/>
              </w:rPr>
            </w:pPr>
            <w:r>
              <w:rPr>
                <w:rFonts w:ascii="Arial Narrow" w:hAnsi="Arial Narrow"/>
                <w:b/>
                <w:color w:val="000000"/>
                <w:sz w:val="18"/>
                <w:szCs w:val="18"/>
              </w:rPr>
              <w:t>8,1</w:t>
            </w:r>
          </w:p>
        </w:tc>
        <w:tc>
          <w:tcPr>
            <w:tcW w:w="501" w:type="dxa"/>
            <w:tcBorders>
              <w:top w:val="nil"/>
              <w:left w:val="nil"/>
              <w:bottom w:val="single" w:sz="4" w:space="0" w:color="auto"/>
              <w:right w:val="nil"/>
            </w:tcBorders>
            <w:shd w:val="clear" w:color="000000" w:fill="FFFFFF"/>
            <w:vAlign w:val="center"/>
          </w:tcPr>
          <w:p w:rsidR="005A6EF7" w:rsidRPr="001E018C" w:rsidRDefault="005A6EF7" w:rsidP="005A6EF7">
            <w:pPr>
              <w:widowControl/>
              <w:overflowPunct/>
              <w:autoSpaceDE/>
              <w:autoSpaceDN/>
              <w:adjustRightInd/>
              <w:spacing w:before="0" w:after="0"/>
              <w:jc w:val="right"/>
              <w:rPr>
                <w:rFonts w:ascii="Arial Narrow" w:hAnsi="Arial Narrow"/>
                <w:b/>
                <w:color w:val="000000"/>
                <w:sz w:val="18"/>
                <w:szCs w:val="18"/>
              </w:rPr>
            </w:pPr>
            <w:r w:rsidRPr="001E018C">
              <w:rPr>
                <w:rFonts w:ascii="Arial Narrow" w:hAnsi="Arial Narrow"/>
                <w:b/>
                <w:color w:val="000000"/>
                <w:sz w:val="18"/>
                <w:szCs w:val="18"/>
              </w:rPr>
              <w:t>8,</w:t>
            </w:r>
            <w:r>
              <w:rPr>
                <w:rFonts w:ascii="Arial Narrow" w:hAnsi="Arial Narrow"/>
                <w:b/>
                <w:color w:val="000000"/>
                <w:sz w:val="18"/>
                <w:szCs w:val="18"/>
              </w:rPr>
              <w:t>6</w:t>
            </w:r>
          </w:p>
        </w:tc>
        <w:tc>
          <w:tcPr>
            <w:tcW w:w="501" w:type="dxa"/>
            <w:tcBorders>
              <w:top w:val="nil"/>
              <w:left w:val="nil"/>
              <w:bottom w:val="single" w:sz="4" w:space="0" w:color="auto"/>
              <w:right w:val="nil"/>
            </w:tcBorders>
            <w:shd w:val="clear" w:color="000000" w:fill="FFFFFF"/>
            <w:vAlign w:val="bottom"/>
          </w:tcPr>
          <w:p w:rsidR="005A6EF7" w:rsidRPr="00CA61DA" w:rsidRDefault="005A6EF7" w:rsidP="005A6EF7">
            <w:pPr>
              <w:widowControl/>
              <w:overflowPunct/>
              <w:autoSpaceDE/>
              <w:autoSpaceDN/>
              <w:adjustRightInd/>
              <w:spacing w:before="0" w:after="0"/>
              <w:jc w:val="right"/>
              <w:rPr>
                <w:rFonts w:ascii="Arial Narrow" w:hAnsi="Arial Narrow"/>
                <w:b/>
                <w:color w:val="000000"/>
                <w:sz w:val="18"/>
                <w:szCs w:val="18"/>
              </w:rPr>
            </w:pPr>
            <w:r w:rsidRPr="00CA61DA">
              <w:rPr>
                <w:rFonts w:ascii="Arial Narrow" w:hAnsi="Arial Narrow"/>
                <w:b/>
                <w:color w:val="000000"/>
                <w:sz w:val="18"/>
                <w:szCs w:val="18"/>
              </w:rPr>
              <w:t>8</w:t>
            </w:r>
            <w:r>
              <w:rPr>
                <w:rFonts w:ascii="Arial Narrow" w:hAnsi="Arial Narrow"/>
                <w:b/>
                <w:color w:val="000000"/>
                <w:sz w:val="18"/>
                <w:szCs w:val="18"/>
              </w:rPr>
              <w:t>,0</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b/>
                <w:color w:val="000000"/>
                <w:sz w:val="18"/>
                <w:szCs w:val="18"/>
              </w:rPr>
            </w:pPr>
            <w:r w:rsidRPr="00A00F0F">
              <w:rPr>
                <w:rFonts w:ascii="Arial Narrow" w:hAnsi="Arial Narrow" w:cs="Calibri"/>
                <w:b/>
                <w:color w:val="000000"/>
                <w:sz w:val="18"/>
                <w:szCs w:val="18"/>
              </w:rPr>
              <w:t>6</w:t>
            </w:r>
            <w:r>
              <w:rPr>
                <w:rFonts w:ascii="Arial Narrow" w:hAnsi="Arial Narrow" w:cs="Calibri"/>
                <w:b/>
                <w:color w:val="000000"/>
                <w:sz w:val="18"/>
                <w:szCs w:val="18"/>
              </w:rPr>
              <w:t>,</w:t>
            </w:r>
            <w:r w:rsidRPr="00A00F0F">
              <w:rPr>
                <w:rFonts w:ascii="Arial Narrow" w:hAnsi="Arial Narrow" w:cs="Calibri"/>
                <w:b/>
                <w:color w:val="000000"/>
                <w:sz w:val="18"/>
                <w:szCs w:val="18"/>
              </w:rPr>
              <w:t>7</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b/>
                <w:color w:val="000000"/>
                <w:sz w:val="18"/>
                <w:szCs w:val="18"/>
              </w:rPr>
            </w:pPr>
            <w:r w:rsidRPr="00A00F0F">
              <w:rPr>
                <w:rFonts w:ascii="Arial Narrow" w:hAnsi="Arial Narrow" w:cs="Calibri"/>
                <w:b/>
                <w:color w:val="000000"/>
                <w:sz w:val="18"/>
                <w:szCs w:val="18"/>
              </w:rPr>
              <w:t>6</w:t>
            </w:r>
            <w:r>
              <w:rPr>
                <w:rFonts w:ascii="Arial Narrow" w:hAnsi="Arial Narrow" w:cs="Calibri"/>
                <w:b/>
                <w:color w:val="000000"/>
                <w:sz w:val="18"/>
                <w:szCs w:val="18"/>
              </w:rPr>
              <w:t>,3</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b/>
                <w:color w:val="000000"/>
                <w:sz w:val="18"/>
                <w:szCs w:val="18"/>
              </w:rPr>
            </w:pPr>
            <w:r>
              <w:rPr>
                <w:rFonts w:ascii="Arial Narrow" w:hAnsi="Arial Narrow" w:cs="Calibri"/>
                <w:b/>
                <w:color w:val="000000"/>
                <w:sz w:val="18"/>
                <w:szCs w:val="18"/>
              </w:rPr>
              <w:t>5,5</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b/>
                <w:color w:val="000000"/>
                <w:sz w:val="18"/>
                <w:szCs w:val="18"/>
              </w:rPr>
            </w:pPr>
            <w:r>
              <w:rPr>
                <w:rFonts w:ascii="Arial Narrow" w:hAnsi="Arial Narrow" w:cs="Calibri"/>
                <w:b/>
                <w:color w:val="000000"/>
                <w:sz w:val="18"/>
                <w:szCs w:val="18"/>
              </w:rPr>
              <w:t>5,6</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b/>
                <w:color w:val="000000"/>
                <w:sz w:val="18"/>
                <w:szCs w:val="18"/>
              </w:rPr>
            </w:pPr>
            <w:r>
              <w:rPr>
                <w:rFonts w:ascii="Arial Narrow" w:hAnsi="Arial Narrow" w:cs="Calibri"/>
                <w:b/>
                <w:color w:val="000000"/>
                <w:sz w:val="18"/>
                <w:szCs w:val="18"/>
              </w:rPr>
              <w:t>1,8</w:t>
            </w:r>
          </w:p>
        </w:tc>
        <w:tc>
          <w:tcPr>
            <w:tcW w:w="525"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b/>
                <w:color w:val="000000"/>
                <w:sz w:val="18"/>
                <w:szCs w:val="18"/>
              </w:rPr>
            </w:pPr>
            <w:r>
              <w:rPr>
                <w:rFonts w:ascii="Arial Narrow" w:hAnsi="Arial Narrow" w:cs="Calibri"/>
                <w:b/>
                <w:color w:val="000000"/>
                <w:sz w:val="18"/>
                <w:szCs w:val="18"/>
              </w:rPr>
              <w:t>0,6</w:t>
            </w:r>
          </w:p>
        </w:tc>
        <w:tc>
          <w:tcPr>
            <w:tcW w:w="52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b/>
                <w:color w:val="000000"/>
                <w:sz w:val="18"/>
                <w:szCs w:val="18"/>
              </w:rPr>
            </w:pPr>
            <w:r>
              <w:rPr>
                <w:rFonts w:ascii="Arial Narrow" w:hAnsi="Arial Narrow" w:cs="Calibri"/>
                <w:b/>
                <w:color w:val="000000"/>
                <w:sz w:val="18"/>
                <w:szCs w:val="18"/>
              </w:rPr>
              <w:t>0,5</w:t>
            </w:r>
          </w:p>
        </w:tc>
      </w:tr>
      <w:tr w:rsidR="005A6EF7" w:rsidRPr="001D642A" w:rsidTr="00D331B6">
        <w:trPr>
          <w:trHeight w:val="255"/>
          <w:jc w:val="center"/>
        </w:trPr>
        <w:tc>
          <w:tcPr>
            <w:tcW w:w="3262" w:type="dxa"/>
            <w:vMerge w:val="restart"/>
            <w:tcBorders>
              <w:top w:val="nil"/>
              <w:left w:val="nil"/>
              <w:bottom w:val="single" w:sz="4" w:space="0" w:color="000000"/>
              <w:right w:val="nil"/>
            </w:tcBorders>
            <w:shd w:val="clear" w:color="000000" w:fill="FFFFFF"/>
            <w:vAlign w:val="center"/>
            <w:hideMark/>
          </w:tcPr>
          <w:p w:rsidR="005A6EF7" w:rsidRPr="001D642A" w:rsidRDefault="005A6EF7" w:rsidP="005A6EF7">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Indice generale al netto dell’energia e degli alimentari freschi (Componente di fondo)</w:t>
            </w:r>
          </w:p>
        </w:tc>
        <w:tc>
          <w:tcPr>
            <w:tcW w:w="286" w:type="dxa"/>
            <w:tcBorders>
              <w:top w:val="nil"/>
              <w:left w:val="nil"/>
              <w:bottom w:val="single" w:sz="4" w:space="0" w:color="auto"/>
              <w:right w:val="nil"/>
            </w:tcBorders>
            <w:shd w:val="clear" w:color="000000" w:fill="FFFFFF"/>
            <w:noWrap/>
            <w:vAlign w:val="center"/>
            <w:hideMark/>
          </w:tcPr>
          <w:p w:rsidR="005A6EF7" w:rsidRPr="001D642A" w:rsidRDefault="005A6EF7" w:rsidP="005A6EF7">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00" w:type="dxa"/>
            <w:tcBorders>
              <w:top w:val="nil"/>
              <w:left w:val="nil"/>
              <w:bottom w:val="single" w:sz="4" w:space="0" w:color="auto"/>
              <w:right w:val="nil"/>
            </w:tcBorders>
            <w:shd w:val="clear" w:color="000000" w:fill="FFFFFF"/>
            <w:vAlign w:val="center"/>
          </w:tcPr>
          <w:p w:rsidR="005A6EF7" w:rsidRPr="00E66B46" w:rsidRDefault="005A6EF7" w:rsidP="005A6EF7">
            <w:pPr>
              <w:widowControl/>
              <w:overflowPunct/>
              <w:autoSpaceDE/>
              <w:autoSpaceDN/>
              <w:adjustRightInd/>
              <w:spacing w:before="0" w:after="0"/>
              <w:jc w:val="right"/>
              <w:rPr>
                <w:rFonts w:ascii="Arial Narrow" w:hAnsi="Arial Narrow"/>
                <w:color w:val="000000"/>
                <w:sz w:val="18"/>
                <w:szCs w:val="18"/>
              </w:rPr>
            </w:pPr>
            <w:r w:rsidRPr="00E66B46">
              <w:rPr>
                <w:rFonts w:ascii="Arial Narrow" w:hAnsi="Arial Narrow"/>
                <w:color w:val="000000"/>
                <w:sz w:val="18"/>
                <w:szCs w:val="18"/>
              </w:rPr>
              <w:t>6,4</w:t>
            </w:r>
          </w:p>
        </w:tc>
        <w:tc>
          <w:tcPr>
            <w:tcW w:w="500" w:type="dxa"/>
            <w:tcBorders>
              <w:top w:val="nil"/>
              <w:left w:val="nil"/>
              <w:bottom w:val="single" w:sz="4" w:space="0" w:color="auto"/>
              <w:right w:val="nil"/>
            </w:tcBorders>
            <w:shd w:val="clear" w:color="000000" w:fill="FFFFFF"/>
            <w:vAlign w:val="center"/>
          </w:tcPr>
          <w:p w:rsidR="005A6EF7" w:rsidRPr="00313984" w:rsidRDefault="005A6EF7" w:rsidP="005A6EF7">
            <w:pPr>
              <w:widowControl/>
              <w:overflowPunct/>
              <w:autoSpaceDE/>
              <w:autoSpaceDN/>
              <w:adjustRightInd/>
              <w:spacing w:before="0" w:after="0"/>
              <w:jc w:val="right"/>
              <w:rPr>
                <w:rFonts w:ascii="Arial Narrow" w:hAnsi="Arial Narrow"/>
                <w:color w:val="000000"/>
                <w:sz w:val="18"/>
                <w:szCs w:val="18"/>
              </w:rPr>
            </w:pPr>
            <w:r w:rsidRPr="00313984">
              <w:rPr>
                <w:rFonts w:ascii="Arial Narrow" w:hAnsi="Arial Narrow"/>
                <w:color w:val="000000"/>
                <w:sz w:val="18"/>
                <w:szCs w:val="18"/>
              </w:rPr>
              <w:t>6,8</w:t>
            </w:r>
          </w:p>
        </w:tc>
        <w:tc>
          <w:tcPr>
            <w:tcW w:w="500"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7,1</w:t>
            </w:r>
          </w:p>
        </w:tc>
        <w:tc>
          <w:tcPr>
            <w:tcW w:w="501"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6,9</w:t>
            </w:r>
          </w:p>
        </w:tc>
        <w:tc>
          <w:tcPr>
            <w:tcW w:w="501" w:type="dxa"/>
            <w:tcBorders>
              <w:top w:val="nil"/>
              <w:left w:val="nil"/>
              <w:bottom w:val="single" w:sz="4" w:space="0" w:color="auto"/>
              <w:right w:val="nil"/>
            </w:tcBorders>
            <w:shd w:val="clear" w:color="000000" w:fill="FFFFFF"/>
            <w:vAlign w:val="center"/>
          </w:tcPr>
          <w:p w:rsidR="005A6EF7" w:rsidRPr="001E018C" w:rsidRDefault="005A6EF7" w:rsidP="005A6EF7">
            <w:pPr>
              <w:widowControl/>
              <w:overflowPunct/>
              <w:autoSpaceDE/>
              <w:autoSpaceDN/>
              <w:adjustRightInd/>
              <w:spacing w:before="0" w:after="0"/>
              <w:jc w:val="right"/>
              <w:rPr>
                <w:rFonts w:ascii="Arial Narrow" w:hAnsi="Arial Narrow"/>
                <w:color w:val="000000"/>
                <w:sz w:val="18"/>
                <w:szCs w:val="18"/>
              </w:rPr>
            </w:pPr>
            <w:r w:rsidRPr="001E018C">
              <w:rPr>
                <w:rFonts w:ascii="Arial Narrow" w:hAnsi="Arial Narrow"/>
                <w:color w:val="000000"/>
                <w:sz w:val="18"/>
                <w:szCs w:val="18"/>
              </w:rPr>
              <w:t>6,8</w:t>
            </w:r>
          </w:p>
        </w:tc>
        <w:tc>
          <w:tcPr>
            <w:tcW w:w="501" w:type="dxa"/>
            <w:tcBorders>
              <w:top w:val="nil"/>
              <w:left w:val="nil"/>
              <w:bottom w:val="single" w:sz="4" w:space="0" w:color="auto"/>
              <w:right w:val="nil"/>
            </w:tcBorders>
            <w:shd w:val="clear" w:color="000000" w:fill="FFFFFF"/>
            <w:vAlign w:val="bottom"/>
          </w:tcPr>
          <w:p w:rsidR="005A6EF7" w:rsidRPr="00CA61DA" w:rsidRDefault="005A6EF7" w:rsidP="005A6EF7">
            <w:pPr>
              <w:widowControl/>
              <w:overflowPunct/>
              <w:autoSpaceDE/>
              <w:autoSpaceDN/>
              <w:adjustRightInd/>
              <w:spacing w:before="0" w:after="0"/>
              <w:jc w:val="right"/>
              <w:rPr>
                <w:rFonts w:ascii="Arial Narrow" w:hAnsi="Arial Narrow"/>
                <w:color w:val="000000"/>
                <w:sz w:val="18"/>
                <w:szCs w:val="18"/>
              </w:rPr>
            </w:pPr>
            <w:r w:rsidRPr="00CA61DA">
              <w:rPr>
                <w:rFonts w:ascii="Arial Narrow" w:hAnsi="Arial Narrow"/>
                <w:color w:val="000000"/>
                <w:sz w:val="18"/>
                <w:szCs w:val="18"/>
              </w:rPr>
              <w:t>6,5</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6</w:t>
            </w:r>
            <w:r>
              <w:rPr>
                <w:rFonts w:ascii="Arial Narrow" w:hAnsi="Arial Narrow" w:cs="Calibri"/>
                <w:color w:val="000000"/>
                <w:sz w:val="18"/>
                <w:szCs w:val="18"/>
              </w:rPr>
              <w:t>,</w:t>
            </w:r>
            <w:r w:rsidRPr="00A00F0F">
              <w:rPr>
                <w:rFonts w:ascii="Arial Narrow" w:hAnsi="Arial Narrow" w:cs="Calibri"/>
                <w:color w:val="000000"/>
                <w:sz w:val="18"/>
                <w:szCs w:val="18"/>
              </w:rPr>
              <w:t>0</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5,7</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5,0</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5,0</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4,5</w:t>
            </w:r>
          </w:p>
        </w:tc>
        <w:tc>
          <w:tcPr>
            <w:tcW w:w="525"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3,9</w:t>
            </w:r>
          </w:p>
        </w:tc>
        <w:tc>
          <w:tcPr>
            <w:tcW w:w="52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3,2</w:t>
            </w:r>
          </w:p>
        </w:tc>
      </w:tr>
      <w:tr w:rsidR="005A6EF7" w:rsidRPr="001D642A" w:rsidTr="00D331B6">
        <w:trPr>
          <w:trHeight w:val="255"/>
          <w:jc w:val="center"/>
        </w:trPr>
        <w:tc>
          <w:tcPr>
            <w:tcW w:w="3262" w:type="dxa"/>
            <w:vMerge/>
            <w:tcBorders>
              <w:top w:val="nil"/>
              <w:left w:val="nil"/>
              <w:bottom w:val="single" w:sz="4" w:space="0" w:color="000000"/>
              <w:right w:val="nil"/>
            </w:tcBorders>
            <w:vAlign w:val="center"/>
            <w:hideMark/>
          </w:tcPr>
          <w:p w:rsidR="005A6EF7" w:rsidRPr="001D642A" w:rsidRDefault="005A6EF7" w:rsidP="005A6EF7">
            <w:pPr>
              <w:widowControl/>
              <w:overflowPunct/>
              <w:autoSpaceDE/>
              <w:autoSpaceDN/>
              <w:adjustRightInd/>
              <w:spacing w:before="0" w:after="0"/>
              <w:rPr>
                <w:rFonts w:ascii="Arial Narrow" w:hAnsi="Arial Narrow"/>
                <w:color w:val="000000"/>
                <w:kern w:val="0"/>
                <w:sz w:val="18"/>
                <w:szCs w:val="18"/>
              </w:rPr>
            </w:pPr>
          </w:p>
        </w:tc>
        <w:tc>
          <w:tcPr>
            <w:tcW w:w="286" w:type="dxa"/>
            <w:tcBorders>
              <w:top w:val="nil"/>
              <w:left w:val="nil"/>
              <w:bottom w:val="single" w:sz="4" w:space="0" w:color="auto"/>
              <w:right w:val="nil"/>
            </w:tcBorders>
            <w:shd w:val="clear" w:color="000000" w:fill="FFFFFF"/>
            <w:noWrap/>
            <w:vAlign w:val="center"/>
            <w:hideMark/>
          </w:tcPr>
          <w:p w:rsidR="005A6EF7" w:rsidRPr="001D642A" w:rsidRDefault="005A6EF7" w:rsidP="005A6EF7">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00" w:type="dxa"/>
            <w:tcBorders>
              <w:top w:val="nil"/>
              <w:left w:val="nil"/>
              <w:bottom w:val="single" w:sz="4" w:space="0" w:color="auto"/>
              <w:right w:val="nil"/>
            </w:tcBorders>
            <w:shd w:val="clear" w:color="000000" w:fill="FFFFFF"/>
            <w:vAlign w:val="center"/>
          </w:tcPr>
          <w:p w:rsidR="005A6EF7" w:rsidRPr="00E66B46" w:rsidRDefault="005A6EF7" w:rsidP="005A6EF7">
            <w:pPr>
              <w:widowControl/>
              <w:overflowPunct/>
              <w:autoSpaceDE/>
              <w:autoSpaceDN/>
              <w:adjustRightInd/>
              <w:spacing w:before="0" w:after="0"/>
              <w:jc w:val="right"/>
              <w:rPr>
                <w:rFonts w:ascii="Arial Narrow" w:hAnsi="Arial Narrow"/>
                <w:color w:val="000000"/>
                <w:sz w:val="18"/>
                <w:szCs w:val="18"/>
              </w:rPr>
            </w:pPr>
            <w:r w:rsidRPr="00E66B46">
              <w:rPr>
                <w:rFonts w:ascii="Arial Narrow" w:hAnsi="Arial Narrow"/>
                <w:color w:val="000000"/>
                <w:sz w:val="18"/>
                <w:szCs w:val="18"/>
              </w:rPr>
              <w:t>6,5</w:t>
            </w:r>
          </w:p>
        </w:tc>
        <w:tc>
          <w:tcPr>
            <w:tcW w:w="500" w:type="dxa"/>
            <w:tcBorders>
              <w:top w:val="nil"/>
              <w:left w:val="nil"/>
              <w:bottom w:val="single" w:sz="4" w:space="0" w:color="auto"/>
              <w:right w:val="nil"/>
            </w:tcBorders>
            <w:shd w:val="clear" w:color="000000" w:fill="FFFFFF"/>
            <w:vAlign w:val="center"/>
          </w:tcPr>
          <w:p w:rsidR="005A6EF7" w:rsidRPr="00313984" w:rsidRDefault="005A6EF7" w:rsidP="005A6EF7">
            <w:pPr>
              <w:widowControl/>
              <w:overflowPunct/>
              <w:autoSpaceDE/>
              <w:autoSpaceDN/>
              <w:adjustRightInd/>
              <w:spacing w:before="0" w:after="0"/>
              <w:jc w:val="right"/>
              <w:rPr>
                <w:rFonts w:ascii="Arial Narrow" w:hAnsi="Arial Narrow"/>
                <w:color w:val="000000"/>
                <w:sz w:val="18"/>
                <w:szCs w:val="18"/>
              </w:rPr>
            </w:pPr>
            <w:r w:rsidRPr="00313984">
              <w:rPr>
                <w:rFonts w:ascii="Arial Narrow" w:hAnsi="Arial Narrow"/>
                <w:color w:val="000000"/>
                <w:sz w:val="18"/>
                <w:szCs w:val="18"/>
              </w:rPr>
              <w:t>6,</w:t>
            </w:r>
            <w:r>
              <w:rPr>
                <w:rFonts w:ascii="Arial Narrow" w:hAnsi="Arial Narrow"/>
                <w:color w:val="000000"/>
                <w:sz w:val="18"/>
                <w:szCs w:val="18"/>
              </w:rPr>
              <w:t>6</w:t>
            </w:r>
          </w:p>
        </w:tc>
        <w:tc>
          <w:tcPr>
            <w:tcW w:w="500"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7,0</w:t>
            </w:r>
          </w:p>
        </w:tc>
        <w:tc>
          <w:tcPr>
            <w:tcW w:w="501"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6,8</w:t>
            </w:r>
          </w:p>
        </w:tc>
        <w:tc>
          <w:tcPr>
            <w:tcW w:w="501" w:type="dxa"/>
            <w:tcBorders>
              <w:top w:val="nil"/>
              <w:left w:val="nil"/>
              <w:bottom w:val="single" w:sz="4" w:space="0" w:color="auto"/>
              <w:right w:val="nil"/>
            </w:tcBorders>
            <w:shd w:val="clear" w:color="000000" w:fill="FFFFFF"/>
            <w:vAlign w:val="center"/>
          </w:tcPr>
          <w:p w:rsidR="005A6EF7" w:rsidRPr="001E018C" w:rsidRDefault="005A6EF7" w:rsidP="005A6EF7">
            <w:pPr>
              <w:widowControl/>
              <w:overflowPunct/>
              <w:autoSpaceDE/>
              <w:autoSpaceDN/>
              <w:adjustRightInd/>
              <w:spacing w:before="0" w:after="0"/>
              <w:jc w:val="right"/>
              <w:rPr>
                <w:rFonts w:ascii="Arial Narrow" w:hAnsi="Arial Narrow"/>
                <w:color w:val="000000"/>
                <w:sz w:val="18"/>
                <w:szCs w:val="18"/>
              </w:rPr>
            </w:pPr>
            <w:r w:rsidRPr="001E018C">
              <w:rPr>
                <w:rFonts w:ascii="Arial Narrow" w:hAnsi="Arial Narrow"/>
                <w:color w:val="000000"/>
                <w:sz w:val="18"/>
                <w:szCs w:val="18"/>
              </w:rPr>
              <w:t>6,7</w:t>
            </w:r>
          </w:p>
        </w:tc>
        <w:tc>
          <w:tcPr>
            <w:tcW w:w="501" w:type="dxa"/>
            <w:tcBorders>
              <w:top w:val="nil"/>
              <w:left w:val="nil"/>
              <w:bottom w:val="single" w:sz="4" w:space="0" w:color="auto"/>
              <w:right w:val="nil"/>
            </w:tcBorders>
            <w:shd w:val="clear" w:color="000000" w:fill="FFFFFF"/>
            <w:vAlign w:val="bottom"/>
          </w:tcPr>
          <w:p w:rsidR="005A6EF7" w:rsidRPr="00CA61DA" w:rsidRDefault="005A6EF7" w:rsidP="005A6EF7">
            <w:pPr>
              <w:widowControl/>
              <w:overflowPunct/>
              <w:autoSpaceDE/>
              <w:autoSpaceDN/>
              <w:adjustRightInd/>
              <w:spacing w:before="0" w:after="0"/>
              <w:jc w:val="right"/>
              <w:rPr>
                <w:rFonts w:ascii="Arial Narrow" w:hAnsi="Arial Narrow"/>
                <w:color w:val="000000"/>
                <w:sz w:val="18"/>
                <w:szCs w:val="18"/>
              </w:rPr>
            </w:pPr>
            <w:r w:rsidRPr="00CA61DA">
              <w:rPr>
                <w:rFonts w:ascii="Arial Narrow" w:hAnsi="Arial Narrow"/>
                <w:color w:val="000000"/>
                <w:sz w:val="18"/>
                <w:szCs w:val="18"/>
              </w:rPr>
              <w:t>6,4</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6</w:t>
            </w:r>
            <w:r>
              <w:rPr>
                <w:rFonts w:ascii="Arial Narrow" w:hAnsi="Arial Narrow" w:cs="Calibri"/>
                <w:color w:val="000000"/>
                <w:sz w:val="18"/>
                <w:szCs w:val="18"/>
              </w:rPr>
              <w:t>,</w:t>
            </w:r>
            <w:r w:rsidRPr="00A00F0F">
              <w:rPr>
                <w:rFonts w:ascii="Arial Narrow" w:hAnsi="Arial Narrow" w:cs="Calibri"/>
                <w:color w:val="000000"/>
                <w:sz w:val="18"/>
                <w:szCs w:val="18"/>
              </w:rPr>
              <w:t>1</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5,6</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5,0</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4,9</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4,4</w:t>
            </w:r>
          </w:p>
        </w:tc>
        <w:tc>
          <w:tcPr>
            <w:tcW w:w="525"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3,7</w:t>
            </w:r>
          </w:p>
        </w:tc>
        <w:tc>
          <w:tcPr>
            <w:tcW w:w="52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3,2</w:t>
            </w:r>
          </w:p>
        </w:tc>
      </w:tr>
      <w:tr w:rsidR="005A6EF7" w:rsidRPr="001D642A" w:rsidTr="00D331B6">
        <w:trPr>
          <w:trHeight w:val="255"/>
          <w:jc w:val="center"/>
        </w:trPr>
        <w:tc>
          <w:tcPr>
            <w:tcW w:w="3262" w:type="dxa"/>
            <w:vMerge w:val="restart"/>
            <w:tcBorders>
              <w:top w:val="nil"/>
              <w:left w:val="nil"/>
              <w:bottom w:val="single" w:sz="4" w:space="0" w:color="000000"/>
              <w:right w:val="nil"/>
            </w:tcBorders>
            <w:shd w:val="clear" w:color="000000" w:fill="FFFFFF"/>
            <w:vAlign w:val="center"/>
            <w:hideMark/>
          </w:tcPr>
          <w:p w:rsidR="005A6EF7" w:rsidRPr="001D642A" w:rsidRDefault="005A6EF7" w:rsidP="005A6EF7">
            <w:pPr>
              <w:widowControl/>
              <w:overflowPunct/>
              <w:autoSpaceDE/>
              <w:autoSpaceDN/>
              <w:adjustRightInd/>
              <w:spacing w:before="0" w:after="0"/>
              <w:ind w:right="-70"/>
              <w:rPr>
                <w:rFonts w:ascii="Arial Narrow" w:hAnsi="Arial Narrow"/>
                <w:color w:val="000000"/>
                <w:kern w:val="0"/>
                <w:sz w:val="18"/>
                <w:szCs w:val="18"/>
              </w:rPr>
            </w:pPr>
            <w:r w:rsidRPr="001D642A">
              <w:rPr>
                <w:rFonts w:ascii="Arial Narrow" w:hAnsi="Arial Narrow"/>
                <w:color w:val="000000"/>
                <w:kern w:val="0"/>
                <w:sz w:val="18"/>
                <w:szCs w:val="18"/>
              </w:rPr>
              <w:t>Indice generale al netto di energia, alimentari (incluse bevande alcoliche) e tabacchi</w:t>
            </w:r>
          </w:p>
        </w:tc>
        <w:tc>
          <w:tcPr>
            <w:tcW w:w="286" w:type="dxa"/>
            <w:tcBorders>
              <w:top w:val="nil"/>
              <w:left w:val="nil"/>
              <w:bottom w:val="single" w:sz="4" w:space="0" w:color="auto"/>
              <w:right w:val="nil"/>
            </w:tcBorders>
            <w:shd w:val="clear" w:color="000000" w:fill="FFFFFF"/>
            <w:noWrap/>
            <w:vAlign w:val="center"/>
            <w:hideMark/>
          </w:tcPr>
          <w:p w:rsidR="005A6EF7" w:rsidRPr="001D642A" w:rsidRDefault="005A6EF7" w:rsidP="005A6EF7">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00" w:type="dxa"/>
            <w:tcBorders>
              <w:top w:val="nil"/>
              <w:left w:val="nil"/>
              <w:bottom w:val="single" w:sz="4" w:space="0" w:color="auto"/>
              <w:right w:val="nil"/>
            </w:tcBorders>
            <w:shd w:val="clear" w:color="000000" w:fill="FFFFFF"/>
            <w:vAlign w:val="center"/>
          </w:tcPr>
          <w:p w:rsidR="005A6EF7" w:rsidRPr="00E66B46" w:rsidRDefault="005A6EF7" w:rsidP="005A6EF7">
            <w:pPr>
              <w:widowControl/>
              <w:overflowPunct/>
              <w:autoSpaceDE/>
              <w:autoSpaceDN/>
              <w:adjustRightInd/>
              <w:spacing w:before="0" w:after="0"/>
              <w:jc w:val="right"/>
              <w:rPr>
                <w:rFonts w:ascii="Arial Narrow" w:hAnsi="Arial Narrow"/>
                <w:color w:val="000000"/>
                <w:sz w:val="18"/>
                <w:szCs w:val="18"/>
              </w:rPr>
            </w:pPr>
            <w:r w:rsidRPr="00E66B46">
              <w:rPr>
                <w:rFonts w:ascii="Arial Narrow" w:hAnsi="Arial Narrow"/>
                <w:color w:val="000000"/>
                <w:sz w:val="18"/>
                <w:szCs w:val="18"/>
              </w:rPr>
              <w:t>4,8</w:t>
            </w:r>
          </w:p>
        </w:tc>
        <w:tc>
          <w:tcPr>
            <w:tcW w:w="500" w:type="dxa"/>
            <w:tcBorders>
              <w:top w:val="nil"/>
              <w:left w:val="nil"/>
              <w:bottom w:val="single" w:sz="4" w:space="0" w:color="auto"/>
              <w:right w:val="nil"/>
            </w:tcBorders>
            <w:shd w:val="clear" w:color="000000" w:fill="FFFFFF"/>
            <w:vAlign w:val="center"/>
          </w:tcPr>
          <w:p w:rsidR="005A6EF7" w:rsidRPr="00313984" w:rsidRDefault="005A6EF7" w:rsidP="005A6EF7">
            <w:pPr>
              <w:widowControl/>
              <w:overflowPunct/>
              <w:autoSpaceDE/>
              <w:autoSpaceDN/>
              <w:adjustRightInd/>
              <w:spacing w:before="0" w:after="0"/>
              <w:jc w:val="right"/>
              <w:rPr>
                <w:rFonts w:ascii="Arial Narrow" w:hAnsi="Arial Narrow"/>
                <w:color w:val="000000"/>
                <w:sz w:val="18"/>
                <w:szCs w:val="18"/>
              </w:rPr>
            </w:pPr>
            <w:r w:rsidRPr="00313984">
              <w:rPr>
                <w:rFonts w:ascii="Arial Narrow" w:hAnsi="Arial Narrow"/>
                <w:color w:val="000000"/>
                <w:sz w:val="18"/>
                <w:szCs w:val="18"/>
              </w:rPr>
              <w:t>5,4</w:t>
            </w:r>
          </w:p>
        </w:tc>
        <w:tc>
          <w:tcPr>
            <w:tcW w:w="500"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5,6</w:t>
            </w:r>
          </w:p>
        </w:tc>
        <w:tc>
          <w:tcPr>
            <w:tcW w:w="501"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5,3</w:t>
            </w:r>
          </w:p>
        </w:tc>
        <w:tc>
          <w:tcPr>
            <w:tcW w:w="501" w:type="dxa"/>
            <w:tcBorders>
              <w:top w:val="nil"/>
              <w:left w:val="nil"/>
              <w:bottom w:val="single" w:sz="4" w:space="0" w:color="auto"/>
              <w:right w:val="nil"/>
            </w:tcBorders>
            <w:shd w:val="clear" w:color="000000" w:fill="FFFFFF"/>
            <w:vAlign w:val="center"/>
          </w:tcPr>
          <w:p w:rsidR="005A6EF7" w:rsidRPr="001E018C" w:rsidRDefault="005A6EF7" w:rsidP="005A6EF7">
            <w:pPr>
              <w:widowControl/>
              <w:overflowPunct/>
              <w:autoSpaceDE/>
              <w:autoSpaceDN/>
              <w:adjustRightInd/>
              <w:spacing w:before="0" w:after="0"/>
              <w:jc w:val="right"/>
              <w:rPr>
                <w:rFonts w:ascii="Arial Narrow" w:hAnsi="Arial Narrow"/>
                <w:color w:val="000000"/>
                <w:sz w:val="18"/>
                <w:szCs w:val="18"/>
              </w:rPr>
            </w:pPr>
            <w:r w:rsidRPr="001E018C">
              <w:rPr>
                <w:rFonts w:ascii="Arial Narrow" w:hAnsi="Arial Narrow"/>
                <w:color w:val="000000"/>
                <w:sz w:val="18"/>
                <w:szCs w:val="18"/>
              </w:rPr>
              <w:t>5,3</w:t>
            </w:r>
          </w:p>
        </w:tc>
        <w:tc>
          <w:tcPr>
            <w:tcW w:w="501" w:type="dxa"/>
            <w:tcBorders>
              <w:top w:val="nil"/>
              <w:left w:val="nil"/>
              <w:bottom w:val="single" w:sz="4" w:space="0" w:color="auto"/>
              <w:right w:val="nil"/>
            </w:tcBorders>
            <w:shd w:val="clear" w:color="000000" w:fill="FFFFFF"/>
            <w:vAlign w:val="bottom"/>
          </w:tcPr>
          <w:p w:rsidR="005A6EF7" w:rsidRPr="00CA61DA" w:rsidRDefault="005A6EF7" w:rsidP="005A6EF7">
            <w:pPr>
              <w:widowControl/>
              <w:overflowPunct/>
              <w:autoSpaceDE/>
              <w:autoSpaceDN/>
              <w:adjustRightInd/>
              <w:spacing w:before="0" w:after="0"/>
              <w:jc w:val="right"/>
              <w:rPr>
                <w:rFonts w:ascii="Arial Narrow" w:hAnsi="Arial Narrow"/>
                <w:color w:val="000000"/>
                <w:sz w:val="18"/>
                <w:szCs w:val="18"/>
              </w:rPr>
            </w:pPr>
            <w:r w:rsidRPr="00CA61DA">
              <w:rPr>
                <w:rFonts w:ascii="Arial Narrow" w:hAnsi="Arial Narrow"/>
                <w:color w:val="000000"/>
                <w:sz w:val="18"/>
                <w:szCs w:val="18"/>
              </w:rPr>
              <w:t>5,2</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4</w:t>
            </w:r>
            <w:r>
              <w:rPr>
                <w:rFonts w:ascii="Arial Narrow" w:hAnsi="Arial Narrow" w:cs="Calibri"/>
                <w:color w:val="000000"/>
                <w:sz w:val="18"/>
                <w:szCs w:val="18"/>
              </w:rPr>
              <w:t>,</w:t>
            </w:r>
            <w:r w:rsidRPr="00A00F0F">
              <w:rPr>
                <w:rFonts w:ascii="Arial Narrow" w:hAnsi="Arial Narrow" w:cs="Calibri"/>
                <w:color w:val="000000"/>
                <w:sz w:val="18"/>
                <w:szCs w:val="18"/>
              </w:rPr>
              <w:t>8</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4</w:t>
            </w:r>
            <w:r>
              <w:rPr>
                <w:rFonts w:ascii="Arial Narrow" w:hAnsi="Arial Narrow" w:cs="Calibri"/>
                <w:color w:val="000000"/>
                <w:sz w:val="18"/>
                <w:szCs w:val="18"/>
              </w:rPr>
              <w:t>,</w:t>
            </w:r>
            <w:r w:rsidRPr="00A00F0F">
              <w:rPr>
                <w:rFonts w:ascii="Arial Narrow" w:hAnsi="Arial Narrow" w:cs="Calibri"/>
                <w:color w:val="000000"/>
                <w:sz w:val="18"/>
                <w:szCs w:val="18"/>
              </w:rPr>
              <w:t>8</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4,1</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4,1</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3,9</w:t>
            </w:r>
          </w:p>
        </w:tc>
        <w:tc>
          <w:tcPr>
            <w:tcW w:w="525"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3,4</w:t>
            </w:r>
          </w:p>
        </w:tc>
        <w:tc>
          <w:tcPr>
            <w:tcW w:w="52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3,0</w:t>
            </w:r>
          </w:p>
        </w:tc>
      </w:tr>
      <w:tr w:rsidR="005A6EF7" w:rsidRPr="001D642A" w:rsidTr="00D331B6">
        <w:trPr>
          <w:trHeight w:val="255"/>
          <w:jc w:val="center"/>
        </w:trPr>
        <w:tc>
          <w:tcPr>
            <w:tcW w:w="3262" w:type="dxa"/>
            <w:vMerge/>
            <w:tcBorders>
              <w:top w:val="nil"/>
              <w:left w:val="nil"/>
              <w:bottom w:val="single" w:sz="4" w:space="0" w:color="000000"/>
              <w:right w:val="nil"/>
            </w:tcBorders>
            <w:vAlign w:val="center"/>
            <w:hideMark/>
          </w:tcPr>
          <w:p w:rsidR="005A6EF7" w:rsidRPr="001D642A" w:rsidRDefault="005A6EF7" w:rsidP="005A6EF7">
            <w:pPr>
              <w:widowControl/>
              <w:overflowPunct/>
              <w:autoSpaceDE/>
              <w:autoSpaceDN/>
              <w:adjustRightInd/>
              <w:spacing w:before="0" w:after="0"/>
              <w:rPr>
                <w:rFonts w:ascii="Arial Narrow" w:hAnsi="Arial Narrow"/>
                <w:color w:val="000000"/>
                <w:kern w:val="0"/>
                <w:sz w:val="18"/>
                <w:szCs w:val="18"/>
              </w:rPr>
            </w:pPr>
          </w:p>
        </w:tc>
        <w:tc>
          <w:tcPr>
            <w:tcW w:w="286" w:type="dxa"/>
            <w:tcBorders>
              <w:top w:val="nil"/>
              <w:left w:val="nil"/>
              <w:bottom w:val="single" w:sz="4" w:space="0" w:color="auto"/>
              <w:right w:val="nil"/>
            </w:tcBorders>
            <w:shd w:val="clear" w:color="000000" w:fill="FFFFFF"/>
            <w:noWrap/>
            <w:vAlign w:val="center"/>
            <w:hideMark/>
          </w:tcPr>
          <w:p w:rsidR="005A6EF7" w:rsidRPr="001D642A" w:rsidRDefault="005A6EF7" w:rsidP="005A6EF7">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00" w:type="dxa"/>
            <w:tcBorders>
              <w:top w:val="nil"/>
              <w:left w:val="nil"/>
              <w:bottom w:val="single" w:sz="4" w:space="0" w:color="auto"/>
              <w:right w:val="nil"/>
            </w:tcBorders>
            <w:shd w:val="clear" w:color="000000" w:fill="FFFFFF"/>
            <w:vAlign w:val="center"/>
          </w:tcPr>
          <w:p w:rsidR="005A6EF7" w:rsidRPr="00E66B46" w:rsidRDefault="005A6EF7" w:rsidP="005A6EF7">
            <w:pPr>
              <w:widowControl/>
              <w:overflowPunct/>
              <w:autoSpaceDE/>
              <w:autoSpaceDN/>
              <w:adjustRightInd/>
              <w:spacing w:before="0" w:after="0"/>
              <w:jc w:val="right"/>
              <w:rPr>
                <w:rFonts w:ascii="Arial Narrow" w:hAnsi="Arial Narrow"/>
                <w:color w:val="000000"/>
                <w:sz w:val="18"/>
                <w:szCs w:val="18"/>
              </w:rPr>
            </w:pPr>
            <w:r w:rsidRPr="00E66B46">
              <w:rPr>
                <w:rFonts w:ascii="Arial Narrow" w:hAnsi="Arial Narrow"/>
                <w:color w:val="000000"/>
                <w:sz w:val="18"/>
                <w:szCs w:val="18"/>
              </w:rPr>
              <w:t>4,8</w:t>
            </w:r>
          </w:p>
        </w:tc>
        <w:tc>
          <w:tcPr>
            <w:tcW w:w="500" w:type="dxa"/>
            <w:tcBorders>
              <w:top w:val="nil"/>
              <w:left w:val="nil"/>
              <w:bottom w:val="single" w:sz="4" w:space="0" w:color="auto"/>
              <w:right w:val="nil"/>
            </w:tcBorders>
            <w:shd w:val="clear" w:color="000000" w:fill="FFFFFF"/>
            <w:vAlign w:val="center"/>
          </w:tcPr>
          <w:p w:rsidR="005A6EF7" w:rsidRPr="00313984" w:rsidRDefault="005A6EF7" w:rsidP="005A6EF7">
            <w:pPr>
              <w:widowControl/>
              <w:overflowPunct/>
              <w:autoSpaceDE/>
              <w:autoSpaceDN/>
              <w:adjustRightInd/>
              <w:spacing w:before="0" w:after="0"/>
              <w:jc w:val="right"/>
              <w:rPr>
                <w:rFonts w:ascii="Arial Narrow" w:hAnsi="Arial Narrow"/>
                <w:color w:val="000000"/>
                <w:sz w:val="18"/>
                <w:szCs w:val="18"/>
              </w:rPr>
            </w:pPr>
            <w:r w:rsidRPr="00313984">
              <w:rPr>
                <w:rFonts w:ascii="Arial Narrow" w:hAnsi="Arial Narrow"/>
                <w:color w:val="000000"/>
                <w:sz w:val="18"/>
                <w:szCs w:val="18"/>
              </w:rPr>
              <w:t>5,</w:t>
            </w:r>
            <w:r>
              <w:rPr>
                <w:rFonts w:ascii="Arial Narrow" w:hAnsi="Arial Narrow"/>
                <w:color w:val="000000"/>
                <w:sz w:val="18"/>
                <w:szCs w:val="18"/>
              </w:rPr>
              <w:t>2</w:t>
            </w:r>
          </w:p>
        </w:tc>
        <w:tc>
          <w:tcPr>
            <w:tcW w:w="500"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5,5</w:t>
            </w:r>
          </w:p>
        </w:tc>
        <w:tc>
          <w:tcPr>
            <w:tcW w:w="501"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5,3</w:t>
            </w:r>
          </w:p>
        </w:tc>
        <w:tc>
          <w:tcPr>
            <w:tcW w:w="501" w:type="dxa"/>
            <w:tcBorders>
              <w:top w:val="nil"/>
              <w:left w:val="nil"/>
              <w:bottom w:val="single" w:sz="4" w:space="0" w:color="auto"/>
              <w:right w:val="nil"/>
            </w:tcBorders>
            <w:shd w:val="clear" w:color="000000" w:fill="FFFFFF"/>
            <w:vAlign w:val="center"/>
          </w:tcPr>
          <w:p w:rsidR="005A6EF7" w:rsidRPr="001E018C" w:rsidRDefault="005A6EF7" w:rsidP="005A6EF7">
            <w:pPr>
              <w:widowControl/>
              <w:overflowPunct/>
              <w:autoSpaceDE/>
              <w:autoSpaceDN/>
              <w:adjustRightInd/>
              <w:spacing w:before="0" w:after="0"/>
              <w:jc w:val="right"/>
              <w:rPr>
                <w:rFonts w:ascii="Arial Narrow" w:hAnsi="Arial Narrow"/>
                <w:color w:val="000000"/>
                <w:sz w:val="18"/>
                <w:szCs w:val="18"/>
              </w:rPr>
            </w:pPr>
            <w:r w:rsidRPr="001E018C">
              <w:rPr>
                <w:rFonts w:ascii="Arial Narrow" w:hAnsi="Arial Narrow"/>
                <w:color w:val="000000"/>
                <w:sz w:val="18"/>
                <w:szCs w:val="18"/>
              </w:rPr>
              <w:t>5,3</w:t>
            </w:r>
          </w:p>
        </w:tc>
        <w:tc>
          <w:tcPr>
            <w:tcW w:w="501" w:type="dxa"/>
            <w:tcBorders>
              <w:top w:val="nil"/>
              <w:left w:val="nil"/>
              <w:bottom w:val="single" w:sz="4" w:space="0" w:color="auto"/>
              <w:right w:val="nil"/>
            </w:tcBorders>
            <w:shd w:val="clear" w:color="000000" w:fill="FFFFFF"/>
            <w:vAlign w:val="bottom"/>
          </w:tcPr>
          <w:p w:rsidR="005A6EF7" w:rsidRPr="00CA61DA" w:rsidRDefault="005A6EF7" w:rsidP="005A6EF7">
            <w:pPr>
              <w:widowControl/>
              <w:overflowPunct/>
              <w:autoSpaceDE/>
              <w:autoSpaceDN/>
              <w:adjustRightInd/>
              <w:spacing w:before="0" w:after="0"/>
              <w:jc w:val="right"/>
              <w:rPr>
                <w:rFonts w:ascii="Arial Narrow" w:hAnsi="Arial Narrow"/>
                <w:color w:val="000000"/>
                <w:sz w:val="18"/>
                <w:szCs w:val="18"/>
              </w:rPr>
            </w:pPr>
            <w:r w:rsidRPr="00CA61DA">
              <w:rPr>
                <w:rFonts w:ascii="Arial Narrow" w:hAnsi="Arial Narrow"/>
                <w:color w:val="000000"/>
                <w:sz w:val="18"/>
                <w:szCs w:val="18"/>
              </w:rPr>
              <w:t>5,1</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4</w:t>
            </w:r>
            <w:r>
              <w:rPr>
                <w:rFonts w:ascii="Arial Narrow" w:hAnsi="Arial Narrow" w:cs="Calibri"/>
                <w:color w:val="000000"/>
                <w:sz w:val="18"/>
                <w:szCs w:val="18"/>
              </w:rPr>
              <w:t>,</w:t>
            </w:r>
            <w:r w:rsidRPr="00A00F0F">
              <w:rPr>
                <w:rFonts w:ascii="Arial Narrow" w:hAnsi="Arial Narrow" w:cs="Calibri"/>
                <w:color w:val="000000"/>
                <w:sz w:val="18"/>
                <w:szCs w:val="18"/>
              </w:rPr>
              <w:t>9</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4</w:t>
            </w:r>
            <w:r>
              <w:rPr>
                <w:rFonts w:ascii="Arial Narrow" w:hAnsi="Arial Narrow" w:cs="Calibri"/>
                <w:color w:val="000000"/>
                <w:sz w:val="18"/>
                <w:szCs w:val="18"/>
              </w:rPr>
              <w:t>,7</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4,0</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4,1</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3,8</w:t>
            </w:r>
          </w:p>
        </w:tc>
        <w:tc>
          <w:tcPr>
            <w:tcW w:w="525"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3,3</w:t>
            </w:r>
          </w:p>
        </w:tc>
        <w:tc>
          <w:tcPr>
            <w:tcW w:w="52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3,0</w:t>
            </w:r>
          </w:p>
        </w:tc>
      </w:tr>
      <w:tr w:rsidR="005A6EF7" w:rsidRPr="001D642A" w:rsidTr="00D331B6">
        <w:trPr>
          <w:trHeight w:val="255"/>
          <w:jc w:val="center"/>
        </w:trPr>
        <w:tc>
          <w:tcPr>
            <w:tcW w:w="3262" w:type="dxa"/>
            <w:vMerge w:val="restart"/>
            <w:tcBorders>
              <w:top w:val="nil"/>
              <w:left w:val="nil"/>
              <w:bottom w:val="single" w:sz="4" w:space="0" w:color="000000"/>
              <w:right w:val="nil"/>
            </w:tcBorders>
            <w:shd w:val="clear" w:color="000000" w:fill="FFFFFF"/>
            <w:vAlign w:val="center"/>
            <w:hideMark/>
          </w:tcPr>
          <w:p w:rsidR="005A6EF7" w:rsidRPr="001D642A" w:rsidRDefault="005A6EF7" w:rsidP="005A6EF7">
            <w:pPr>
              <w:widowControl/>
              <w:overflowPunct/>
              <w:autoSpaceDE/>
              <w:autoSpaceDN/>
              <w:adjustRightInd/>
              <w:spacing w:before="0" w:after="0"/>
              <w:rPr>
                <w:rFonts w:ascii="Arial Narrow" w:hAnsi="Arial Narrow"/>
                <w:color w:val="000000"/>
                <w:kern w:val="0"/>
                <w:sz w:val="18"/>
                <w:szCs w:val="18"/>
              </w:rPr>
            </w:pPr>
            <w:r w:rsidRPr="001D642A">
              <w:rPr>
                <w:rFonts w:ascii="Arial Narrow" w:hAnsi="Arial Narrow"/>
                <w:color w:val="000000"/>
                <w:kern w:val="0"/>
                <w:sz w:val="18"/>
                <w:szCs w:val="18"/>
              </w:rPr>
              <w:t>Indice generale esclusi energetici</w:t>
            </w:r>
          </w:p>
        </w:tc>
        <w:tc>
          <w:tcPr>
            <w:tcW w:w="286" w:type="dxa"/>
            <w:tcBorders>
              <w:top w:val="nil"/>
              <w:left w:val="nil"/>
              <w:bottom w:val="single" w:sz="4" w:space="0" w:color="auto"/>
              <w:right w:val="nil"/>
            </w:tcBorders>
            <w:shd w:val="clear" w:color="000000" w:fill="FFFFFF"/>
            <w:noWrap/>
            <w:vAlign w:val="center"/>
            <w:hideMark/>
          </w:tcPr>
          <w:p w:rsidR="005A6EF7" w:rsidRPr="001D642A" w:rsidRDefault="005A6EF7" w:rsidP="005A6EF7">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P</w:t>
            </w:r>
          </w:p>
        </w:tc>
        <w:tc>
          <w:tcPr>
            <w:tcW w:w="500" w:type="dxa"/>
            <w:tcBorders>
              <w:top w:val="nil"/>
              <w:left w:val="nil"/>
              <w:bottom w:val="single" w:sz="4" w:space="0" w:color="auto"/>
              <w:right w:val="nil"/>
            </w:tcBorders>
            <w:shd w:val="clear" w:color="000000" w:fill="FFFFFF"/>
            <w:vAlign w:val="center"/>
          </w:tcPr>
          <w:p w:rsidR="005A6EF7" w:rsidRPr="00E66B46" w:rsidRDefault="005A6EF7" w:rsidP="005A6EF7">
            <w:pPr>
              <w:widowControl/>
              <w:overflowPunct/>
              <w:autoSpaceDE/>
              <w:autoSpaceDN/>
              <w:adjustRightInd/>
              <w:spacing w:before="0" w:after="0"/>
              <w:jc w:val="right"/>
              <w:rPr>
                <w:rFonts w:ascii="Arial Narrow" w:hAnsi="Arial Narrow"/>
                <w:color w:val="000000"/>
                <w:sz w:val="18"/>
                <w:szCs w:val="18"/>
              </w:rPr>
            </w:pPr>
            <w:r w:rsidRPr="00E66B46">
              <w:rPr>
                <w:rFonts w:ascii="Arial Narrow" w:hAnsi="Arial Narrow"/>
                <w:color w:val="000000"/>
                <w:sz w:val="18"/>
                <w:szCs w:val="18"/>
              </w:rPr>
              <w:t>6,5</w:t>
            </w:r>
          </w:p>
        </w:tc>
        <w:tc>
          <w:tcPr>
            <w:tcW w:w="500" w:type="dxa"/>
            <w:tcBorders>
              <w:top w:val="nil"/>
              <w:left w:val="nil"/>
              <w:bottom w:val="single" w:sz="4" w:space="0" w:color="auto"/>
              <w:right w:val="nil"/>
            </w:tcBorders>
            <w:shd w:val="clear" w:color="000000" w:fill="FFFFFF"/>
            <w:vAlign w:val="center"/>
          </w:tcPr>
          <w:p w:rsidR="005A6EF7" w:rsidRPr="00313984" w:rsidRDefault="005A6EF7" w:rsidP="005A6EF7">
            <w:pPr>
              <w:widowControl/>
              <w:overflowPunct/>
              <w:autoSpaceDE/>
              <w:autoSpaceDN/>
              <w:adjustRightInd/>
              <w:spacing w:before="0" w:after="0"/>
              <w:jc w:val="right"/>
              <w:rPr>
                <w:rFonts w:ascii="Arial Narrow" w:hAnsi="Arial Narrow"/>
                <w:color w:val="000000"/>
                <w:sz w:val="18"/>
                <w:szCs w:val="18"/>
              </w:rPr>
            </w:pPr>
            <w:r w:rsidRPr="00313984">
              <w:rPr>
                <w:rFonts w:ascii="Arial Narrow" w:hAnsi="Arial Narrow"/>
                <w:color w:val="000000"/>
                <w:sz w:val="18"/>
                <w:szCs w:val="18"/>
              </w:rPr>
              <w:t>6,9</w:t>
            </w:r>
          </w:p>
        </w:tc>
        <w:tc>
          <w:tcPr>
            <w:tcW w:w="500"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7,1</w:t>
            </w:r>
          </w:p>
        </w:tc>
        <w:tc>
          <w:tcPr>
            <w:tcW w:w="501" w:type="dxa"/>
            <w:tcBorders>
              <w:top w:val="nil"/>
              <w:left w:val="nil"/>
              <w:bottom w:val="single" w:sz="4" w:space="0" w:color="auto"/>
              <w:right w:val="nil"/>
            </w:tcBorders>
            <w:shd w:val="clear" w:color="000000" w:fill="FFFFFF"/>
            <w:vAlign w:val="center"/>
          </w:tcPr>
          <w:p w:rsidR="005A6EF7"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7,0</w:t>
            </w:r>
          </w:p>
        </w:tc>
        <w:tc>
          <w:tcPr>
            <w:tcW w:w="501" w:type="dxa"/>
            <w:tcBorders>
              <w:top w:val="nil"/>
              <w:left w:val="nil"/>
              <w:bottom w:val="single" w:sz="4" w:space="0" w:color="auto"/>
              <w:right w:val="nil"/>
            </w:tcBorders>
            <w:shd w:val="clear" w:color="000000" w:fill="FFFFFF"/>
            <w:vAlign w:val="center"/>
          </w:tcPr>
          <w:p w:rsidR="005A6EF7" w:rsidRPr="001E018C" w:rsidRDefault="005A6EF7" w:rsidP="005A6EF7">
            <w:pPr>
              <w:widowControl/>
              <w:overflowPunct/>
              <w:autoSpaceDE/>
              <w:autoSpaceDN/>
              <w:adjustRightInd/>
              <w:spacing w:before="0" w:after="0"/>
              <w:jc w:val="right"/>
              <w:rPr>
                <w:rFonts w:ascii="Arial Narrow" w:hAnsi="Arial Narrow"/>
                <w:color w:val="000000"/>
                <w:sz w:val="18"/>
                <w:szCs w:val="18"/>
              </w:rPr>
            </w:pPr>
            <w:r w:rsidRPr="001E018C">
              <w:rPr>
                <w:rFonts w:ascii="Arial Narrow" w:hAnsi="Arial Narrow"/>
                <w:color w:val="000000"/>
                <w:sz w:val="18"/>
                <w:szCs w:val="18"/>
              </w:rPr>
              <w:t>6,8</w:t>
            </w:r>
          </w:p>
        </w:tc>
        <w:tc>
          <w:tcPr>
            <w:tcW w:w="501" w:type="dxa"/>
            <w:tcBorders>
              <w:top w:val="nil"/>
              <w:left w:val="nil"/>
              <w:bottom w:val="single" w:sz="4" w:space="0" w:color="auto"/>
              <w:right w:val="nil"/>
            </w:tcBorders>
            <w:shd w:val="clear" w:color="000000" w:fill="FFFFFF"/>
            <w:vAlign w:val="bottom"/>
          </w:tcPr>
          <w:p w:rsidR="005A6EF7" w:rsidRPr="00CA61DA" w:rsidRDefault="005A6EF7" w:rsidP="005A6EF7">
            <w:pPr>
              <w:widowControl/>
              <w:overflowPunct/>
              <w:autoSpaceDE/>
              <w:autoSpaceDN/>
              <w:adjustRightInd/>
              <w:spacing w:before="0" w:after="0"/>
              <w:jc w:val="right"/>
              <w:rPr>
                <w:rFonts w:ascii="Arial Narrow" w:hAnsi="Arial Narrow"/>
                <w:color w:val="000000"/>
                <w:sz w:val="18"/>
                <w:szCs w:val="18"/>
              </w:rPr>
            </w:pPr>
            <w:r w:rsidRPr="00CA61DA">
              <w:rPr>
                <w:rFonts w:ascii="Arial Narrow" w:hAnsi="Arial Narrow"/>
                <w:color w:val="000000"/>
                <w:sz w:val="18"/>
                <w:szCs w:val="18"/>
              </w:rPr>
              <w:t>6,6</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6</w:t>
            </w:r>
            <w:r>
              <w:rPr>
                <w:rFonts w:ascii="Arial Narrow" w:hAnsi="Arial Narrow" w:cs="Calibri"/>
                <w:color w:val="000000"/>
                <w:sz w:val="18"/>
                <w:szCs w:val="18"/>
              </w:rPr>
              <w:t>,</w:t>
            </w:r>
            <w:r w:rsidRPr="00A00F0F">
              <w:rPr>
                <w:rFonts w:ascii="Arial Narrow" w:hAnsi="Arial Narrow" w:cs="Calibri"/>
                <w:color w:val="000000"/>
                <w:sz w:val="18"/>
                <w:szCs w:val="18"/>
              </w:rPr>
              <w:t>2</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6</w:t>
            </w:r>
            <w:r>
              <w:rPr>
                <w:rFonts w:ascii="Arial Narrow" w:hAnsi="Arial Narrow" w:cs="Calibri"/>
                <w:color w:val="000000"/>
                <w:sz w:val="18"/>
                <w:szCs w:val="18"/>
              </w:rPr>
              <w:t>,1</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5,3</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5,2</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4,6</w:t>
            </w:r>
          </w:p>
        </w:tc>
        <w:tc>
          <w:tcPr>
            <w:tcW w:w="525"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4,0</w:t>
            </w:r>
          </w:p>
        </w:tc>
        <w:tc>
          <w:tcPr>
            <w:tcW w:w="52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3,5</w:t>
            </w:r>
          </w:p>
        </w:tc>
      </w:tr>
      <w:tr w:rsidR="005A6EF7" w:rsidRPr="001D642A" w:rsidTr="00D331B6">
        <w:trPr>
          <w:trHeight w:val="255"/>
          <w:jc w:val="center"/>
        </w:trPr>
        <w:tc>
          <w:tcPr>
            <w:tcW w:w="3262" w:type="dxa"/>
            <w:vMerge/>
            <w:tcBorders>
              <w:top w:val="nil"/>
              <w:left w:val="nil"/>
              <w:bottom w:val="single" w:sz="4" w:space="0" w:color="000000"/>
              <w:right w:val="nil"/>
            </w:tcBorders>
            <w:vAlign w:val="center"/>
            <w:hideMark/>
          </w:tcPr>
          <w:p w:rsidR="005A6EF7" w:rsidRPr="001D642A" w:rsidRDefault="005A6EF7" w:rsidP="005A6EF7">
            <w:pPr>
              <w:widowControl/>
              <w:overflowPunct/>
              <w:autoSpaceDE/>
              <w:autoSpaceDN/>
              <w:adjustRightInd/>
              <w:spacing w:before="0" w:after="0"/>
              <w:rPr>
                <w:rFonts w:ascii="Arial Narrow" w:hAnsi="Arial Narrow"/>
                <w:color w:val="000000"/>
                <w:kern w:val="0"/>
                <w:sz w:val="18"/>
                <w:szCs w:val="18"/>
              </w:rPr>
            </w:pPr>
          </w:p>
        </w:tc>
        <w:tc>
          <w:tcPr>
            <w:tcW w:w="286" w:type="dxa"/>
            <w:tcBorders>
              <w:top w:val="nil"/>
              <w:left w:val="nil"/>
              <w:bottom w:val="single" w:sz="4" w:space="0" w:color="auto"/>
              <w:right w:val="nil"/>
            </w:tcBorders>
            <w:shd w:val="clear" w:color="000000" w:fill="FFFFFF"/>
            <w:noWrap/>
            <w:vAlign w:val="center"/>
            <w:hideMark/>
          </w:tcPr>
          <w:p w:rsidR="005A6EF7" w:rsidRPr="001D642A" w:rsidRDefault="005A6EF7" w:rsidP="005A6EF7">
            <w:pPr>
              <w:widowControl/>
              <w:overflowPunct/>
              <w:autoSpaceDE/>
              <w:autoSpaceDN/>
              <w:adjustRightInd/>
              <w:spacing w:before="0" w:after="0"/>
              <w:jc w:val="center"/>
              <w:rPr>
                <w:rFonts w:ascii="Arial Narrow" w:hAnsi="Arial Narrow"/>
                <w:b/>
                <w:bCs/>
                <w:color w:val="000000"/>
                <w:kern w:val="0"/>
                <w:sz w:val="17"/>
                <w:szCs w:val="17"/>
              </w:rPr>
            </w:pPr>
            <w:r w:rsidRPr="001D642A">
              <w:rPr>
                <w:rFonts w:ascii="Arial Narrow" w:hAnsi="Arial Narrow"/>
                <w:b/>
                <w:bCs/>
                <w:color w:val="000000"/>
                <w:kern w:val="0"/>
                <w:sz w:val="17"/>
                <w:szCs w:val="17"/>
              </w:rPr>
              <w:t>D</w:t>
            </w:r>
          </w:p>
        </w:tc>
        <w:tc>
          <w:tcPr>
            <w:tcW w:w="500" w:type="dxa"/>
            <w:tcBorders>
              <w:top w:val="nil"/>
              <w:left w:val="nil"/>
              <w:bottom w:val="single" w:sz="4" w:space="0" w:color="auto"/>
              <w:right w:val="nil"/>
            </w:tcBorders>
            <w:shd w:val="clear" w:color="000000" w:fill="FFFFFF"/>
            <w:vAlign w:val="center"/>
          </w:tcPr>
          <w:p w:rsidR="005A6EF7" w:rsidRPr="00E66B46" w:rsidRDefault="005A6EF7" w:rsidP="005A6EF7">
            <w:pPr>
              <w:widowControl/>
              <w:overflowPunct/>
              <w:autoSpaceDE/>
              <w:autoSpaceDN/>
              <w:adjustRightInd/>
              <w:spacing w:before="0" w:after="0"/>
              <w:jc w:val="right"/>
              <w:rPr>
                <w:rFonts w:ascii="Arial Narrow" w:hAnsi="Arial Narrow"/>
                <w:color w:val="000000"/>
                <w:sz w:val="18"/>
                <w:szCs w:val="18"/>
              </w:rPr>
            </w:pPr>
            <w:r w:rsidRPr="00E66B46">
              <w:rPr>
                <w:rFonts w:ascii="Arial Narrow" w:hAnsi="Arial Narrow"/>
                <w:color w:val="000000"/>
                <w:sz w:val="18"/>
                <w:szCs w:val="18"/>
              </w:rPr>
              <w:t>6,6</w:t>
            </w:r>
          </w:p>
        </w:tc>
        <w:tc>
          <w:tcPr>
            <w:tcW w:w="500" w:type="dxa"/>
            <w:tcBorders>
              <w:top w:val="nil"/>
              <w:left w:val="nil"/>
              <w:bottom w:val="single" w:sz="4" w:space="0" w:color="auto"/>
              <w:right w:val="nil"/>
            </w:tcBorders>
            <w:shd w:val="clear" w:color="000000" w:fill="FFFFFF"/>
            <w:vAlign w:val="center"/>
          </w:tcPr>
          <w:p w:rsidR="005A6EF7" w:rsidRPr="00313984" w:rsidRDefault="005A6EF7" w:rsidP="005A6EF7">
            <w:pPr>
              <w:widowControl/>
              <w:overflowPunct/>
              <w:autoSpaceDE/>
              <w:autoSpaceDN/>
              <w:adjustRightInd/>
              <w:spacing w:before="0" w:after="0"/>
              <w:jc w:val="right"/>
              <w:rPr>
                <w:rFonts w:ascii="Arial Narrow" w:hAnsi="Arial Narrow"/>
                <w:color w:val="000000"/>
                <w:sz w:val="18"/>
                <w:szCs w:val="18"/>
              </w:rPr>
            </w:pPr>
            <w:r w:rsidRPr="00313984">
              <w:rPr>
                <w:rFonts w:ascii="Arial Narrow" w:hAnsi="Arial Narrow"/>
                <w:color w:val="000000"/>
                <w:sz w:val="18"/>
                <w:szCs w:val="18"/>
              </w:rPr>
              <w:t>6,</w:t>
            </w:r>
            <w:r>
              <w:rPr>
                <w:rFonts w:ascii="Arial Narrow" w:hAnsi="Arial Narrow"/>
                <w:color w:val="000000"/>
                <w:sz w:val="18"/>
                <w:szCs w:val="18"/>
              </w:rPr>
              <w:t>7</w:t>
            </w:r>
          </w:p>
        </w:tc>
        <w:tc>
          <w:tcPr>
            <w:tcW w:w="500" w:type="dxa"/>
            <w:tcBorders>
              <w:top w:val="nil"/>
              <w:left w:val="nil"/>
              <w:bottom w:val="single" w:sz="4" w:space="0" w:color="auto"/>
              <w:right w:val="nil"/>
            </w:tcBorders>
            <w:shd w:val="clear" w:color="000000" w:fill="FFFFFF"/>
          </w:tcPr>
          <w:p w:rsidR="005A6EF7" w:rsidRPr="00B74CA0" w:rsidRDefault="005A6EF7" w:rsidP="005A6EF7">
            <w:pPr>
              <w:widowControl/>
              <w:overflowPunct/>
              <w:autoSpaceDE/>
              <w:autoSpaceDN/>
              <w:adjustRightInd/>
              <w:spacing w:before="0" w:after="0"/>
              <w:jc w:val="right"/>
              <w:rPr>
                <w:rFonts w:ascii="Arial Narrow" w:hAnsi="Arial Narrow"/>
                <w:color w:val="000000"/>
                <w:sz w:val="18"/>
                <w:szCs w:val="18"/>
              </w:rPr>
            </w:pPr>
            <w:r w:rsidRPr="00B74CA0">
              <w:rPr>
                <w:rFonts w:ascii="Arial Narrow" w:hAnsi="Arial Narrow"/>
                <w:color w:val="000000"/>
                <w:sz w:val="18"/>
                <w:szCs w:val="18"/>
              </w:rPr>
              <w:t>7,0</w:t>
            </w:r>
          </w:p>
        </w:tc>
        <w:tc>
          <w:tcPr>
            <w:tcW w:w="501" w:type="dxa"/>
            <w:tcBorders>
              <w:top w:val="nil"/>
              <w:left w:val="nil"/>
              <w:bottom w:val="single" w:sz="4" w:space="0" w:color="auto"/>
              <w:right w:val="nil"/>
            </w:tcBorders>
            <w:shd w:val="clear" w:color="000000" w:fill="FFFFFF"/>
          </w:tcPr>
          <w:p w:rsidR="005A6EF7" w:rsidRPr="00B74CA0" w:rsidRDefault="005A6EF7" w:rsidP="005A6EF7">
            <w:pPr>
              <w:widowControl/>
              <w:overflowPunct/>
              <w:autoSpaceDE/>
              <w:autoSpaceDN/>
              <w:adjustRightInd/>
              <w:spacing w:before="0" w:after="0"/>
              <w:jc w:val="right"/>
              <w:rPr>
                <w:rFonts w:ascii="Arial Narrow" w:hAnsi="Arial Narrow"/>
                <w:color w:val="000000"/>
                <w:sz w:val="18"/>
                <w:szCs w:val="18"/>
              </w:rPr>
            </w:pPr>
            <w:r>
              <w:rPr>
                <w:rFonts w:ascii="Arial Narrow" w:hAnsi="Arial Narrow"/>
                <w:color w:val="000000"/>
                <w:sz w:val="18"/>
                <w:szCs w:val="18"/>
              </w:rPr>
              <w:t>6,9</w:t>
            </w:r>
          </w:p>
        </w:tc>
        <w:tc>
          <w:tcPr>
            <w:tcW w:w="501" w:type="dxa"/>
            <w:tcBorders>
              <w:top w:val="nil"/>
              <w:left w:val="nil"/>
              <w:bottom w:val="single" w:sz="4" w:space="0" w:color="auto"/>
              <w:right w:val="nil"/>
            </w:tcBorders>
            <w:shd w:val="clear" w:color="000000" w:fill="FFFFFF"/>
            <w:vAlign w:val="center"/>
          </w:tcPr>
          <w:p w:rsidR="005A6EF7" w:rsidRPr="001E018C" w:rsidRDefault="005A6EF7" w:rsidP="005A6EF7">
            <w:pPr>
              <w:widowControl/>
              <w:overflowPunct/>
              <w:autoSpaceDE/>
              <w:autoSpaceDN/>
              <w:adjustRightInd/>
              <w:spacing w:before="0" w:after="0"/>
              <w:jc w:val="right"/>
              <w:rPr>
                <w:rFonts w:ascii="Arial Narrow" w:hAnsi="Arial Narrow"/>
                <w:color w:val="000000"/>
                <w:sz w:val="18"/>
                <w:szCs w:val="18"/>
              </w:rPr>
            </w:pPr>
            <w:r w:rsidRPr="001E018C">
              <w:rPr>
                <w:rFonts w:ascii="Arial Narrow" w:hAnsi="Arial Narrow"/>
                <w:color w:val="000000"/>
                <w:sz w:val="18"/>
                <w:szCs w:val="18"/>
              </w:rPr>
              <w:t>6,7</w:t>
            </w:r>
          </w:p>
        </w:tc>
        <w:tc>
          <w:tcPr>
            <w:tcW w:w="501" w:type="dxa"/>
            <w:tcBorders>
              <w:top w:val="nil"/>
              <w:left w:val="nil"/>
              <w:bottom w:val="single" w:sz="4" w:space="0" w:color="auto"/>
              <w:right w:val="nil"/>
            </w:tcBorders>
            <w:shd w:val="clear" w:color="000000" w:fill="FFFFFF"/>
            <w:vAlign w:val="bottom"/>
          </w:tcPr>
          <w:p w:rsidR="005A6EF7" w:rsidRPr="00CA61DA" w:rsidRDefault="005A6EF7" w:rsidP="005A6EF7">
            <w:pPr>
              <w:widowControl/>
              <w:overflowPunct/>
              <w:autoSpaceDE/>
              <w:autoSpaceDN/>
              <w:adjustRightInd/>
              <w:spacing w:before="0" w:after="0"/>
              <w:jc w:val="right"/>
              <w:rPr>
                <w:rFonts w:ascii="Arial Narrow" w:hAnsi="Arial Narrow"/>
                <w:color w:val="000000"/>
                <w:sz w:val="18"/>
                <w:szCs w:val="18"/>
              </w:rPr>
            </w:pPr>
            <w:r w:rsidRPr="00CA61DA">
              <w:rPr>
                <w:rFonts w:ascii="Arial Narrow" w:hAnsi="Arial Narrow"/>
                <w:color w:val="000000"/>
                <w:sz w:val="18"/>
                <w:szCs w:val="18"/>
              </w:rPr>
              <w:t>6,6</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6</w:t>
            </w:r>
            <w:r>
              <w:rPr>
                <w:rFonts w:ascii="Arial Narrow" w:hAnsi="Arial Narrow" w:cs="Calibri"/>
                <w:color w:val="000000"/>
                <w:sz w:val="18"/>
                <w:szCs w:val="18"/>
              </w:rPr>
              <w:t>,</w:t>
            </w:r>
            <w:r w:rsidRPr="00A00F0F">
              <w:rPr>
                <w:rFonts w:ascii="Arial Narrow" w:hAnsi="Arial Narrow" w:cs="Calibri"/>
                <w:color w:val="000000"/>
                <w:sz w:val="18"/>
                <w:szCs w:val="18"/>
              </w:rPr>
              <w:t>2</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sidRPr="00A00F0F">
              <w:rPr>
                <w:rFonts w:ascii="Arial Narrow" w:hAnsi="Arial Narrow" w:cs="Calibri"/>
                <w:color w:val="000000"/>
                <w:sz w:val="18"/>
                <w:szCs w:val="18"/>
              </w:rPr>
              <w:t>6</w:t>
            </w:r>
            <w:r>
              <w:rPr>
                <w:rFonts w:ascii="Arial Narrow" w:hAnsi="Arial Narrow" w:cs="Calibri"/>
                <w:color w:val="000000"/>
                <w:sz w:val="18"/>
                <w:szCs w:val="18"/>
              </w:rPr>
              <w:t>,0</w:t>
            </w:r>
          </w:p>
        </w:tc>
        <w:tc>
          <w:tcPr>
            <w:tcW w:w="501" w:type="dxa"/>
            <w:tcBorders>
              <w:top w:val="nil"/>
              <w:left w:val="nil"/>
              <w:bottom w:val="single" w:sz="4" w:space="0" w:color="auto"/>
              <w:right w:val="nil"/>
            </w:tcBorders>
            <w:shd w:val="clear" w:color="000000" w:fill="FFFFFF"/>
            <w:vAlign w:val="center"/>
          </w:tcPr>
          <w:p w:rsidR="005A6EF7" w:rsidRPr="00A00F0F"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5,2</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5,1</w:t>
            </w:r>
          </w:p>
        </w:tc>
        <w:tc>
          <w:tcPr>
            <w:tcW w:w="55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4,5</w:t>
            </w:r>
          </w:p>
        </w:tc>
        <w:tc>
          <w:tcPr>
            <w:tcW w:w="525"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3,8</w:t>
            </w:r>
          </w:p>
        </w:tc>
        <w:tc>
          <w:tcPr>
            <w:tcW w:w="522" w:type="dxa"/>
            <w:tcBorders>
              <w:top w:val="nil"/>
              <w:left w:val="nil"/>
              <w:bottom w:val="single" w:sz="4" w:space="0" w:color="auto"/>
              <w:right w:val="nil"/>
            </w:tcBorders>
            <w:shd w:val="clear" w:color="000000" w:fill="FFFFFF"/>
          </w:tcPr>
          <w:p w:rsidR="005A6EF7" w:rsidRDefault="005A6EF7" w:rsidP="005A6EF7">
            <w:pPr>
              <w:spacing w:before="0" w:after="0"/>
              <w:jc w:val="right"/>
              <w:rPr>
                <w:rFonts w:ascii="Arial Narrow" w:hAnsi="Arial Narrow" w:cs="Calibri"/>
                <w:color w:val="000000"/>
                <w:sz w:val="18"/>
                <w:szCs w:val="18"/>
              </w:rPr>
            </w:pPr>
            <w:r>
              <w:rPr>
                <w:rFonts w:ascii="Arial Narrow" w:hAnsi="Arial Narrow" w:cs="Calibri"/>
                <w:color w:val="000000"/>
                <w:sz w:val="18"/>
                <w:szCs w:val="18"/>
              </w:rPr>
              <w:t>3,5</w:t>
            </w:r>
          </w:p>
        </w:tc>
      </w:tr>
    </w:tbl>
    <w:p w:rsidR="00D83451" w:rsidRPr="001D642A" w:rsidRDefault="00D83451" w:rsidP="00D83451">
      <w:pPr>
        <w:spacing w:before="0" w:after="120"/>
        <w:jc w:val="both"/>
        <w:rPr>
          <w:rFonts w:ascii="Arial" w:hAnsi="Arial" w:cs="Arial"/>
        </w:rPr>
      </w:pPr>
    </w:p>
    <w:p w:rsidR="00993224" w:rsidRDefault="00993224" w:rsidP="00D83451">
      <w:pPr>
        <w:widowControl/>
        <w:overflowPunct/>
        <w:spacing w:before="0" w:after="120"/>
        <w:jc w:val="both"/>
        <w:rPr>
          <w:rFonts w:ascii="Arial" w:hAnsi="Arial" w:cs="Arial"/>
        </w:rPr>
      </w:pPr>
    </w:p>
    <w:p w:rsidR="00D83451" w:rsidRDefault="00D83451" w:rsidP="00D83451">
      <w:pPr>
        <w:widowControl/>
        <w:overflowPunct/>
        <w:spacing w:before="0" w:after="120"/>
        <w:jc w:val="both"/>
        <w:rPr>
          <w:rFonts w:ascii="Arial" w:hAnsi="Arial" w:cs="Arial"/>
        </w:rPr>
      </w:pPr>
      <w:r w:rsidRPr="001D642A">
        <w:rPr>
          <w:rFonts w:ascii="Arial" w:hAnsi="Arial" w:cs="Arial"/>
        </w:rPr>
        <w:t xml:space="preserve">La revisione media assoluta (RMA) fornisce una misura dell’ampiezza delle revisioni effettuate nell’arco di un determinato periodo. Nello specifico, la RMA è calcolata come media aritmetica semplice delle differenze, considerate in valore assoluto, tra le variazioni tendenziali delle stime provvisorie e quelle delle stime definitive, con riferimento agli ultimi tredici mesi. Nella Figura 1 sono riportati i valori della RMA per l’indice generale e i principali aggregati speciali IPCA nel periodo </w:t>
      </w:r>
      <w:r w:rsidR="00801DC7">
        <w:rPr>
          <w:rFonts w:ascii="Arial" w:hAnsi="Arial" w:cs="Arial"/>
        </w:rPr>
        <w:t>dic</w:t>
      </w:r>
      <w:r>
        <w:rPr>
          <w:rFonts w:ascii="Arial" w:hAnsi="Arial" w:cs="Arial"/>
        </w:rPr>
        <w:t>embre</w:t>
      </w:r>
      <w:r w:rsidRPr="00BF2D38">
        <w:rPr>
          <w:rFonts w:ascii="Arial" w:hAnsi="Arial" w:cs="Arial"/>
        </w:rPr>
        <w:t xml:space="preserve"> </w:t>
      </w:r>
      <w:r w:rsidRPr="001D642A">
        <w:rPr>
          <w:rFonts w:ascii="Arial" w:hAnsi="Arial" w:cs="Arial"/>
        </w:rPr>
        <w:t>202</w:t>
      </w:r>
      <w:r>
        <w:rPr>
          <w:rFonts w:ascii="Arial" w:hAnsi="Arial" w:cs="Arial"/>
        </w:rPr>
        <w:t>2</w:t>
      </w:r>
      <w:r w:rsidRPr="001D642A">
        <w:rPr>
          <w:rFonts w:ascii="Arial" w:hAnsi="Arial" w:cs="Arial"/>
        </w:rPr>
        <w:t xml:space="preserve"> – </w:t>
      </w:r>
      <w:r w:rsidR="00801DC7">
        <w:rPr>
          <w:rFonts w:ascii="Arial" w:hAnsi="Arial" w:cs="Arial"/>
        </w:rPr>
        <w:t>dic</w:t>
      </w:r>
      <w:r>
        <w:rPr>
          <w:rFonts w:ascii="Arial" w:hAnsi="Arial" w:cs="Arial"/>
        </w:rPr>
        <w:t>embre</w:t>
      </w:r>
      <w:r w:rsidRPr="00BF2D38">
        <w:rPr>
          <w:rFonts w:ascii="Arial" w:hAnsi="Arial" w:cs="Arial"/>
        </w:rPr>
        <w:t xml:space="preserve"> </w:t>
      </w:r>
      <w:r>
        <w:rPr>
          <w:rFonts w:ascii="Arial" w:hAnsi="Arial" w:cs="Arial"/>
        </w:rPr>
        <w:t>2023.</w:t>
      </w:r>
    </w:p>
    <w:p w:rsidR="00D83451" w:rsidRPr="001D642A" w:rsidRDefault="00D83451" w:rsidP="00D83451">
      <w:pPr>
        <w:widowControl/>
        <w:overflowPunct/>
        <w:spacing w:before="0" w:after="120"/>
        <w:jc w:val="both"/>
        <w:rPr>
          <w:rFonts w:ascii="Arial" w:hAnsi="Arial" w:cs="Arial"/>
        </w:rPr>
      </w:pPr>
      <w:r w:rsidRPr="001D642A">
        <w:rPr>
          <w:rFonts w:ascii="Arial" w:hAnsi="Arial" w:cs="Arial"/>
        </w:rPr>
        <w:t>Le RMA più ampie nell’arco di tempo considerato hanno riguardato i tassi di variazione tendenziale dei prezzi degli Alimentari lavorati (0,</w:t>
      </w:r>
      <w:r>
        <w:rPr>
          <w:rFonts w:ascii="Arial" w:hAnsi="Arial" w:cs="Arial"/>
        </w:rPr>
        <w:t>246</w:t>
      </w:r>
      <w:r w:rsidRPr="001D642A">
        <w:rPr>
          <w:rFonts w:ascii="Arial" w:hAnsi="Arial" w:cs="Arial"/>
        </w:rPr>
        <w:t xml:space="preserve"> punti percentuali)</w:t>
      </w:r>
      <w:r>
        <w:rPr>
          <w:rFonts w:ascii="Arial" w:hAnsi="Arial" w:cs="Arial"/>
        </w:rPr>
        <w:t xml:space="preserve"> e degli Alimentari non lavorati (0,162 punti percentuali); a seguire, le RMA </w:t>
      </w:r>
      <w:r w:rsidRPr="001D642A">
        <w:rPr>
          <w:rFonts w:ascii="Arial" w:hAnsi="Arial" w:cs="Arial"/>
        </w:rPr>
        <w:t>dell’Energia</w:t>
      </w:r>
      <w:r w:rsidR="008F1272">
        <w:rPr>
          <w:rFonts w:ascii="Arial" w:hAnsi="Arial" w:cs="Arial"/>
        </w:rPr>
        <w:t xml:space="preserve"> e</w:t>
      </w:r>
      <w:r>
        <w:rPr>
          <w:rFonts w:ascii="Arial" w:hAnsi="Arial" w:cs="Arial"/>
        </w:rPr>
        <w:t xml:space="preserve"> </w:t>
      </w:r>
      <w:r w:rsidRPr="001D642A">
        <w:rPr>
          <w:rFonts w:ascii="Arial" w:hAnsi="Arial" w:cs="Arial"/>
        </w:rPr>
        <w:t>dei Beni industriali non energetici (0,</w:t>
      </w:r>
      <w:r>
        <w:rPr>
          <w:rFonts w:ascii="Arial" w:hAnsi="Arial" w:cs="Arial"/>
        </w:rPr>
        <w:t>123</w:t>
      </w:r>
      <w:r w:rsidRPr="001D642A">
        <w:rPr>
          <w:rFonts w:ascii="Arial" w:hAnsi="Arial" w:cs="Arial"/>
        </w:rPr>
        <w:t xml:space="preserve"> punti percentuali</w:t>
      </w:r>
      <w:r w:rsidR="008F1272">
        <w:rPr>
          <w:rFonts w:ascii="Arial" w:hAnsi="Arial" w:cs="Arial"/>
        </w:rPr>
        <w:t xml:space="preserve"> entrambi gli aggregati speciali</w:t>
      </w:r>
      <w:r w:rsidRPr="001D642A">
        <w:rPr>
          <w:rFonts w:ascii="Arial" w:hAnsi="Arial" w:cs="Arial"/>
        </w:rPr>
        <w:t>)</w:t>
      </w:r>
      <w:r>
        <w:rPr>
          <w:rFonts w:ascii="Arial" w:hAnsi="Arial" w:cs="Arial"/>
        </w:rPr>
        <w:t xml:space="preserve"> e, infine, quelle dei Servizi (0,023 punti percentuali)</w:t>
      </w:r>
      <w:r w:rsidRPr="001D642A">
        <w:rPr>
          <w:rFonts w:ascii="Arial" w:hAnsi="Arial" w:cs="Arial"/>
        </w:rPr>
        <w:t>.</w:t>
      </w:r>
      <w:r w:rsidRPr="002C6993">
        <w:rPr>
          <w:rFonts w:ascii="Arial" w:hAnsi="Arial" w:cs="Arial"/>
        </w:rPr>
        <w:t xml:space="preserve"> </w:t>
      </w:r>
    </w:p>
    <w:p w:rsidR="00D83451" w:rsidRPr="001D642A" w:rsidRDefault="00D83451" w:rsidP="00D83451">
      <w:pPr>
        <w:widowControl/>
        <w:overflowPunct/>
        <w:spacing w:before="0" w:after="120"/>
        <w:jc w:val="both"/>
        <w:rPr>
          <w:rFonts w:ascii="Arial" w:hAnsi="Arial" w:cs="Arial"/>
          <w:kern w:val="0"/>
        </w:rPr>
      </w:pPr>
      <w:r w:rsidRPr="001D642A">
        <w:rPr>
          <w:rFonts w:ascii="Arial" w:hAnsi="Arial" w:cs="Arial"/>
          <w:kern w:val="0"/>
        </w:rPr>
        <w:t xml:space="preserve">Per ulteriori informazioni relative alle revisioni degli indicatori congiunturali, consultare la </w:t>
      </w:r>
      <w:hyperlink r:id="rId50" w:history="1">
        <w:r w:rsidRPr="001D642A">
          <w:rPr>
            <w:rStyle w:val="Collegamentoipertestuale"/>
            <w:rFonts w:ascii="Arial" w:hAnsi="Arial" w:cs="Arial"/>
            <w:kern w:val="0"/>
          </w:rPr>
          <w:t>sezione dedicata</w:t>
        </w:r>
      </w:hyperlink>
      <w:r w:rsidRPr="001D642A">
        <w:rPr>
          <w:rFonts w:ascii="Arial" w:hAnsi="Arial" w:cs="Arial"/>
          <w:kern w:val="0"/>
        </w:rPr>
        <w:t>.</w:t>
      </w:r>
    </w:p>
    <w:p w:rsidR="00D83451" w:rsidRPr="001D642A" w:rsidRDefault="00D83451" w:rsidP="00D83451">
      <w:pPr>
        <w:spacing w:before="0" w:after="120"/>
        <w:jc w:val="both"/>
        <w:rPr>
          <w:rFonts w:ascii="Arial" w:hAnsi="Arial" w:cs="Arial"/>
        </w:rPr>
      </w:pPr>
    </w:p>
    <w:p w:rsidR="00D83451" w:rsidRPr="00E95D57" w:rsidRDefault="00D83451" w:rsidP="00D83451">
      <w:pPr>
        <w:pStyle w:val="001TitoGra"/>
        <w:rPr>
          <w:b w:val="0"/>
          <w:sz w:val="20"/>
          <w:szCs w:val="20"/>
        </w:rPr>
      </w:pPr>
      <w:r w:rsidRPr="001D642A">
        <w:rPr>
          <w:rStyle w:val="001TitoGraRed"/>
        </w:rPr>
        <w:t>FIGURA 1.</w:t>
      </w:r>
      <w:r w:rsidRPr="001D642A">
        <w:t xml:space="preserve"> REVISIONE MEDIA ASSOLUTA DELLE STIME PRELIMINARI DEI TASSI TENDENZIALI DEGLI INDICI IPCA</w:t>
      </w:r>
      <w:r w:rsidRPr="00C8504B">
        <w:rPr>
          <w:b w:val="0"/>
        </w:rPr>
        <w:br/>
      </w:r>
      <w:r w:rsidR="005D0D82">
        <w:rPr>
          <w:b w:val="0"/>
          <w:sz w:val="20"/>
          <w:szCs w:val="20"/>
        </w:rPr>
        <w:t>Dic</w:t>
      </w:r>
      <w:r>
        <w:rPr>
          <w:b w:val="0"/>
          <w:sz w:val="20"/>
          <w:szCs w:val="20"/>
        </w:rPr>
        <w:t>embre</w:t>
      </w:r>
      <w:r w:rsidRPr="00646A01">
        <w:rPr>
          <w:b w:val="0"/>
          <w:sz w:val="20"/>
          <w:szCs w:val="20"/>
        </w:rPr>
        <w:t xml:space="preserve"> </w:t>
      </w:r>
      <w:r w:rsidRPr="00E95D57">
        <w:rPr>
          <w:b w:val="0"/>
          <w:sz w:val="20"/>
          <w:szCs w:val="20"/>
        </w:rPr>
        <w:t xml:space="preserve">2022 – </w:t>
      </w:r>
      <w:r w:rsidR="005D0D82">
        <w:rPr>
          <w:b w:val="0"/>
          <w:sz w:val="20"/>
          <w:szCs w:val="20"/>
        </w:rPr>
        <w:t>dic</w:t>
      </w:r>
      <w:r>
        <w:rPr>
          <w:b w:val="0"/>
          <w:sz w:val="20"/>
          <w:szCs w:val="20"/>
        </w:rPr>
        <w:t>embre</w:t>
      </w:r>
      <w:r w:rsidRPr="00646A01">
        <w:rPr>
          <w:b w:val="0"/>
          <w:sz w:val="20"/>
          <w:szCs w:val="20"/>
        </w:rPr>
        <w:t xml:space="preserve"> </w:t>
      </w:r>
      <w:r w:rsidRPr="00E95D57">
        <w:rPr>
          <w:b w:val="0"/>
          <w:sz w:val="20"/>
          <w:szCs w:val="20"/>
        </w:rPr>
        <w:t>2023, punti percentuali</w:t>
      </w:r>
    </w:p>
    <w:p w:rsidR="00D83451" w:rsidRDefault="005D0D82" w:rsidP="00D83451">
      <w:pPr>
        <w:spacing w:before="0" w:after="120"/>
        <w:jc w:val="both"/>
        <w:rPr>
          <w:rFonts w:ascii="Arial" w:hAnsi="Arial" w:cs="Arial"/>
          <w:b/>
          <w:sz w:val="22"/>
          <w:szCs w:val="22"/>
        </w:rPr>
      </w:pPr>
      <w:r>
        <w:rPr>
          <w:rFonts w:ascii="Arial" w:hAnsi="Arial" w:cs="Arial"/>
          <w:b/>
          <w:noProof/>
          <w:sz w:val="22"/>
          <w:szCs w:val="22"/>
        </w:rPr>
        <w:drawing>
          <wp:inline distT="0" distB="0" distL="0" distR="0" wp14:anchorId="35B45AF3">
            <wp:extent cx="6657340" cy="215836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57340" cy="2158365"/>
                    </a:xfrm>
                    <a:prstGeom prst="rect">
                      <a:avLst/>
                    </a:prstGeom>
                    <a:noFill/>
                  </pic:spPr>
                </pic:pic>
              </a:graphicData>
            </a:graphic>
          </wp:inline>
        </w:drawing>
      </w:r>
    </w:p>
    <w:p w:rsidR="00D83451" w:rsidRDefault="00D83451" w:rsidP="00D83451">
      <w:pPr>
        <w:spacing w:before="0" w:after="120"/>
        <w:jc w:val="both"/>
        <w:rPr>
          <w:rFonts w:ascii="Arial" w:hAnsi="Arial" w:cs="Arial"/>
          <w:b/>
          <w:sz w:val="22"/>
          <w:szCs w:val="22"/>
        </w:rPr>
      </w:pPr>
    </w:p>
    <w:p w:rsidR="009C1925" w:rsidRPr="008C620D" w:rsidRDefault="009C1925" w:rsidP="009C1925">
      <w:pPr>
        <w:spacing w:before="0" w:after="120"/>
        <w:jc w:val="both"/>
        <w:rPr>
          <w:rFonts w:ascii="Arial" w:hAnsi="Arial" w:cs="Arial"/>
          <w:b/>
          <w:sz w:val="22"/>
          <w:szCs w:val="22"/>
        </w:rPr>
      </w:pPr>
      <w:r w:rsidRPr="008C620D">
        <w:rPr>
          <w:rFonts w:ascii="Arial" w:hAnsi="Arial" w:cs="Arial"/>
          <w:b/>
          <w:sz w:val="22"/>
          <w:szCs w:val="22"/>
        </w:rPr>
        <w:t>Gli indici dei prezzi al consumo per classi di spesa delle famiglie</w:t>
      </w:r>
    </w:p>
    <w:p w:rsidR="009C1925" w:rsidRDefault="009C1925" w:rsidP="009C1925">
      <w:pPr>
        <w:widowControl/>
        <w:overflowPunct/>
        <w:autoSpaceDE/>
        <w:autoSpaceDN/>
        <w:adjustRightInd/>
        <w:spacing w:before="0" w:after="80"/>
        <w:jc w:val="both"/>
        <w:rPr>
          <w:rFonts w:ascii="Arial" w:hAnsi="Arial" w:cs="Arial"/>
          <w:color w:val="000000"/>
          <w:kern w:val="0"/>
        </w:rPr>
      </w:pPr>
      <w:r w:rsidRPr="00370C00">
        <w:rPr>
          <w:rFonts w:ascii="Arial" w:hAnsi="Arial" w:cs="Arial"/>
          <w:color w:val="000000"/>
          <w:kern w:val="0"/>
        </w:rPr>
        <w:t>Gli indici dei prezzi al consumo per classi di spesa delle famiglie sono indici “satellite” dell’indice armonizzato dei prezzi al consumo (IPCA) e offrono una misura dell’impatto differenziato dell’inflazione sulle famiglie distinte in base ai livelli di spesa per consumi finali. Detti indici vengono calcolati utilizzando la stessa base informativa usata per l’IPCA, ossia lo stesso paniere e lo stesso set di indici elementari di prezzo, modificando la struttura dei pesi utilizzata per la loro sintesi.</w:t>
      </w:r>
    </w:p>
    <w:p w:rsidR="009C1925" w:rsidRDefault="009C1925" w:rsidP="009C1925">
      <w:pPr>
        <w:widowControl/>
        <w:overflowPunct/>
        <w:autoSpaceDE/>
        <w:autoSpaceDN/>
        <w:adjustRightInd/>
        <w:spacing w:before="0" w:after="80"/>
        <w:jc w:val="both"/>
        <w:rPr>
          <w:rFonts w:ascii="Arial" w:hAnsi="Arial" w:cs="Arial"/>
          <w:color w:val="000000"/>
          <w:kern w:val="0"/>
        </w:rPr>
      </w:pPr>
    </w:p>
    <w:p w:rsidR="009C1925" w:rsidRPr="005E554C" w:rsidRDefault="009C1925" w:rsidP="009C1925">
      <w:pPr>
        <w:pStyle w:val="Rientrocorpodeltesto"/>
        <w:spacing w:before="0"/>
        <w:ind w:left="0" w:hanging="1"/>
        <w:rPr>
          <w:rFonts w:ascii="Arial" w:hAnsi="Arial" w:cs="Arial"/>
          <w:b/>
          <w:bCs/>
          <w:szCs w:val="22"/>
        </w:rPr>
      </w:pPr>
      <w:r w:rsidRPr="005E554C">
        <w:rPr>
          <w:rFonts w:ascii="Arial" w:hAnsi="Arial" w:cs="Arial"/>
          <w:b/>
          <w:bCs/>
          <w:szCs w:val="22"/>
        </w:rPr>
        <w:t>L’articolazione delle famiglie per classi di spesa</w:t>
      </w:r>
    </w:p>
    <w:p w:rsidR="009C1925" w:rsidRPr="00370C00" w:rsidRDefault="009C1925" w:rsidP="009C1925">
      <w:pPr>
        <w:widowControl/>
        <w:overflowPunct/>
        <w:autoSpaceDE/>
        <w:autoSpaceDN/>
        <w:adjustRightInd/>
        <w:spacing w:before="0" w:after="80"/>
        <w:jc w:val="both"/>
        <w:rPr>
          <w:rFonts w:ascii="Arial" w:hAnsi="Arial" w:cs="Arial"/>
          <w:color w:val="000000"/>
          <w:kern w:val="0"/>
        </w:rPr>
      </w:pPr>
      <w:r w:rsidRPr="00370C00">
        <w:rPr>
          <w:rFonts w:ascii="Arial" w:hAnsi="Arial" w:cs="Arial"/>
          <w:color w:val="000000"/>
          <w:kern w:val="0"/>
        </w:rPr>
        <w:t xml:space="preserve">Gli indici dei prezzi al consumo calcolati dall’Istat misurano le variazioni nel tempo dei prezzi di un ampio insieme di beni e servizi, rappresentativo dei consumi finali dell’intera popolazione. </w:t>
      </w:r>
    </w:p>
    <w:p w:rsidR="009C1925" w:rsidRPr="00370C00" w:rsidRDefault="009C1925" w:rsidP="009C1925">
      <w:pPr>
        <w:widowControl/>
        <w:overflowPunct/>
        <w:autoSpaceDE/>
        <w:autoSpaceDN/>
        <w:adjustRightInd/>
        <w:spacing w:before="0" w:after="80"/>
        <w:jc w:val="both"/>
        <w:rPr>
          <w:rFonts w:ascii="Arial" w:hAnsi="Arial" w:cs="Arial"/>
          <w:color w:val="000000"/>
          <w:kern w:val="0"/>
        </w:rPr>
      </w:pPr>
      <w:r w:rsidRPr="00370C00">
        <w:rPr>
          <w:rFonts w:ascii="Arial" w:hAnsi="Arial" w:cs="Arial"/>
          <w:color w:val="000000"/>
          <w:kern w:val="0"/>
        </w:rPr>
        <w:t>Allo scopo di valutare gli effetti differenziati dell’inflazione sulle famiglie distinte in base ai livelli di spesa per consumi finali, tutte le famiglie sono state ordinate in base alla loro spesa equivalente (cioè tale da tenere conto della numerosità di ciascun nucleo e permettere confronti diretti fra i livelli di spesa di famiglie di ampiezza diversa) e suddivise poi in cinque classi (quinti) di pari numero di famiglie. Fra le cinque sottopopolazioni così individuate, corrispondenti ai diversi quinti della distribuzione delle spese delle famiglie, nel primo quinto sono presenti le famiglie con la spesa mensile più bassa (e dunque verosimilmente meno abbienti) e nell’ultimo quinto quelle con la spesa mensile più alta (e quindi verosimilmente, in questo caso, con maggiori possibilità economiche).</w:t>
      </w:r>
    </w:p>
    <w:p w:rsidR="009C1925" w:rsidRPr="00370C00" w:rsidRDefault="009C1925" w:rsidP="009C1925">
      <w:pPr>
        <w:widowControl/>
        <w:overflowPunct/>
        <w:autoSpaceDE/>
        <w:autoSpaceDN/>
        <w:adjustRightInd/>
        <w:spacing w:before="0" w:after="80"/>
        <w:jc w:val="both"/>
        <w:rPr>
          <w:rFonts w:ascii="Arial" w:hAnsi="Arial" w:cs="Arial"/>
          <w:color w:val="000000"/>
          <w:kern w:val="0"/>
        </w:rPr>
      </w:pPr>
      <w:r w:rsidRPr="00370C00">
        <w:rPr>
          <w:rFonts w:ascii="Arial" w:hAnsi="Arial" w:cs="Arial"/>
          <w:color w:val="000000"/>
          <w:kern w:val="0"/>
        </w:rPr>
        <w:t xml:space="preserve">Per ciascuna delle sottopopolazioni, sulla base del raccordo tra i dati dell’indagine sulle Spese per consumi delle famiglie e il paniere dei prodotti utilizzato per il calcolo dell’indice armonizzato dei prezzi al consumo, sono state stimate differenti strutture di ponderazione, che riflettono l’importanza relativa delle varie voci di spesa nel bilancio di ciascun gruppo. Il sistema dei pesi per le famiglie delle diverse classi è ricostruito a partire dall’anno 2005. </w:t>
      </w:r>
    </w:p>
    <w:p w:rsidR="009C1925" w:rsidRDefault="009C1925" w:rsidP="009C1925">
      <w:pPr>
        <w:widowControl/>
        <w:overflowPunct/>
        <w:autoSpaceDE/>
        <w:autoSpaceDN/>
        <w:adjustRightInd/>
        <w:spacing w:before="0" w:after="80"/>
        <w:jc w:val="both"/>
        <w:rPr>
          <w:rFonts w:ascii="Arial" w:hAnsi="Arial" w:cs="Arial"/>
          <w:color w:val="000000"/>
          <w:kern w:val="0"/>
        </w:rPr>
      </w:pPr>
      <w:r w:rsidRPr="00370C00">
        <w:rPr>
          <w:rFonts w:ascii="Arial" w:hAnsi="Arial" w:cs="Arial"/>
          <w:color w:val="000000"/>
          <w:kern w:val="0"/>
        </w:rPr>
        <w:t>Le strutture di ponderazione, così ottenute, sono state infine utilizzate per l’elaborazione degli indici dei prezzi al consumo per classi di spesa, con particolare riferimento, oltre all’indice generale, agli indici per aggregati speciali (beni, servizi e relative ulteriori disaggregazioni).</w:t>
      </w:r>
    </w:p>
    <w:p w:rsidR="009C1925" w:rsidRDefault="009C1925" w:rsidP="009C1925">
      <w:pPr>
        <w:widowControl/>
        <w:overflowPunct/>
        <w:autoSpaceDE/>
        <w:autoSpaceDN/>
        <w:adjustRightInd/>
        <w:spacing w:before="0" w:after="80"/>
        <w:jc w:val="both"/>
        <w:rPr>
          <w:rFonts w:ascii="Arial" w:hAnsi="Arial" w:cs="Arial"/>
          <w:color w:val="000000"/>
          <w:kern w:val="0"/>
        </w:rPr>
      </w:pPr>
    </w:p>
    <w:p w:rsidR="00993224" w:rsidRPr="008D55C5" w:rsidRDefault="00993224" w:rsidP="009C1925">
      <w:pPr>
        <w:widowControl/>
        <w:overflowPunct/>
        <w:autoSpaceDE/>
        <w:autoSpaceDN/>
        <w:adjustRightInd/>
        <w:spacing w:before="0" w:after="80"/>
        <w:jc w:val="both"/>
        <w:rPr>
          <w:rFonts w:ascii="Arial" w:hAnsi="Arial" w:cs="Arial"/>
          <w:color w:val="000000"/>
          <w:kern w:val="0"/>
        </w:rPr>
      </w:pPr>
    </w:p>
    <w:p w:rsidR="009C1925" w:rsidRPr="005E554C" w:rsidRDefault="009C1925" w:rsidP="009C1925">
      <w:pPr>
        <w:pStyle w:val="Rientrocorpodeltesto"/>
        <w:spacing w:before="0"/>
        <w:ind w:left="0" w:hanging="1"/>
        <w:rPr>
          <w:rFonts w:ascii="Arial" w:hAnsi="Arial" w:cs="Arial"/>
          <w:b/>
          <w:bCs/>
          <w:szCs w:val="22"/>
        </w:rPr>
      </w:pPr>
      <w:r w:rsidRPr="005E554C">
        <w:rPr>
          <w:rFonts w:ascii="Arial" w:hAnsi="Arial" w:cs="Arial"/>
          <w:b/>
          <w:bCs/>
          <w:szCs w:val="22"/>
        </w:rPr>
        <w:t>Le strutture di ponderazione degli indici per sottopopolazione</w:t>
      </w:r>
    </w:p>
    <w:p w:rsidR="009C1925" w:rsidRPr="00370C00" w:rsidRDefault="009C1925" w:rsidP="009C1925">
      <w:pPr>
        <w:widowControl/>
        <w:overflowPunct/>
        <w:spacing w:before="0" w:after="120"/>
        <w:jc w:val="both"/>
        <w:rPr>
          <w:rFonts w:ascii="Arial" w:hAnsi="Arial" w:cs="Arial"/>
        </w:rPr>
      </w:pPr>
      <w:r w:rsidRPr="00370C00">
        <w:rPr>
          <w:rFonts w:ascii="Arial" w:hAnsi="Arial" w:cs="Arial"/>
        </w:rPr>
        <w:t xml:space="preserve">La stima dei sistemi di ponderazione degli indici delle cinque sottopopolazioni considerate si basa sui dati dell’indagine sulla Spesa per consumi delle famiglie (per il 2023 sono stati utilizzati i dati relativi al 2022 analogamente a quanto fatto per il sistema di ponderazione riferito all’intera popolazione). I pesi relativi a singoli aggregati di prodotto o loro aggregazioni vengono stimati per ciascuna sottopopolazione, modificando il peso che essi hanno nell’indice armonizzato, in funzione della quota di spesa che le famiglie della sottopopolazione destinano all’acquisto dei prodotti classificati in tali aggregati, rispetto al totale delle famiglie. A questo scopo è stato necessario definire un raccordo tra i dati dell’indagine Spesa per consumi delle famiglie e il paniere dei prodotti utilizzato per il calcolo dell’indice armonizzato dei prezzi al consumo. </w:t>
      </w:r>
    </w:p>
    <w:p w:rsidR="009C1925" w:rsidRPr="00370C00" w:rsidRDefault="009C1925" w:rsidP="009C1925">
      <w:pPr>
        <w:widowControl/>
        <w:overflowPunct/>
        <w:spacing w:before="0" w:after="120"/>
        <w:jc w:val="both"/>
        <w:rPr>
          <w:rFonts w:ascii="Arial" w:hAnsi="Arial" w:cs="Arial"/>
        </w:rPr>
      </w:pPr>
      <w:r w:rsidRPr="00370C00">
        <w:rPr>
          <w:rFonts w:ascii="Arial" w:hAnsi="Arial" w:cs="Arial"/>
        </w:rPr>
        <w:t xml:space="preserve">Per il 2023, i 427 aggregati di prodotto che compongono il paniere per l’IPCA sono stati raccordati con le spese provenienti dall’indagine sulle Spese per consumi delle famiglie secondo diversi livelli di classificazione. Le spese sono state accorpate in 135 raggruppamenti distinti per sottopopolazione, poi raccordati con gli aggregati di prodotto dell’IPCA, escludendo, coerentemente con quanto avviene per calcolo dei pesi dell’indice IPCA per l’intera popolazione, quelli al di fuori del dominio di riferimento dell’IPCA (es. spese relative ai fitti figurativi, rendite vitalizie, spese non effettuate sul territorio nazionale, spese per ristrutturazioni). Il raccordo tra le voci di spesa dell’indagine sulle Spese per consumi delle famiglie e gli aggregati di prodotto dell’IPCA, che sono il livello più dettagliato della classificazione per il quale viene calcolato un peso, in alcuni casi è risultato relativamente agevole (ad esempio per i beni alimentari). In altri casi è stato necessario effettuare il raccordo ad un livello di maggiore aggregazione dei dati di spesa (ad esempio per i beni durevoli, l’assistenza, l’istruzione) al fine di salvaguardare la significatività delle stime relative ai consumi di ciascuna sottopopolazione. </w:t>
      </w:r>
    </w:p>
    <w:p w:rsidR="009C1925" w:rsidRPr="00370C00" w:rsidRDefault="009C1925" w:rsidP="009C1925">
      <w:pPr>
        <w:widowControl/>
        <w:overflowPunct/>
        <w:spacing w:before="0" w:after="120"/>
        <w:jc w:val="both"/>
        <w:rPr>
          <w:rFonts w:ascii="Arial" w:hAnsi="Arial" w:cs="Arial"/>
        </w:rPr>
      </w:pPr>
      <w:r w:rsidRPr="00370C00">
        <w:rPr>
          <w:rFonts w:ascii="Arial" w:hAnsi="Arial" w:cs="Arial"/>
        </w:rPr>
        <w:t xml:space="preserve">Le strutture di ponderazione per classi di spesa così ottenute vengono aggiornate annualmente e sono utilizzate per l’elaborazione degli indici dei prezzi al consumo per classi di spesa, con particolare riferimento, oltre all’indice generale, agli indici per aggregati speciali (Beni, Servizi e relative ulteriori disaggregazioni). </w:t>
      </w:r>
    </w:p>
    <w:p w:rsidR="009C1925" w:rsidRPr="00370C00" w:rsidRDefault="009C1925" w:rsidP="009C1925">
      <w:pPr>
        <w:widowControl/>
        <w:overflowPunct/>
        <w:spacing w:before="0" w:after="120"/>
        <w:jc w:val="both"/>
        <w:rPr>
          <w:rFonts w:ascii="Arial" w:hAnsi="Arial" w:cs="Arial"/>
        </w:rPr>
      </w:pPr>
      <w:r w:rsidRPr="00370C00">
        <w:rPr>
          <w:rFonts w:ascii="Arial" w:hAnsi="Arial" w:cs="Arial"/>
        </w:rPr>
        <w:t xml:space="preserve">Gli indici dei prezzi al consumo per classi di spesa delle famiglie sono stati calcolati a partire da gennaio 2005, con base di riferimento 2015=100 coerentemente all’indice IPCA. </w:t>
      </w:r>
    </w:p>
    <w:p w:rsidR="009C1925" w:rsidRDefault="009C1925" w:rsidP="009C1925">
      <w:pPr>
        <w:widowControl/>
        <w:overflowPunct/>
        <w:spacing w:before="0" w:after="120"/>
        <w:jc w:val="both"/>
        <w:rPr>
          <w:rFonts w:ascii="Arial" w:hAnsi="Arial" w:cs="Arial"/>
        </w:rPr>
      </w:pPr>
      <w:r w:rsidRPr="00370C00">
        <w:rPr>
          <w:rFonts w:ascii="Arial" w:hAnsi="Arial" w:cs="Arial"/>
        </w:rPr>
        <w:t>Con riferimento agli aggregati speciali, l’esame delle strutture di ponderazione relative all’anno 2023 mette in luce, analogamente agli anni precedenti, alcune importanti differenze nella composizione della spesa (Figura 2). In primo luogo, l’incidenza sul bilancio familiare della spesa per l’acquisto degli Alimentari (inclusi i tabacchi), dei beni appartenenti all’aggregato Energia e dei Servizi relativi all’abitazione cresce in misura sensibile al decrescere della spesa complessiva.</w:t>
      </w:r>
    </w:p>
    <w:p w:rsidR="009C1925" w:rsidRPr="008D55C5" w:rsidRDefault="009C1925" w:rsidP="009C1925">
      <w:pPr>
        <w:widowControl/>
        <w:overflowPunct/>
        <w:spacing w:before="0" w:after="120"/>
        <w:jc w:val="both"/>
        <w:rPr>
          <w:rFonts w:ascii="Arial" w:hAnsi="Arial" w:cs="Arial"/>
          <w:color w:val="000000"/>
          <w:kern w:val="0"/>
        </w:rPr>
      </w:pPr>
    </w:p>
    <w:p w:rsidR="009C1925" w:rsidRDefault="009C1925" w:rsidP="009C1925">
      <w:pPr>
        <w:widowControl/>
        <w:overflowPunct/>
        <w:spacing w:before="0" w:after="0"/>
        <w:ind w:right="171"/>
        <w:jc w:val="both"/>
        <w:rPr>
          <w:rFonts w:ascii="Arial Narrow" w:hAnsi="Arial Narrow" w:cs="Arial"/>
          <w:b/>
          <w:color w:val="5F5F5F"/>
          <w:sz w:val="22"/>
          <w:szCs w:val="22"/>
        </w:rPr>
      </w:pPr>
      <w:r w:rsidRPr="001434E1">
        <w:rPr>
          <w:rStyle w:val="001TitoGraRed"/>
          <w:rFonts w:ascii="Arial Narrow" w:hAnsi="Arial Narrow"/>
          <w:b/>
          <w:sz w:val="22"/>
          <w:szCs w:val="22"/>
        </w:rPr>
        <w:t>FIGURA 2.</w:t>
      </w:r>
      <w:r w:rsidRPr="001434E1">
        <w:rPr>
          <w:rFonts w:ascii="Arial" w:hAnsi="Arial" w:cs="Arial"/>
          <w:color w:val="000000"/>
          <w:kern w:val="0"/>
        </w:rPr>
        <w:t xml:space="preserve"> </w:t>
      </w:r>
      <w:r w:rsidRPr="001434E1">
        <w:rPr>
          <w:rFonts w:ascii="Arial Narrow" w:hAnsi="Arial Narrow" w:cs="Arial"/>
          <w:b/>
          <w:color w:val="5F5F5F"/>
          <w:sz w:val="22"/>
          <w:szCs w:val="22"/>
        </w:rPr>
        <w:t>STRUTTURE DEI PESI DEGLI AGGREGATI SPECIALI, PER CLASSI DI SPESA</w:t>
      </w:r>
    </w:p>
    <w:p w:rsidR="009C1925" w:rsidRDefault="009C1925" w:rsidP="009C1925">
      <w:pPr>
        <w:widowControl/>
        <w:overflowPunct/>
        <w:spacing w:before="0" w:after="0"/>
        <w:ind w:right="171"/>
        <w:jc w:val="both"/>
        <w:rPr>
          <w:rFonts w:ascii="Arial Narrow" w:hAnsi="Arial Narrow" w:cs="Arial"/>
          <w:color w:val="5F5F5F"/>
        </w:rPr>
      </w:pPr>
      <w:r w:rsidRPr="00DB0265">
        <w:rPr>
          <w:rFonts w:ascii="Arial Narrow" w:hAnsi="Arial Narrow" w:cs="Arial"/>
          <w:color w:val="5F5F5F"/>
        </w:rPr>
        <w:t>Anno 202</w:t>
      </w:r>
      <w:r>
        <w:rPr>
          <w:rFonts w:ascii="Arial Narrow" w:hAnsi="Arial Narrow" w:cs="Arial"/>
          <w:color w:val="5F5F5F"/>
        </w:rPr>
        <w:t>3</w:t>
      </w:r>
      <w:r w:rsidRPr="00DB0265">
        <w:rPr>
          <w:rFonts w:ascii="Arial Narrow" w:hAnsi="Arial Narrow" w:cs="Arial"/>
          <w:color w:val="5F5F5F"/>
        </w:rPr>
        <w:t>,</w:t>
      </w:r>
      <w:r w:rsidRPr="00FA7F43">
        <w:rPr>
          <w:rFonts w:ascii="Arial Narrow" w:hAnsi="Arial Narrow" w:cs="Arial"/>
          <w:color w:val="5F5F5F"/>
        </w:rPr>
        <w:t xml:space="preserve"> valori percentuali</w:t>
      </w:r>
      <w:r>
        <w:rPr>
          <w:rFonts w:ascii="Arial Narrow" w:hAnsi="Arial Narrow" w:cs="Arial"/>
          <w:color w:val="5F5F5F"/>
        </w:rPr>
        <w:t xml:space="preserve"> </w:t>
      </w:r>
    </w:p>
    <w:p w:rsidR="009C1925" w:rsidRDefault="009C1925" w:rsidP="009C1925">
      <w:pPr>
        <w:widowControl/>
        <w:overflowPunct/>
        <w:spacing w:before="0" w:after="0"/>
        <w:ind w:right="171"/>
        <w:jc w:val="both"/>
        <w:rPr>
          <w:rFonts w:ascii="Arial Narrow" w:hAnsi="Arial Narrow" w:cs="Arial"/>
          <w:color w:val="5F5F5F"/>
        </w:rPr>
      </w:pPr>
      <w:r>
        <w:rPr>
          <w:rFonts w:ascii="Arial Narrow" w:hAnsi="Arial Narrow" w:cs="Arial"/>
          <w:noProof/>
          <w:color w:val="5F5F5F"/>
        </w:rPr>
        <w:drawing>
          <wp:inline distT="0" distB="0" distL="0" distR="0" wp14:anchorId="2EC2C2C4" wp14:editId="00B6B465">
            <wp:extent cx="6674400" cy="2160000"/>
            <wp:effectExtent l="0" t="0" r="0" b="0"/>
            <wp:docPr id="15" name="Immagin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74400" cy="2160000"/>
                    </a:xfrm>
                    <a:prstGeom prst="rect">
                      <a:avLst/>
                    </a:prstGeom>
                    <a:noFill/>
                  </pic:spPr>
                </pic:pic>
              </a:graphicData>
            </a:graphic>
          </wp:inline>
        </w:drawing>
      </w:r>
    </w:p>
    <w:p w:rsidR="009C1925" w:rsidRDefault="009C1925" w:rsidP="009C1925">
      <w:pPr>
        <w:widowControl/>
        <w:overflowPunct/>
        <w:spacing w:before="0" w:after="120"/>
        <w:ind w:right="-1"/>
        <w:jc w:val="both"/>
        <w:rPr>
          <w:rFonts w:ascii="Arial" w:hAnsi="Arial" w:cs="Arial"/>
          <w:color w:val="000000"/>
          <w:kern w:val="0"/>
        </w:rPr>
      </w:pPr>
    </w:p>
    <w:p w:rsidR="009C1925" w:rsidRDefault="009C1925" w:rsidP="009C1925">
      <w:pPr>
        <w:jc w:val="both"/>
        <w:rPr>
          <w:rFonts w:ascii="Arial" w:hAnsi="Arial" w:cs="Arial"/>
          <w:color w:val="000000"/>
          <w:kern w:val="0"/>
        </w:rPr>
      </w:pPr>
      <w:r w:rsidRPr="00370C00">
        <w:rPr>
          <w:rFonts w:ascii="Arial" w:hAnsi="Arial" w:cs="Arial"/>
          <w:color w:val="000000"/>
          <w:kern w:val="0"/>
        </w:rPr>
        <w:t xml:space="preserve">In particolare, per le famiglie del primo gruppo della distribuzione, il peso di queste tre componenti risulta ben al di sopra del valore relativo all’intera popolazione ed è circa il doppio di quello che si riferisce all’ultimo gruppo. Un andamento analogo, anche se molto meno marcato, si registra per il peso dei Servizi relativi alle comunicazioni che diminuisce all’aumentare della spesa totale. Al contrario, la spesa per i Beni industriali non energetici, per i Servizi ricreativi, culturali e per la cura della persona, per i Servizi relativi ai trasporti e per i Servizi vari incide sul bilancio familiare in modo crescente all’aumentare della spesa totale. Sono caratteristiche e andamenti noti da tempo alla teoria economica e confermati nell’evidenza statistica prodotta dall’Istat. </w:t>
      </w:r>
    </w:p>
    <w:p w:rsidR="009C1925" w:rsidRDefault="009C1925" w:rsidP="009C1925">
      <w:pPr>
        <w:jc w:val="both"/>
        <w:rPr>
          <w:rFonts w:ascii="Arial" w:hAnsi="Arial" w:cs="Arial"/>
          <w:color w:val="000000"/>
          <w:kern w:val="0"/>
        </w:rPr>
      </w:pPr>
    </w:p>
    <w:p w:rsidR="009C1925" w:rsidRDefault="009C1925" w:rsidP="009C1925">
      <w:pPr>
        <w:widowControl/>
        <w:overflowPunct/>
        <w:spacing w:before="0" w:after="120"/>
        <w:ind w:right="-1"/>
        <w:jc w:val="both"/>
        <w:rPr>
          <w:rFonts w:ascii="Arial" w:hAnsi="Arial" w:cs="Arial"/>
          <w:color w:val="000000"/>
          <w:kern w:val="0"/>
        </w:rPr>
      </w:pPr>
      <w:r w:rsidRPr="00370C00">
        <w:rPr>
          <w:rFonts w:ascii="Arial" w:hAnsi="Arial" w:cs="Arial"/>
          <w:color w:val="000000"/>
          <w:kern w:val="0"/>
        </w:rPr>
        <w:t>Le modifiche delle strutture di ponderazione elaborate per il 2023 risultano in linea con quelle del sistema dei pesi dell’IPCA riferito all’insieme della popolazione mostrando, però, rispetto al 2022, un aumento dell’incidenza relativa dei Beni rispetto ai Servizi per il gruppo di famiglie con minori capacità di spesa (Prospetto 3). Questa dinamica, già in atto dal 2022, è da ascrivere principalmente all’incremento delle spese per l’aggregato Energia, che ha riguardato sia le spese per l’Energia elettrica e il Gas di città, sia quelle per i carburanti per mezzi di trasporto, che hanno avuto un maggiore impatto sul bilancio delle famiglie meno abbienti. Il marcato aumento delle spese per l’Energia ha avuto un impatto, seppure più contenuto, anche sulle famiglie del quinto gruppo per le quali si registra un lieve aumento del peso dei Beni e una corrispondente riduzione del peso dei Servizi. Per questo raggruppamento l’incremento del peso dei Servizi ricreativi, culturali e per la cura della persona, cui tali famiglie sono solite destinare una quota maggiore del loro bilancio rispetto alle famiglie del primo gruppo, non è compensato dalla riduzione del peso dei Servizi relativi all’abitazione e dei Servizi vari.</w:t>
      </w:r>
    </w:p>
    <w:p w:rsidR="009C1925" w:rsidRDefault="009C1925" w:rsidP="009C1925">
      <w:pPr>
        <w:spacing w:before="0" w:after="120"/>
        <w:ind w:right="-1"/>
        <w:jc w:val="both"/>
        <w:rPr>
          <w:rFonts w:ascii="Arial Narrow" w:hAnsi="Arial Narrow" w:cs="Arial"/>
          <w:b/>
          <w:color w:val="E42618"/>
          <w:kern w:val="0"/>
          <w:sz w:val="22"/>
          <w:szCs w:val="22"/>
        </w:rPr>
      </w:pPr>
    </w:p>
    <w:p w:rsidR="009C1925" w:rsidRDefault="009C1925" w:rsidP="009C1925">
      <w:pPr>
        <w:spacing w:before="0" w:after="120"/>
        <w:ind w:right="-1"/>
        <w:jc w:val="both"/>
        <w:rPr>
          <w:rFonts w:ascii="Arial Narrow" w:hAnsi="Arial Narrow" w:cs="Arial"/>
          <w:color w:val="5F5F5F"/>
        </w:rPr>
      </w:pPr>
      <w:r>
        <w:rPr>
          <w:rFonts w:ascii="Arial Narrow" w:hAnsi="Arial Narrow" w:cs="Arial"/>
          <w:b/>
          <w:color w:val="E42618"/>
          <w:kern w:val="0"/>
          <w:sz w:val="22"/>
          <w:szCs w:val="22"/>
        </w:rPr>
        <w:t>PROSPETTO 3</w:t>
      </w:r>
      <w:r w:rsidRPr="007A604B">
        <w:rPr>
          <w:rFonts w:ascii="Arial Narrow" w:hAnsi="Arial Narrow" w:cs="Arial"/>
          <w:b/>
          <w:color w:val="E42618"/>
          <w:kern w:val="0"/>
          <w:sz w:val="22"/>
          <w:szCs w:val="22"/>
        </w:rPr>
        <w:t>.</w:t>
      </w:r>
      <w:r>
        <w:rPr>
          <w:rFonts w:ascii="Arial Narrow" w:hAnsi="Arial Narrow" w:cs="Arial"/>
          <w:b/>
          <w:color w:val="5F5F5F"/>
        </w:rPr>
        <w:t xml:space="preserve"> </w:t>
      </w:r>
      <w:r>
        <w:rPr>
          <w:rFonts w:ascii="Arial Narrow" w:hAnsi="Arial Narrow" w:cs="Calibri"/>
          <w:b/>
          <w:bCs/>
          <w:color w:val="5F5F5F"/>
          <w:kern w:val="0"/>
          <w:sz w:val="22"/>
          <w:szCs w:val="22"/>
        </w:rPr>
        <w:t>STRUTTURE DI PONDERAZIONE D</w:t>
      </w:r>
      <w:r w:rsidRPr="007A604B">
        <w:rPr>
          <w:rFonts w:ascii="Arial Narrow" w:hAnsi="Arial Narrow" w:cs="Calibri"/>
          <w:b/>
          <w:bCs/>
          <w:color w:val="5F5F5F"/>
          <w:kern w:val="0"/>
          <w:sz w:val="22"/>
          <w:szCs w:val="22"/>
        </w:rPr>
        <w:t>EGLI INDICI IPCA,</w:t>
      </w:r>
      <w:r>
        <w:rPr>
          <w:rFonts w:ascii="Arial Narrow" w:hAnsi="Arial Narrow" w:cs="Calibri"/>
          <w:b/>
          <w:bCs/>
          <w:color w:val="5F5F5F"/>
          <w:kern w:val="0"/>
          <w:sz w:val="22"/>
          <w:szCs w:val="22"/>
        </w:rPr>
        <w:t xml:space="preserve"> PER AGGREGATI SPECIALI</w:t>
      </w:r>
      <w:r w:rsidRPr="007A604B">
        <w:rPr>
          <w:rFonts w:ascii="Arial Narrow" w:hAnsi="Arial Narrow" w:cs="Calibri"/>
          <w:b/>
          <w:bCs/>
          <w:color w:val="5F5F5F"/>
          <w:kern w:val="0"/>
          <w:sz w:val="22"/>
          <w:szCs w:val="22"/>
        </w:rPr>
        <w:t xml:space="preserve"> PER CLASSI DI SPESA</w:t>
      </w:r>
      <w:r>
        <w:rPr>
          <w:rFonts w:ascii="Arial Narrow" w:hAnsi="Arial Narrow" w:cs="Arial"/>
          <w:b/>
          <w:caps/>
          <w:color w:val="5F5F5F"/>
        </w:rPr>
        <w:t xml:space="preserve"> </w:t>
      </w:r>
      <w:r>
        <w:rPr>
          <w:rFonts w:ascii="Arial Narrow" w:hAnsi="Arial Narrow" w:cs="Arial"/>
          <w:color w:val="5F5F5F"/>
        </w:rPr>
        <w:t>Anni 2022 e 2023</w:t>
      </w:r>
      <w:r w:rsidRPr="00DB0265">
        <w:rPr>
          <w:rFonts w:ascii="Arial Narrow" w:hAnsi="Arial Narrow" w:cs="Arial"/>
          <w:color w:val="5F5F5F"/>
        </w:rPr>
        <w:t>, valori percentuali e differenze assolute</w:t>
      </w:r>
    </w:p>
    <w:tbl>
      <w:tblPr>
        <w:tblW w:w="10540" w:type="dxa"/>
        <w:tblCellMar>
          <w:left w:w="70" w:type="dxa"/>
          <w:right w:w="70" w:type="dxa"/>
        </w:tblCellMar>
        <w:tblLook w:val="04A0" w:firstRow="1" w:lastRow="0" w:firstColumn="1" w:lastColumn="0" w:noHBand="0" w:noVBand="1"/>
      </w:tblPr>
      <w:tblGrid>
        <w:gridCol w:w="2440"/>
        <w:gridCol w:w="852"/>
        <w:gridCol w:w="852"/>
        <w:gridCol w:w="860"/>
        <w:gridCol w:w="182"/>
        <w:gridCol w:w="853"/>
        <w:gridCol w:w="853"/>
        <w:gridCol w:w="880"/>
        <w:gridCol w:w="182"/>
        <w:gridCol w:w="853"/>
        <w:gridCol w:w="853"/>
        <w:gridCol w:w="880"/>
      </w:tblGrid>
      <w:tr w:rsidR="009C1925" w:rsidRPr="00F22705" w:rsidTr="00F54307">
        <w:trPr>
          <w:trHeight w:val="540"/>
        </w:trPr>
        <w:tc>
          <w:tcPr>
            <w:tcW w:w="2440" w:type="dxa"/>
            <w:vMerge w:val="restart"/>
            <w:tcBorders>
              <w:top w:val="single" w:sz="4" w:space="0" w:color="auto"/>
              <w:left w:val="nil"/>
              <w:bottom w:val="single" w:sz="4" w:space="0" w:color="808080"/>
              <w:right w:val="nil"/>
            </w:tcBorders>
            <w:shd w:val="clear" w:color="000000" w:fill="FFFFFF"/>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kern w:val="0"/>
                <w:sz w:val="18"/>
                <w:szCs w:val="18"/>
              </w:rPr>
            </w:pPr>
            <w:r w:rsidRPr="00F22705">
              <w:rPr>
                <w:rFonts w:ascii="Arial Narrow" w:hAnsi="Arial Narrow" w:cs="Calibri"/>
                <w:b/>
                <w:bCs/>
                <w:kern w:val="0"/>
                <w:sz w:val="18"/>
                <w:szCs w:val="18"/>
              </w:rPr>
              <w:t>AGGREGATI SPECIALI</w:t>
            </w:r>
          </w:p>
        </w:tc>
        <w:tc>
          <w:tcPr>
            <w:tcW w:w="880" w:type="dxa"/>
            <w:tcBorders>
              <w:top w:val="single" w:sz="4" w:space="0" w:color="auto"/>
              <w:left w:val="nil"/>
              <w:bottom w:val="nil"/>
              <w:right w:val="nil"/>
            </w:tcBorders>
            <w:shd w:val="clear" w:color="000000" w:fill="FFFFFF"/>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kern w:val="0"/>
                <w:sz w:val="18"/>
                <w:szCs w:val="18"/>
              </w:rPr>
            </w:pPr>
            <w:r w:rsidRPr="00F22705">
              <w:rPr>
                <w:rFonts w:ascii="Arial Narrow" w:hAnsi="Arial Narrow" w:cs="Calibri"/>
                <w:b/>
                <w:bCs/>
                <w:kern w:val="0"/>
                <w:sz w:val="18"/>
                <w:szCs w:val="18"/>
              </w:rPr>
              <w:t>Anno 2022</w:t>
            </w:r>
          </w:p>
        </w:tc>
        <w:tc>
          <w:tcPr>
            <w:tcW w:w="880" w:type="dxa"/>
            <w:tcBorders>
              <w:top w:val="single" w:sz="4" w:space="0" w:color="auto"/>
              <w:left w:val="nil"/>
              <w:bottom w:val="nil"/>
              <w:right w:val="nil"/>
            </w:tcBorders>
            <w:shd w:val="clear" w:color="000000" w:fill="FFFFFF"/>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kern w:val="0"/>
                <w:sz w:val="18"/>
                <w:szCs w:val="18"/>
              </w:rPr>
            </w:pPr>
            <w:r w:rsidRPr="00F22705">
              <w:rPr>
                <w:rFonts w:ascii="Arial Narrow" w:hAnsi="Arial Narrow" w:cs="Calibri"/>
                <w:b/>
                <w:bCs/>
                <w:kern w:val="0"/>
                <w:sz w:val="18"/>
                <w:szCs w:val="18"/>
              </w:rPr>
              <w:t>Anno 2023</w:t>
            </w:r>
          </w:p>
        </w:tc>
        <w:tc>
          <w:tcPr>
            <w:tcW w:w="860" w:type="dxa"/>
            <w:tcBorders>
              <w:top w:val="single" w:sz="4" w:space="0" w:color="auto"/>
              <w:left w:val="nil"/>
              <w:bottom w:val="nil"/>
              <w:right w:val="nil"/>
            </w:tcBorders>
            <w:shd w:val="clear" w:color="000000" w:fill="D9D9D9"/>
            <w:vAlign w:val="center"/>
            <w:hideMark/>
          </w:tcPr>
          <w:p w:rsidR="009C1925" w:rsidRPr="00F22705" w:rsidRDefault="009C1925" w:rsidP="00F54307">
            <w:pPr>
              <w:widowControl/>
              <w:overflowPunct/>
              <w:autoSpaceDE/>
              <w:autoSpaceDN/>
              <w:adjustRightInd/>
              <w:spacing w:before="0" w:after="0"/>
              <w:rPr>
                <w:rFonts w:ascii="Arial Narrow" w:hAnsi="Arial Narrow" w:cs="Calibri"/>
                <w:b/>
                <w:bCs/>
                <w:kern w:val="0"/>
                <w:sz w:val="18"/>
                <w:szCs w:val="18"/>
              </w:rPr>
            </w:pPr>
            <w:r w:rsidRPr="00F22705">
              <w:rPr>
                <w:rFonts w:ascii="Arial Narrow" w:hAnsi="Arial Narrow" w:cs="Calibri"/>
                <w:b/>
                <w:bCs/>
                <w:kern w:val="0"/>
                <w:sz w:val="18"/>
                <w:szCs w:val="18"/>
              </w:rPr>
              <w:t>Differenza assoluta</w:t>
            </w:r>
          </w:p>
        </w:tc>
        <w:tc>
          <w:tcPr>
            <w:tcW w:w="100" w:type="dxa"/>
            <w:tcBorders>
              <w:top w:val="dashed" w:sz="4" w:space="0" w:color="auto"/>
              <w:left w:val="nil"/>
              <w:bottom w:val="nil"/>
              <w:right w:val="nil"/>
            </w:tcBorders>
            <w:shd w:val="clear" w:color="000000" w:fill="FFFFFF"/>
            <w:vAlign w:val="bottom"/>
            <w:hideMark/>
          </w:tcPr>
          <w:p w:rsidR="009C1925" w:rsidRPr="00F22705" w:rsidRDefault="009C1925" w:rsidP="00F54307">
            <w:pPr>
              <w:widowControl/>
              <w:overflowPunct/>
              <w:autoSpaceDE/>
              <w:autoSpaceDN/>
              <w:adjustRightInd/>
              <w:spacing w:before="0" w:after="0"/>
              <w:jc w:val="right"/>
              <w:rPr>
                <w:rFonts w:ascii="Arial Narrow" w:hAnsi="Arial Narrow" w:cs="Calibri"/>
                <w:b/>
                <w:bCs/>
                <w:kern w:val="0"/>
                <w:sz w:val="18"/>
                <w:szCs w:val="18"/>
              </w:rPr>
            </w:pPr>
            <w:r w:rsidRPr="00F22705">
              <w:rPr>
                <w:rFonts w:ascii="Arial Narrow" w:hAnsi="Arial Narrow" w:cs="Calibri"/>
                <w:b/>
                <w:bCs/>
                <w:kern w:val="0"/>
                <w:sz w:val="18"/>
                <w:szCs w:val="18"/>
              </w:rPr>
              <w:t> </w:t>
            </w:r>
          </w:p>
        </w:tc>
        <w:tc>
          <w:tcPr>
            <w:tcW w:w="880" w:type="dxa"/>
            <w:tcBorders>
              <w:top w:val="single" w:sz="4" w:space="0" w:color="auto"/>
              <w:left w:val="nil"/>
              <w:bottom w:val="nil"/>
              <w:right w:val="nil"/>
            </w:tcBorders>
            <w:shd w:val="clear" w:color="000000" w:fill="FFFFFF"/>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kern w:val="0"/>
                <w:sz w:val="18"/>
                <w:szCs w:val="18"/>
              </w:rPr>
            </w:pPr>
            <w:r w:rsidRPr="00F22705">
              <w:rPr>
                <w:rFonts w:ascii="Arial Narrow" w:hAnsi="Arial Narrow" w:cs="Calibri"/>
                <w:b/>
                <w:bCs/>
                <w:kern w:val="0"/>
                <w:sz w:val="18"/>
                <w:szCs w:val="18"/>
              </w:rPr>
              <w:t>Anno 2022</w:t>
            </w:r>
          </w:p>
        </w:tc>
        <w:tc>
          <w:tcPr>
            <w:tcW w:w="880" w:type="dxa"/>
            <w:tcBorders>
              <w:top w:val="single" w:sz="4" w:space="0" w:color="auto"/>
              <w:left w:val="nil"/>
              <w:bottom w:val="nil"/>
              <w:right w:val="nil"/>
            </w:tcBorders>
            <w:shd w:val="clear" w:color="000000" w:fill="FFFFFF"/>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kern w:val="0"/>
                <w:sz w:val="18"/>
                <w:szCs w:val="18"/>
              </w:rPr>
            </w:pPr>
            <w:r w:rsidRPr="00F22705">
              <w:rPr>
                <w:rFonts w:ascii="Arial Narrow" w:hAnsi="Arial Narrow" w:cs="Calibri"/>
                <w:b/>
                <w:bCs/>
                <w:kern w:val="0"/>
                <w:sz w:val="18"/>
                <w:szCs w:val="18"/>
              </w:rPr>
              <w:t>Anno 2023</w:t>
            </w:r>
          </w:p>
        </w:tc>
        <w:tc>
          <w:tcPr>
            <w:tcW w:w="880" w:type="dxa"/>
            <w:tcBorders>
              <w:top w:val="single" w:sz="4" w:space="0" w:color="auto"/>
              <w:left w:val="nil"/>
              <w:bottom w:val="single" w:sz="4" w:space="0" w:color="auto"/>
              <w:right w:val="nil"/>
            </w:tcBorders>
            <w:shd w:val="clear" w:color="000000" w:fill="D9D9D9"/>
            <w:vAlign w:val="center"/>
            <w:hideMark/>
          </w:tcPr>
          <w:p w:rsidR="009C1925" w:rsidRPr="00F22705" w:rsidRDefault="009C1925" w:rsidP="00F54307">
            <w:pPr>
              <w:widowControl/>
              <w:overflowPunct/>
              <w:autoSpaceDE/>
              <w:autoSpaceDN/>
              <w:adjustRightInd/>
              <w:spacing w:before="0" w:after="0"/>
              <w:rPr>
                <w:rFonts w:ascii="Arial Narrow" w:hAnsi="Arial Narrow" w:cs="Calibri"/>
                <w:b/>
                <w:bCs/>
                <w:kern w:val="0"/>
                <w:sz w:val="18"/>
                <w:szCs w:val="18"/>
              </w:rPr>
            </w:pPr>
            <w:r w:rsidRPr="00F22705">
              <w:rPr>
                <w:rFonts w:ascii="Arial Narrow" w:hAnsi="Arial Narrow" w:cs="Calibri"/>
                <w:b/>
                <w:bCs/>
                <w:kern w:val="0"/>
                <w:sz w:val="18"/>
                <w:szCs w:val="18"/>
              </w:rPr>
              <w:t>Differenza assoluta</w:t>
            </w:r>
          </w:p>
        </w:tc>
        <w:tc>
          <w:tcPr>
            <w:tcW w:w="100" w:type="dxa"/>
            <w:tcBorders>
              <w:top w:val="nil"/>
              <w:left w:val="nil"/>
              <w:bottom w:val="nil"/>
              <w:right w:val="nil"/>
            </w:tcBorders>
            <w:shd w:val="clear" w:color="000000" w:fill="FFFFFF"/>
            <w:vAlign w:val="bottom"/>
            <w:hideMark/>
          </w:tcPr>
          <w:p w:rsidR="009C1925" w:rsidRPr="00F22705" w:rsidRDefault="009C1925" w:rsidP="00F54307">
            <w:pPr>
              <w:widowControl/>
              <w:overflowPunct/>
              <w:autoSpaceDE/>
              <w:autoSpaceDN/>
              <w:adjustRightInd/>
              <w:spacing w:before="0" w:after="0"/>
              <w:jc w:val="right"/>
              <w:rPr>
                <w:rFonts w:ascii="Arial Narrow" w:hAnsi="Arial Narrow" w:cs="Calibri"/>
                <w:b/>
                <w:bCs/>
                <w:kern w:val="0"/>
                <w:sz w:val="18"/>
                <w:szCs w:val="18"/>
              </w:rPr>
            </w:pPr>
            <w:r w:rsidRPr="00F22705">
              <w:rPr>
                <w:rFonts w:ascii="Arial Narrow" w:hAnsi="Arial Narrow" w:cs="Calibri"/>
                <w:b/>
                <w:bCs/>
                <w:kern w:val="0"/>
                <w:sz w:val="18"/>
                <w:szCs w:val="18"/>
              </w:rPr>
              <w:t> </w:t>
            </w:r>
          </w:p>
        </w:tc>
        <w:tc>
          <w:tcPr>
            <w:tcW w:w="880" w:type="dxa"/>
            <w:tcBorders>
              <w:top w:val="single" w:sz="4" w:space="0" w:color="auto"/>
              <w:left w:val="nil"/>
              <w:bottom w:val="nil"/>
              <w:right w:val="nil"/>
            </w:tcBorders>
            <w:shd w:val="clear" w:color="000000" w:fill="FFFFFF"/>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kern w:val="0"/>
                <w:sz w:val="18"/>
                <w:szCs w:val="18"/>
              </w:rPr>
            </w:pPr>
            <w:r w:rsidRPr="00F22705">
              <w:rPr>
                <w:rFonts w:ascii="Arial Narrow" w:hAnsi="Arial Narrow" w:cs="Calibri"/>
                <w:b/>
                <w:bCs/>
                <w:kern w:val="0"/>
                <w:sz w:val="18"/>
                <w:szCs w:val="18"/>
              </w:rPr>
              <w:t>Anno 2022</w:t>
            </w:r>
          </w:p>
        </w:tc>
        <w:tc>
          <w:tcPr>
            <w:tcW w:w="880" w:type="dxa"/>
            <w:tcBorders>
              <w:top w:val="single" w:sz="4" w:space="0" w:color="auto"/>
              <w:left w:val="nil"/>
              <w:bottom w:val="nil"/>
              <w:right w:val="nil"/>
            </w:tcBorders>
            <w:shd w:val="clear" w:color="000000" w:fill="FFFFFF"/>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kern w:val="0"/>
                <w:sz w:val="18"/>
                <w:szCs w:val="18"/>
              </w:rPr>
            </w:pPr>
            <w:r w:rsidRPr="00F22705">
              <w:rPr>
                <w:rFonts w:ascii="Arial Narrow" w:hAnsi="Arial Narrow" w:cs="Calibri"/>
                <w:b/>
                <w:bCs/>
                <w:kern w:val="0"/>
                <w:sz w:val="18"/>
                <w:szCs w:val="18"/>
              </w:rPr>
              <w:t>Anno 2023</w:t>
            </w:r>
          </w:p>
        </w:tc>
        <w:tc>
          <w:tcPr>
            <w:tcW w:w="880" w:type="dxa"/>
            <w:tcBorders>
              <w:top w:val="single" w:sz="4" w:space="0" w:color="auto"/>
              <w:left w:val="nil"/>
              <w:bottom w:val="single" w:sz="4" w:space="0" w:color="auto"/>
              <w:right w:val="nil"/>
            </w:tcBorders>
            <w:shd w:val="clear" w:color="000000" w:fill="D9D9D9"/>
            <w:vAlign w:val="center"/>
            <w:hideMark/>
          </w:tcPr>
          <w:p w:rsidR="009C1925" w:rsidRPr="00F22705" w:rsidRDefault="009C1925" w:rsidP="00F54307">
            <w:pPr>
              <w:widowControl/>
              <w:overflowPunct/>
              <w:autoSpaceDE/>
              <w:autoSpaceDN/>
              <w:adjustRightInd/>
              <w:spacing w:before="0" w:after="0"/>
              <w:rPr>
                <w:rFonts w:ascii="Arial Narrow" w:hAnsi="Arial Narrow" w:cs="Calibri"/>
                <w:b/>
                <w:bCs/>
                <w:kern w:val="0"/>
                <w:sz w:val="18"/>
                <w:szCs w:val="18"/>
              </w:rPr>
            </w:pPr>
            <w:r w:rsidRPr="00F22705">
              <w:rPr>
                <w:rFonts w:ascii="Arial Narrow" w:hAnsi="Arial Narrow" w:cs="Calibri"/>
                <w:b/>
                <w:bCs/>
                <w:kern w:val="0"/>
                <w:sz w:val="18"/>
                <w:szCs w:val="18"/>
              </w:rPr>
              <w:t>Differenza assoluta</w:t>
            </w:r>
          </w:p>
        </w:tc>
      </w:tr>
      <w:tr w:rsidR="009C1925" w:rsidRPr="00F22705" w:rsidTr="00F54307">
        <w:trPr>
          <w:trHeight w:val="270"/>
        </w:trPr>
        <w:tc>
          <w:tcPr>
            <w:tcW w:w="2440" w:type="dxa"/>
            <w:vMerge/>
            <w:tcBorders>
              <w:top w:val="single" w:sz="4" w:space="0" w:color="auto"/>
              <w:left w:val="nil"/>
              <w:bottom w:val="single" w:sz="4" w:space="0" w:color="808080"/>
              <w:right w:val="nil"/>
            </w:tcBorders>
            <w:vAlign w:val="center"/>
            <w:hideMark/>
          </w:tcPr>
          <w:p w:rsidR="009C1925" w:rsidRPr="00F22705" w:rsidRDefault="009C1925" w:rsidP="00F54307">
            <w:pPr>
              <w:widowControl/>
              <w:overflowPunct/>
              <w:autoSpaceDE/>
              <w:autoSpaceDN/>
              <w:adjustRightInd/>
              <w:spacing w:before="0" w:after="0"/>
              <w:rPr>
                <w:rFonts w:ascii="Arial Narrow" w:hAnsi="Arial Narrow" w:cs="Calibri"/>
                <w:b/>
                <w:bCs/>
                <w:kern w:val="0"/>
                <w:sz w:val="18"/>
                <w:szCs w:val="18"/>
              </w:rPr>
            </w:pPr>
          </w:p>
        </w:tc>
        <w:tc>
          <w:tcPr>
            <w:tcW w:w="2620" w:type="dxa"/>
            <w:gridSpan w:val="3"/>
            <w:tcBorders>
              <w:top w:val="single" w:sz="4" w:space="0" w:color="auto"/>
              <w:left w:val="nil"/>
              <w:bottom w:val="nil"/>
              <w:right w:val="nil"/>
            </w:tcBorders>
            <w:shd w:val="clear" w:color="000000" w:fill="FFFFFF"/>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kern w:val="0"/>
                <w:sz w:val="18"/>
                <w:szCs w:val="18"/>
              </w:rPr>
            </w:pPr>
            <w:r w:rsidRPr="00F22705">
              <w:rPr>
                <w:rFonts w:ascii="Arial Narrow" w:hAnsi="Arial Narrow" w:cs="Calibri"/>
                <w:b/>
                <w:bCs/>
                <w:kern w:val="0"/>
                <w:sz w:val="18"/>
                <w:szCs w:val="18"/>
              </w:rPr>
              <w:t>1° gruppo</w:t>
            </w:r>
          </w:p>
        </w:tc>
        <w:tc>
          <w:tcPr>
            <w:tcW w:w="100" w:type="dxa"/>
            <w:tcBorders>
              <w:top w:val="nil"/>
              <w:left w:val="nil"/>
              <w:bottom w:val="nil"/>
              <w:right w:val="nil"/>
            </w:tcBorders>
            <w:shd w:val="clear" w:color="000000" w:fill="FFFFFF"/>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kern w:val="0"/>
                <w:sz w:val="18"/>
                <w:szCs w:val="18"/>
              </w:rPr>
            </w:pPr>
            <w:r w:rsidRPr="00F22705">
              <w:rPr>
                <w:rFonts w:ascii="Arial Narrow" w:hAnsi="Arial Narrow" w:cs="Calibri"/>
                <w:b/>
                <w:bCs/>
                <w:kern w:val="0"/>
                <w:sz w:val="18"/>
                <w:szCs w:val="18"/>
              </w:rPr>
              <w:t> </w:t>
            </w:r>
          </w:p>
        </w:tc>
        <w:tc>
          <w:tcPr>
            <w:tcW w:w="2640" w:type="dxa"/>
            <w:gridSpan w:val="3"/>
            <w:tcBorders>
              <w:top w:val="single" w:sz="4" w:space="0" w:color="auto"/>
              <w:left w:val="nil"/>
              <w:bottom w:val="nil"/>
              <w:right w:val="nil"/>
            </w:tcBorders>
            <w:shd w:val="clear" w:color="000000" w:fill="FFFFFF"/>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kern w:val="0"/>
                <w:sz w:val="18"/>
                <w:szCs w:val="18"/>
              </w:rPr>
            </w:pPr>
            <w:r w:rsidRPr="00F22705">
              <w:rPr>
                <w:rFonts w:ascii="Arial Narrow" w:hAnsi="Arial Narrow" w:cs="Calibri"/>
                <w:b/>
                <w:bCs/>
                <w:kern w:val="0"/>
                <w:sz w:val="18"/>
                <w:szCs w:val="18"/>
              </w:rPr>
              <w:t>2° gruppo</w:t>
            </w:r>
          </w:p>
        </w:tc>
        <w:tc>
          <w:tcPr>
            <w:tcW w:w="100" w:type="dxa"/>
            <w:tcBorders>
              <w:top w:val="nil"/>
              <w:left w:val="nil"/>
              <w:bottom w:val="nil"/>
              <w:right w:val="nil"/>
            </w:tcBorders>
            <w:shd w:val="clear" w:color="000000" w:fill="FFFFFF"/>
            <w:noWrap/>
            <w:vAlign w:val="bottom"/>
            <w:hideMark/>
          </w:tcPr>
          <w:p w:rsidR="009C1925" w:rsidRPr="00F22705" w:rsidRDefault="009C1925" w:rsidP="00F54307">
            <w:pPr>
              <w:widowControl/>
              <w:overflowPunct/>
              <w:autoSpaceDE/>
              <w:autoSpaceDN/>
              <w:adjustRightInd/>
              <w:spacing w:before="0" w:after="0"/>
              <w:rPr>
                <w:rFonts w:ascii="Arial Narrow" w:hAnsi="Arial Narrow" w:cs="Calibri"/>
                <w:kern w:val="0"/>
                <w:sz w:val="18"/>
                <w:szCs w:val="18"/>
              </w:rPr>
            </w:pPr>
            <w:r w:rsidRPr="00F22705">
              <w:rPr>
                <w:rFonts w:ascii="Arial Narrow" w:hAnsi="Arial Narrow" w:cs="Calibri"/>
                <w:kern w:val="0"/>
                <w:sz w:val="18"/>
                <w:szCs w:val="18"/>
              </w:rPr>
              <w:t> </w:t>
            </w:r>
          </w:p>
        </w:tc>
        <w:tc>
          <w:tcPr>
            <w:tcW w:w="2640" w:type="dxa"/>
            <w:gridSpan w:val="3"/>
            <w:tcBorders>
              <w:top w:val="single" w:sz="4" w:space="0" w:color="auto"/>
              <w:left w:val="nil"/>
              <w:bottom w:val="nil"/>
              <w:right w:val="nil"/>
            </w:tcBorders>
            <w:shd w:val="clear" w:color="000000" w:fill="FFFFFF"/>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kern w:val="0"/>
                <w:sz w:val="18"/>
                <w:szCs w:val="18"/>
              </w:rPr>
            </w:pPr>
            <w:r w:rsidRPr="00F22705">
              <w:rPr>
                <w:rFonts w:ascii="Arial Narrow" w:hAnsi="Arial Narrow" w:cs="Calibri"/>
                <w:b/>
                <w:bCs/>
                <w:kern w:val="0"/>
                <w:sz w:val="18"/>
                <w:szCs w:val="18"/>
              </w:rPr>
              <w:t>3° gruppo</w:t>
            </w:r>
          </w:p>
        </w:tc>
      </w:tr>
      <w:tr w:rsidR="009C1925" w:rsidRPr="00F22705" w:rsidTr="00F54307">
        <w:trPr>
          <w:trHeight w:val="270"/>
        </w:trPr>
        <w:tc>
          <w:tcPr>
            <w:tcW w:w="244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Beni, di cui:</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66.4375</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66.9427</w:t>
            </w:r>
          </w:p>
        </w:tc>
        <w:tc>
          <w:tcPr>
            <w:tcW w:w="860" w:type="dxa"/>
            <w:tcBorders>
              <w:top w:val="nil"/>
              <w:left w:val="nil"/>
              <w:bottom w:val="single" w:sz="4" w:space="0" w:color="808080"/>
              <w:right w:val="nil"/>
            </w:tcBorders>
            <w:shd w:val="clear" w:color="000000" w:fill="808080"/>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0.5052</w:t>
            </w:r>
          </w:p>
        </w:tc>
        <w:tc>
          <w:tcPr>
            <w:tcW w:w="100" w:type="dxa"/>
            <w:tcBorders>
              <w:top w:val="nil"/>
              <w:left w:val="nil"/>
              <w:bottom w:val="nil"/>
              <w:right w:val="nil"/>
            </w:tcBorders>
            <w:shd w:val="clear" w:color="000000" w:fill="808080"/>
            <w:noWrap/>
            <w:vAlign w:val="bottom"/>
            <w:hideMark/>
          </w:tcPr>
          <w:p w:rsidR="009C1925" w:rsidRPr="00F22705" w:rsidRDefault="009C1925" w:rsidP="00F54307">
            <w:pPr>
              <w:widowControl/>
              <w:overflowPunct/>
              <w:autoSpaceDE/>
              <w:autoSpaceDN/>
              <w:adjustRightInd/>
              <w:spacing w:before="0" w:after="0"/>
              <w:jc w:val="right"/>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 </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65.6021</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65.5008</w:t>
            </w:r>
          </w:p>
        </w:tc>
        <w:tc>
          <w:tcPr>
            <w:tcW w:w="880" w:type="dxa"/>
            <w:tcBorders>
              <w:top w:val="nil"/>
              <w:left w:val="nil"/>
              <w:bottom w:val="single" w:sz="4" w:space="0" w:color="808080"/>
              <w:right w:val="nil"/>
            </w:tcBorders>
            <w:shd w:val="clear" w:color="000000" w:fill="808080"/>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-0.1013</w:t>
            </w:r>
          </w:p>
        </w:tc>
        <w:tc>
          <w:tcPr>
            <w:tcW w:w="100" w:type="dxa"/>
            <w:tcBorders>
              <w:top w:val="nil"/>
              <w:left w:val="nil"/>
              <w:bottom w:val="nil"/>
              <w:right w:val="nil"/>
            </w:tcBorders>
            <w:shd w:val="clear" w:color="000000" w:fill="808080"/>
            <w:noWrap/>
            <w:vAlign w:val="bottom"/>
            <w:hideMark/>
          </w:tcPr>
          <w:p w:rsidR="009C1925" w:rsidRPr="00F22705" w:rsidRDefault="009C1925" w:rsidP="00F54307">
            <w:pPr>
              <w:widowControl/>
              <w:overflowPunct/>
              <w:autoSpaceDE/>
              <w:autoSpaceDN/>
              <w:adjustRightInd/>
              <w:spacing w:before="0" w:after="0"/>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 </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63.3951</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62.9719</w:t>
            </w:r>
          </w:p>
        </w:tc>
        <w:tc>
          <w:tcPr>
            <w:tcW w:w="880" w:type="dxa"/>
            <w:tcBorders>
              <w:top w:val="nil"/>
              <w:left w:val="nil"/>
              <w:bottom w:val="single" w:sz="4" w:space="0" w:color="808080"/>
              <w:right w:val="nil"/>
            </w:tcBorders>
            <w:shd w:val="clear" w:color="000000" w:fill="808080"/>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-0.4232</w:t>
            </w:r>
          </w:p>
        </w:tc>
      </w:tr>
      <w:tr w:rsidR="009C1925" w:rsidRPr="00F22705" w:rsidTr="00F54307">
        <w:trPr>
          <w:trHeight w:val="540"/>
        </w:trPr>
        <w:tc>
          <w:tcPr>
            <w:tcW w:w="244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ind w:firstLineChars="100" w:firstLine="180"/>
              <w:rPr>
                <w:rFonts w:ascii="Arial Narrow" w:hAnsi="Arial Narrow" w:cs="Calibri"/>
                <w:kern w:val="0"/>
                <w:sz w:val="18"/>
                <w:szCs w:val="18"/>
              </w:rPr>
            </w:pPr>
            <w:r w:rsidRPr="00F22705">
              <w:rPr>
                <w:rFonts w:ascii="Arial Narrow" w:hAnsi="Arial Narrow" w:cs="Calibri"/>
                <w:kern w:val="0"/>
                <w:sz w:val="18"/>
                <w:szCs w:val="18"/>
              </w:rPr>
              <w:t>Alimentari lavorati (incluse bevande alcoliche e tabacchi)</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21.9419</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21.3494</w:t>
            </w:r>
          </w:p>
        </w:tc>
        <w:tc>
          <w:tcPr>
            <w:tcW w:w="86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-0.5925</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20.4962</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19.7766</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-0.7196</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18.4395</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17.2008</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-1.2387</w:t>
            </w:r>
          </w:p>
        </w:tc>
      </w:tr>
      <w:tr w:rsidR="009C1925" w:rsidRPr="00F22705" w:rsidTr="00F54307">
        <w:trPr>
          <w:trHeight w:val="270"/>
        </w:trPr>
        <w:tc>
          <w:tcPr>
            <w:tcW w:w="244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ind w:firstLineChars="100" w:firstLine="180"/>
              <w:rPr>
                <w:rFonts w:ascii="Arial Narrow" w:hAnsi="Arial Narrow" w:cs="Calibri"/>
                <w:kern w:val="0"/>
                <w:sz w:val="18"/>
                <w:szCs w:val="18"/>
              </w:rPr>
            </w:pPr>
            <w:r w:rsidRPr="00F22705">
              <w:rPr>
                <w:rFonts w:ascii="Arial Narrow" w:hAnsi="Arial Narrow" w:cs="Calibri"/>
                <w:kern w:val="0"/>
                <w:sz w:val="18"/>
                <w:szCs w:val="18"/>
              </w:rPr>
              <w:t>Alimentari non lavorati</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11.2662</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9.9764</w:t>
            </w:r>
          </w:p>
        </w:tc>
        <w:tc>
          <w:tcPr>
            <w:tcW w:w="86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-1.2898</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9.6272</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8.5740</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-1.0532</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8.2552</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7.1822</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-1.0730</w:t>
            </w:r>
          </w:p>
        </w:tc>
      </w:tr>
      <w:tr w:rsidR="009C1925" w:rsidRPr="00F22705" w:rsidTr="00F54307">
        <w:trPr>
          <w:trHeight w:val="270"/>
        </w:trPr>
        <w:tc>
          <w:tcPr>
            <w:tcW w:w="244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ind w:firstLineChars="100" w:firstLine="180"/>
              <w:rPr>
                <w:rFonts w:ascii="Arial Narrow" w:hAnsi="Arial Narrow" w:cs="Calibri"/>
                <w:kern w:val="0"/>
                <w:sz w:val="18"/>
                <w:szCs w:val="18"/>
              </w:rPr>
            </w:pPr>
            <w:r w:rsidRPr="00F22705">
              <w:rPr>
                <w:rFonts w:ascii="Arial Narrow" w:hAnsi="Arial Narrow" w:cs="Calibri"/>
                <w:kern w:val="0"/>
                <w:sz w:val="18"/>
                <w:szCs w:val="18"/>
              </w:rPr>
              <w:t xml:space="preserve"> Energia</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14.5527</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16.1985</w:t>
            </w:r>
          </w:p>
        </w:tc>
        <w:tc>
          <w:tcPr>
            <w:tcW w:w="86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1.6458</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13.1906</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14.2505</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1.0599</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11.2387</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12.4654</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1.2267</w:t>
            </w:r>
          </w:p>
        </w:tc>
      </w:tr>
      <w:tr w:rsidR="009C1925" w:rsidRPr="00F22705" w:rsidTr="00F54307">
        <w:trPr>
          <w:trHeight w:val="270"/>
        </w:trPr>
        <w:tc>
          <w:tcPr>
            <w:tcW w:w="244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ind w:firstLineChars="100" w:firstLine="180"/>
              <w:rPr>
                <w:rFonts w:ascii="Arial Narrow" w:hAnsi="Arial Narrow" w:cs="Calibri"/>
                <w:kern w:val="0"/>
                <w:sz w:val="18"/>
                <w:szCs w:val="18"/>
              </w:rPr>
            </w:pPr>
            <w:r w:rsidRPr="00F22705">
              <w:rPr>
                <w:rFonts w:ascii="Arial Narrow" w:hAnsi="Arial Narrow" w:cs="Calibri"/>
                <w:kern w:val="0"/>
                <w:sz w:val="18"/>
                <w:szCs w:val="18"/>
              </w:rPr>
              <w:t xml:space="preserve"> Beni industriali non energetici</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18.6767</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19.4184</w:t>
            </w:r>
          </w:p>
        </w:tc>
        <w:tc>
          <w:tcPr>
            <w:tcW w:w="86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0.7417</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22.2881</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22.8997</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0.6116</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25.4617</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26.1235</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0.6618</w:t>
            </w:r>
          </w:p>
        </w:tc>
      </w:tr>
      <w:tr w:rsidR="009C1925" w:rsidRPr="00F22705" w:rsidTr="00F54307">
        <w:trPr>
          <w:trHeight w:val="270"/>
        </w:trPr>
        <w:tc>
          <w:tcPr>
            <w:tcW w:w="244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Servizi, di cui:</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33.5625</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33.0573</w:t>
            </w:r>
          </w:p>
        </w:tc>
        <w:tc>
          <w:tcPr>
            <w:tcW w:w="860" w:type="dxa"/>
            <w:tcBorders>
              <w:top w:val="nil"/>
              <w:left w:val="nil"/>
              <w:bottom w:val="single" w:sz="4" w:space="0" w:color="808080"/>
              <w:right w:val="nil"/>
            </w:tcBorders>
            <w:shd w:val="clear" w:color="000000" w:fill="808080"/>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-0.5052</w:t>
            </w:r>
          </w:p>
        </w:tc>
        <w:tc>
          <w:tcPr>
            <w:tcW w:w="100" w:type="dxa"/>
            <w:tcBorders>
              <w:top w:val="nil"/>
              <w:left w:val="nil"/>
              <w:bottom w:val="nil"/>
              <w:right w:val="nil"/>
            </w:tcBorders>
            <w:shd w:val="clear" w:color="000000" w:fill="808080"/>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 </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34.3979</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34.4992</w:t>
            </w:r>
          </w:p>
        </w:tc>
        <w:tc>
          <w:tcPr>
            <w:tcW w:w="880" w:type="dxa"/>
            <w:tcBorders>
              <w:top w:val="nil"/>
              <w:left w:val="nil"/>
              <w:bottom w:val="single" w:sz="4" w:space="0" w:color="808080"/>
              <w:right w:val="nil"/>
            </w:tcBorders>
            <w:shd w:val="clear" w:color="000000" w:fill="808080"/>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0.1013</w:t>
            </w:r>
          </w:p>
        </w:tc>
        <w:tc>
          <w:tcPr>
            <w:tcW w:w="100" w:type="dxa"/>
            <w:tcBorders>
              <w:top w:val="nil"/>
              <w:left w:val="nil"/>
              <w:bottom w:val="nil"/>
              <w:right w:val="nil"/>
            </w:tcBorders>
            <w:shd w:val="clear" w:color="000000" w:fill="808080"/>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 </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36.6049</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37.0281</w:t>
            </w:r>
          </w:p>
        </w:tc>
        <w:tc>
          <w:tcPr>
            <w:tcW w:w="880" w:type="dxa"/>
            <w:tcBorders>
              <w:top w:val="nil"/>
              <w:left w:val="nil"/>
              <w:bottom w:val="single" w:sz="4" w:space="0" w:color="808080"/>
              <w:right w:val="nil"/>
            </w:tcBorders>
            <w:shd w:val="clear" w:color="000000" w:fill="808080"/>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0.4232</w:t>
            </w:r>
          </w:p>
        </w:tc>
      </w:tr>
      <w:tr w:rsidR="009C1925" w:rsidRPr="00F22705" w:rsidTr="00F54307">
        <w:trPr>
          <w:trHeight w:val="270"/>
        </w:trPr>
        <w:tc>
          <w:tcPr>
            <w:tcW w:w="244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rPr>
                <w:rFonts w:ascii="Arial Narrow" w:hAnsi="Arial Narrow" w:cs="Calibri"/>
                <w:kern w:val="0"/>
                <w:sz w:val="18"/>
                <w:szCs w:val="18"/>
              </w:rPr>
            </w:pPr>
            <w:r w:rsidRPr="00F22705">
              <w:rPr>
                <w:rFonts w:ascii="Arial Narrow" w:hAnsi="Arial Narrow" w:cs="Calibri"/>
                <w:kern w:val="0"/>
                <w:sz w:val="18"/>
                <w:szCs w:val="18"/>
              </w:rPr>
              <w:t xml:space="preserve">   Servizi relativi alle abitazioni</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15.7725</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14.8634</w:t>
            </w:r>
          </w:p>
        </w:tc>
        <w:tc>
          <w:tcPr>
            <w:tcW w:w="86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-0.9091</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10.2852</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9.9457</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-0.3395</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7.9533</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7.8863</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-0.0670</w:t>
            </w:r>
          </w:p>
        </w:tc>
      </w:tr>
      <w:tr w:rsidR="009C1925" w:rsidRPr="00F22705" w:rsidTr="00F54307">
        <w:trPr>
          <w:trHeight w:val="270"/>
        </w:trPr>
        <w:tc>
          <w:tcPr>
            <w:tcW w:w="244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rPr>
                <w:rFonts w:ascii="Arial Narrow" w:hAnsi="Arial Narrow" w:cs="Calibri"/>
                <w:kern w:val="0"/>
                <w:sz w:val="18"/>
                <w:szCs w:val="18"/>
              </w:rPr>
            </w:pPr>
            <w:r w:rsidRPr="00F22705">
              <w:rPr>
                <w:rFonts w:ascii="Arial Narrow" w:hAnsi="Arial Narrow" w:cs="Calibri"/>
                <w:kern w:val="0"/>
                <w:sz w:val="18"/>
                <w:szCs w:val="18"/>
              </w:rPr>
              <w:t xml:space="preserve">   Servizi relativi alle comunicazioni</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2.6419</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2.3534</w:t>
            </w:r>
          </w:p>
        </w:tc>
        <w:tc>
          <w:tcPr>
            <w:tcW w:w="86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-0.2885</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2.5050</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2.2947</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-0.2103</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2.2156</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1.9650</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-0.2506</w:t>
            </w:r>
          </w:p>
        </w:tc>
      </w:tr>
      <w:tr w:rsidR="009C1925" w:rsidRPr="00F22705" w:rsidTr="00F54307">
        <w:trPr>
          <w:trHeight w:val="540"/>
        </w:trPr>
        <w:tc>
          <w:tcPr>
            <w:tcW w:w="244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ind w:firstLineChars="100" w:firstLine="180"/>
              <w:rPr>
                <w:rFonts w:ascii="Arial Narrow" w:hAnsi="Arial Narrow" w:cs="Calibri"/>
                <w:kern w:val="0"/>
                <w:sz w:val="18"/>
                <w:szCs w:val="18"/>
              </w:rPr>
            </w:pPr>
            <w:r w:rsidRPr="00F22705">
              <w:rPr>
                <w:rFonts w:ascii="Arial Narrow" w:hAnsi="Arial Narrow" w:cs="Calibri"/>
                <w:kern w:val="0"/>
                <w:sz w:val="18"/>
                <w:szCs w:val="18"/>
              </w:rPr>
              <w:t>Servizi ricreativi, culturali e per la cura della persona</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5.6533</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5.8913</w:t>
            </w:r>
          </w:p>
        </w:tc>
        <w:tc>
          <w:tcPr>
            <w:tcW w:w="860" w:type="dxa"/>
            <w:tcBorders>
              <w:top w:val="nil"/>
              <w:left w:val="nil"/>
              <w:bottom w:val="single" w:sz="4" w:space="0" w:color="808080"/>
              <w:right w:val="nil"/>
            </w:tcBorders>
            <w:shd w:val="clear" w:color="000000" w:fill="D9D9D9"/>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0.2380</w:t>
            </w:r>
          </w:p>
        </w:tc>
        <w:tc>
          <w:tcPr>
            <w:tcW w:w="100" w:type="dxa"/>
            <w:tcBorders>
              <w:top w:val="nil"/>
              <w:left w:val="nil"/>
              <w:bottom w:val="nil"/>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9.6553</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9.9390</w:t>
            </w:r>
          </w:p>
        </w:tc>
        <w:tc>
          <w:tcPr>
            <w:tcW w:w="880" w:type="dxa"/>
            <w:tcBorders>
              <w:top w:val="nil"/>
              <w:left w:val="nil"/>
              <w:bottom w:val="single" w:sz="4" w:space="0" w:color="808080"/>
              <w:right w:val="nil"/>
            </w:tcBorders>
            <w:shd w:val="clear" w:color="000000" w:fill="D9D9D9"/>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0.2837</w:t>
            </w:r>
          </w:p>
        </w:tc>
        <w:tc>
          <w:tcPr>
            <w:tcW w:w="100" w:type="dxa"/>
            <w:tcBorders>
              <w:top w:val="nil"/>
              <w:left w:val="nil"/>
              <w:bottom w:val="nil"/>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12.7036</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13.2546</w:t>
            </w:r>
          </w:p>
        </w:tc>
        <w:tc>
          <w:tcPr>
            <w:tcW w:w="880" w:type="dxa"/>
            <w:tcBorders>
              <w:top w:val="nil"/>
              <w:left w:val="nil"/>
              <w:bottom w:val="single" w:sz="4" w:space="0" w:color="808080"/>
              <w:right w:val="nil"/>
            </w:tcBorders>
            <w:shd w:val="clear" w:color="000000" w:fill="D9D9D9"/>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0.5510</w:t>
            </w:r>
          </w:p>
        </w:tc>
      </w:tr>
      <w:tr w:rsidR="009C1925" w:rsidRPr="00F22705" w:rsidTr="00F54307">
        <w:trPr>
          <w:trHeight w:val="270"/>
        </w:trPr>
        <w:tc>
          <w:tcPr>
            <w:tcW w:w="244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rPr>
                <w:rFonts w:ascii="Arial Narrow" w:hAnsi="Arial Narrow" w:cs="Calibri"/>
                <w:kern w:val="0"/>
                <w:sz w:val="18"/>
                <w:szCs w:val="18"/>
              </w:rPr>
            </w:pPr>
            <w:r w:rsidRPr="00F22705">
              <w:rPr>
                <w:rFonts w:ascii="Arial Narrow" w:hAnsi="Arial Narrow" w:cs="Calibri"/>
                <w:kern w:val="0"/>
                <w:sz w:val="18"/>
                <w:szCs w:val="18"/>
              </w:rPr>
              <w:t xml:space="preserve">   Servizi relativi ai trasporti</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4.6503</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4.6786</w:t>
            </w:r>
          </w:p>
        </w:tc>
        <w:tc>
          <w:tcPr>
            <w:tcW w:w="86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0.0283</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5.8055</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6.0032</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0.1977</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6.4148</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6.5237</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0.1089</w:t>
            </w:r>
          </w:p>
        </w:tc>
      </w:tr>
      <w:tr w:rsidR="009C1925" w:rsidRPr="00F22705" w:rsidTr="00F54307">
        <w:trPr>
          <w:trHeight w:val="270"/>
        </w:trPr>
        <w:tc>
          <w:tcPr>
            <w:tcW w:w="2440" w:type="dxa"/>
            <w:tcBorders>
              <w:top w:val="nil"/>
              <w:left w:val="nil"/>
              <w:bottom w:val="single" w:sz="4" w:space="0" w:color="808080"/>
              <w:right w:val="nil"/>
            </w:tcBorders>
            <w:shd w:val="clear" w:color="auto" w:fill="auto"/>
            <w:noWrap/>
            <w:vAlign w:val="bottom"/>
            <w:hideMark/>
          </w:tcPr>
          <w:p w:rsidR="009C1925" w:rsidRPr="00F22705" w:rsidRDefault="009C1925" w:rsidP="00F54307">
            <w:pPr>
              <w:widowControl/>
              <w:overflowPunct/>
              <w:autoSpaceDE/>
              <w:autoSpaceDN/>
              <w:adjustRightInd/>
              <w:spacing w:before="0" w:after="0"/>
              <w:rPr>
                <w:rFonts w:ascii="Arial Narrow" w:hAnsi="Arial Narrow" w:cs="Calibri"/>
                <w:kern w:val="0"/>
                <w:sz w:val="18"/>
                <w:szCs w:val="18"/>
              </w:rPr>
            </w:pPr>
            <w:r w:rsidRPr="00F22705">
              <w:rPr>
                <w:rFonts w:ascii="Arial Narrow" w:hAnsi="Arial Narrow" w:cs="Calibri"/>
                <w:kern w:val="0"/>
                <w:sz w:val="18"/>
                <w:szCs w:val="18"/>
              </w:rPr>
              <w:t xml:space="preserve">   Servizi vari</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4.8445</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5.2706</w:t>
            </w:r>
          </w:p>
        </w:tc>
        <w:tc>
          <w:tcPr>
            <w:tcW w:w="86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0.4261</w:t>
            </w:r>
          </w:p>
        </w:tc>
        <w:tc>
          <w:tcPr>
            <w:tcW w:w="100" w:type="dxa"/>
            <w:tcBorders>
              <w:top w:val="nil"/>
              <w:left w:val="nil"/>
              <w:bottom w:val="single" w:sz="4" w:space="0" w:color="808080"/>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 </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6.1469</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6.3166</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0.1697</w:t>
            </w:r>
          </w:p>
        </w:tc>
        <w:tc>
          <w:tcPr>
            <w:tcW w:w="100" w:type="dxa"/>
            <w:tcBorders>
              <w:top w:val="nil"/>
              <w:left w:val="nil"/>
              <w:bottom w:val="single" w:sz="4" w:space="0" w:color="808080"/>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 </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7.3176</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7.3985</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0.0809</w:t>
            </w:r>
          </w:p>
        </w:tc>
      </w:tr>
      <w:tr w:rsidR="009C1925" w:rsidRPr="00F22705" w:rsidTr="00F54307">
        <w:trPr>
          <w:trHeight w:val="270"/>
        </w:trPr>
        <w:tc>
          <w:tcPr>
            <w:tcW w:w="244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Totale</w:t>
            </w:r>
          </w:p>
        </w:tc>
        <w:tc>
          <w:tcPr>
            <w:tcW w:w="88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100.0000</w:t>
            </w:r>
          </w:p>
        </w:tc>
        <w:tc>
          <w:tcPr>
            <w:tcW w:w="88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100.0000</w:t>
            </w:r>
          </w:p>
        </w:tc>
        <w:tc>
          <w:tcPr>
            <w:tcW w:w="86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 </w:t>
            </w:r>
          </w:p>
        </w:tc>
        <w:tc>
          <w:tcPr>
            <w:tcW w:w="10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 </w:t>
            </w:r>
          </w:p>
        </w:tc>
        <w:tc>
          <w:tcPr>
            <w:tcW w:w="88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100.0000</w:t>
            </w:r>
          </w:p>
        </w:tc>
        <w:tc>
          <w:tcPr>
            <w:tcW w:w="88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100.0000</w:t>
            </w:r>
          </w:p>
        </w:tc>
        <w:tc>
          <w:tcPr>
            <w:tcW w:w="88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 </w:t>
            </w:r>
          </w:p>
        </w:tc>
        <w:tc>
          <w:tcPr>
            <w:tcW w:w="10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 </w:t>
            </w:r>
          </w:p>
        </w:tc>
        <w:tc>
          <w:tcPr>
            <w:tcW w:w="88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100.0000</w:t>
            </w:r>
          </w:p>
        </w:tc>
        <w:tc>
          <w:tcPr>
            <w:tcW w:w="88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100.0000</w:t>
            </w:r>
          </w:p>
        </w:tc>
        <w:tc>
          <w:tcPr>
            <w:tcW w:w="88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 </w:t>
            </w:r>
          </w:p>
        </w:tc>
      </w:tr>
      <w:tr w:rsidR="009C1925" w:rsidRPr="00F22705" w:rsidTr="00F54307">
        <w:trPr>
          <w:trHeight w:val="270"/>
        </w:trPr>
        <w:tc>
          <w:tcPr>
            <w:tcW w:w="244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kern w:val="0"/>
                <w:sz w:val="18"/>
                <w:szCs w:val="18"/>
              </w:rPr>
            </w:pPr>
            <w:r w:rsidRPr="00F22705">
              <w:rPr>
                <w:rFonts w:ascii="Arial Narrow" w:hAnsi="Arial Narrow" w:cs="Calibri"/>
                <w:b/>
                <w:bCs/>
                <w:kern w:val="0"/>
                <w:sz w:val="18"/>
                <w:szCs w:val="18"/>
              </w:rPr>
              <w:t> </w:t>
            </w:r>
          </w:p>
        </w:tc>
        <w:tc>
          <w:tcPr>
            <w:tcW w:w="2620" w:type="dxa"/>
            <w:gridSpan w:val="3"/>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kern w:val="0"/>
                <w:sz w:val="18"/>
                <w:szCs w:val="18"/>
              </w:rPr>
            </w:pPr>
            <w:r w:rsidRPr="00F22705">
              <w:rPr>
                <w:rFonts w:ascii="Arial Narrow" w:hAnsi="Arial Narrow" w:cs="Calibri"/>
                <w:b/>
                <w:bCs/>
                <w:kern w:val="0"/>
                <w:sz w:val="18"/>
                <w:szCs w:val="18"/>
              </w:rPr>
              <w:t>4° gruppo</w:t>
            </w:r>
          </w:p>
        </w:tc>
        <w:tc>
          <w:tcPr>
            <w:tcW w:w="100" w:type="dxa"/>
            <w:tcBorders>
              <w:top w:val="nil"/>
              <w:left w:val="nil"/>
              <w:bottom w:val="nil"/>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kern w:val="0"/>
                <w:sz w:val="18"/>
                <w:szCs w:val="18"/>
              </w:rPr>
            </w:pPr>
          </w:p>
        </w:tc>
        <w:tc>
          <w:tcPr>
            <w:tcW w:w="2640" w:type="dxa"/>
            <w:gridSpan w:val="3"/>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kern w:val="0"/>
                <w:sz w:val="18"/>
                <w:szCs w:val="18"/>
              </w:rPr>
            </w:pPr>
            <w:r w:rsidRPr="00F22705">
              <w:rPr>
                <w:rFonts w:ascii="Arial Narrow" w:hAnsi="Arial Narrow" w:cs="Calibri"/>
                <w:b/>
                <w:bCs/>
                <w:kern w:val="0"/>
                <w:sz w:val="18"/>
                <w:szCs w:val="18"/>
              </w:rPr>
              <w:t>5° gruppo</w:t>
            </w:r>
          </w:p>
        </w:tc>
        <w:tc>
          <w:tcPr>
            <w:tcW w:w="100" w:type="dxa"/>
            <w:tcBorders>
              <w:top w:val="nil"/>
              <w:left w:val="nil"/>
              <w:bottom w:val="nil"/>
              <w:right w:val="nil"/>
            </w:tcBorders>
            <w:shd w:val="clear" w:color="auto" w:fill="auto"/>
            <w:noWrap/>
            <w:vAlign w:val="bottom"/>
            <w:hideMark/>
          </w:tcPr>
          <w:p w:rsidR="009C1925" w:rsidRPr="00F22705" w:rsidRDefault="009C1925" w:rsidP="00F54307">
            <w:pPr>
              <w:widowControl/>
              <w:overflowPunct/>
              <w:autoSpaceDE/>
              <w:autoSpaceDN/>
              <w:adjustRightInd/>
              <w:spacing w:before="0" w:after="0"/>
              <w:jc w:val="center"/>
              <w:rPr>
                <w:rFonts w:ascii="Arial Narrow" w:hAnsi="Arial Narrow" w:cs="Calibri"/>
                <w:b/>
                <w:bCs/>
                <w:kern w:val="0"/>
                <w:sz w:val="18"/>
                <w:szCs w:val="18"/>
              </w:rPr>
            </w:pPr>
          </w:p>
        </w:tc>
        <w:tc>
          <w:tcPr>
            <w:tcW w:w="2640" w:type="dxa"/>
            <w:gridSpan w:val="3"/>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kern w:val="0"/>
                <w:sz w:val="18"/>
                <w:szCs w:val="18"/>
              </w:rPr>
            </w:pPr>
            <w:r w:rsidRPr="00F22705">
              <w:rPr>
                <w:rFonts w:ascii="Arial Narrow" w:hAnsi="Arial Narrow" w:cs="Calibri"/>
                <w:b/>
                <w:bCs/>
                <w:kern w:val="0"/>
                <w:sz w:val="18"/>
                <w:szCs w:val="18"/>
              </w:rPr>
              <w:t>IPCA</w:t>
            </w:r>
          </w:p>
        </w:tc>
      </w:tr>
      <w:tr w:rsidR="009C1925" w:rsidRPr="00F22705" w:rsidTr="00F54307">
        <w:trPr>
          <w:trHeight w:val="270"/>
        </w:trPr>
        <w:tc>
          <w:tcPr>
            <w:tcW w:w="244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Beni, di cui:</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61.1602</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59.9561</w:t>
            </w:r>
          </w:p>
        </w:tc>
        <w:tc>
          <w:tcPr>
            <w:tcW w:w="860" w:type="dxa"/>
            <w:tcBorders>
              <w:top w:val="nil"/>
              <w:left w:val="nil"/>
              <w:bottom w:val="single" w:sz="4" w:space="0" w:color="808080"/>
              <w:right w:val="nil"/>
            </w:tcBorders>
            <w:shd w:val="clear" w:color="000000" w:fill="808080"/>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-1.2041</w:t>
            </w:r>
          </w:p>
        </w:tc>
        <w:tc>
          <w:tcPr>
            <w:tcW w:w="100" w:type="dxa"/>
            <w:tcBorders>
              <w:top w:val="nil"/>
              <w:left w:val="nil"/>
              <w:bottom w:val="nil"/>
              <w:right w:val="nil"/>
            </w:tcBorders>
            <w:shd w:val="clear" w:color="000000" w:fill="808080"/>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 </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57.4559</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57.7537</w:t>
            </w:r>
          </w:p>
        </w:tc>
        <w:tc>
          <w:tcPr>
            <w:tcW w:w="880" w:type="dxa"/>
            <w:tcBorders>
              <w:top w:val="nil"/>
              <w:left w:val="nil"/>
              <w:bottom w:val="single" w:sz="4" w:space="0" w:color="808080"/>
              <w:right w:val="nil"/>
            </w:tcBorders>
            <w:shd w:val="clear" w:color="000000" w:fill="808080"/>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0.2978</w:t>
            </w:r>
          </w:p>
        </w:tc>
        <w:tc>
          <w:tcPr>
            <w:tcW w:w="100" w:type="dxa"/>
            <w:tcBorders>
              <w:top w:val="nil"/>
              <w:left w:val="nil"/>
              <w:bottom w:val="nil"/>
              <w:right w:val="nil"/>
            </w:tcBorders>
            <w:shd w:val="clear" w:color="000000" w:fill="808080"/>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 </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61.2059</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61.0008</w:t>
            </w:r>
          </w:p>
        </w:tc>
        <w:tc>
          <w:tcPr>
            <w:tcW w:w="880" w:type="dxa"/>
            <w:tcBorders>
              <w:top w:val="nil"/>
              <w:left w:val="nil"/>
              <w:bottom w:val="single" w:sz="4" w:space="0" w:color="808080"/>
              <w:right w:val="nil"/>
            </w:tcBorders>
            <w:shd w:val="clear" w:color="000000" w:fill="808080"/>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-0.2051</w:t>
            </w:r>
          </w:p>
        </w:tc>
      </w:tr>
      <w:tr w:rsidR="009C1925" w:rsidRPr="00F22705" w:rsidTr="00F54307">
        <w:trPr>
          <w:trHeight w:val="540"/>
        </w:trPr>
        <w:tc>
          <w:tcPr>
            <w:tcW w:w="244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ind w:firstLineChars="100" w:firstLine="180"/>
              <w:rPr>
                <w:rFonts w:ascii="Arial Narrow" w:hAnsi="Arial Narrow" w:cs="Calibri"/>
                <w:kern w:val="0"/>
                <w:sz w:val="18"/>
                <w:szCs w:val="18"/>
              </w:rPr>
            </w:pPr>
            <w:r w:rsidRPr="00F22705">
              <w:rPr>
                <w:rFonts w:ascii="Arial Narrow" w:hAnsi="Arial Narrow" w:cs="Calibri"/>
                <w:kern w:val="0"/>
                <w:sz w:val="18"/>
                <w:szCs w:val="18"/>
              </w:rPr>
              <w:t>Alimentari lavorati (incluse bevande alcoliche e tabacchi)</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16.1577</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14.7680</w:t>
            </w:r>
          </w:p>
        </w:tc>
        <w:tc>
          <w:tcPr>
            <w:tcW w:w="86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-1.3897</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11.5474</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11.1249</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-0.4225</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15.9028</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15.0656</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-0.8372</w:t>
            </w:r>
          </w:p>
        </w:tc>
      </w:tr>
      <w:tr w:rsidR="009C1925" w:rsidRPr="00F22705" w:rsidTr="00F54307">
        <w:trPr>
          <w:trHeight w:val="270"/>
        </w:trPr>
        <w:tc>
          <w:tcPr>
            <w:tcW w:w="244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ind w:firstLineChars="100" w:firstLine="180"/>
              <w:rPr>
                <w:rFonts w:ascii="Arial Narrow" w:hAnsi="Arial Narrow" w:cs="Calibri"/>
                <w:kern w:val="0"/>
                <w:sz w:val="18"/>
                <w:szCs w:val="18"/>
              </w:rPr>
            </w:pPr>
            <w:r w:rsidRPr="00F22705">
              <w:rPr>
                <w:rFonts w:ascii="Arial Narrow" w:hAnsi="Arial Narrow" w:cs="Calibri"/>
                <w:kern w:val="0"/>
                <w:sz w:val="18"/>
                <w:szCs w:val="18"/>
              </w:rPr>
              <w:t>Alimentari non lavorati</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6.9727</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5.9571</w:t>
            </w:r>
          </w:p>
        </w:tc>
        <w:tc>
          <w:tcPr>
            <w:tcW w:w="86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-1.0156</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4.9340</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4.3006</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-0.6334</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7.1582</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6.2485</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-0.9097</w:t>
            </w:r>
          </w:p>
        </w:tc>
      </w:tr>
      <w:tr w:rsidR="009C1925" w:rsidRPr="00F22705" w:rsidTr="00F54307">
        <w:trPr>
          <w:trHeight w:val="270"/>
        </w:trPr>
        <w:tc>
          <w:tcPr>
            <w:tcW w:w="244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ind w:firstLineChars="100" w:firstLine="180"/>
              <w:rPr>
                <w:rFonts w:ascii="Arial Narrow" w:hAnsi="Arial Narrow" w:cs="Calibri"/>
                <w:kern w:val="0"/>
                <w:sz w:val="18"/>
                <w:szCs w:val="18"/>
              </w:rPr>
            </w:pPr>
            <w:r w:rsidRPr="00F22705">
              <w:rPr>
                <w:rFonts w:ascii="Arial Narrow" w:hAnsi="Arial Narrow" w:cs="Calibri"/>
                <w:kern w:val="0"/>
                <w:sz w:val="18"/>
                <w:szCs w:val="18"/>
              </w:rPr>
              <w:t xml:space="preserve"> Energia</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9.5911</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10.3766</w:t>
            </w:r>
          </w:p>
        </w:tc>
        <w:tc>
          <w:tcPr>
            <w:tcW w:w="86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0.7855</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6.7376</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7.3941</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0.6565</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9.7164</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10.6459</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0.9295</w:t>
            </w:r>
          </w:p>
        </w:tc>
      </w:tr>
      <w:tr w:rsidR="009C1925" w:rsidRPr="00F22705" w:rsidTr="00F54307">
        <w:trPr>
          <w:trHeight w:val="270"/>
        </w:trPr>
        <w:tc>
          <w:tcPr>
            <w:tcW w:w="244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ind w:firstLineChars="100" w:firstLine="180"/>
              <w:rPr>
                <w:rFonts w:ascii="Arial Narrow" w:hAnsi="Arial Narrow" w:cs="Calibri"/>
                <w:kern w:val="0"/>
                <w:sz w:val="18"/>
                <w:szCs w:val="18"/>
              </w:rPr>
            </w:pPr>
            <w:r w:rsidRPr="00F22705">
              <w:rPr>
                <w:rFonts w:ascii="Arial Narrow" w:hAnsi="Arial Narrow" w:cs="Calibri"/>
                <w:kern w:val="0"/>
                <w:sz w:val="18"/>
                <w:szCs w:val="18"/>
              </w:rPr>
              <w:t xml:space="preserve"> Beni industriali non energetici</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28.4387</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28.8544</w:t>
            </w:r>
          </w:p>
        </w:tc>
        <w:tc>
          <w:tcPr>
            <w:tcW w:w="86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0.4157</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34.2369</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34.9341</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0.6972</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28.4285</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29.0408</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0.6123</w:t>
            </w:r>
          </w:p>
        </w:tc>
      </w:tr>
      <w:tr w:rsidR="009C1925" w:rsidRPr="00F22705" w:rsidTr="00F54307">
        <w:trPr>
          <w:trHeight w:val="270"/>
        </w:trPr>
        <w:tc>
          <w:tcPr>
            <w:tcW w:w="244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Servizi, di cui:</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38.8398</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40.0439</w:t>
            </w:r>
          </w:p>
        </w:tc>
        <w:tc>
          <w:tcPr>
            <w:tcW w:w="860" w:type="dxa"/>
            <w:tcBorders>
              <w:top w:val="nil"/>
              <w:left w:val="nil"/>
              <w:bottom w:val="single" w:sz="4" w:space="0" w:color="808080"/>
              <w:right w:val="nil"/>
            </w:tcBorders>
            <w:shd w:val="clear" w:color="000000" w:fill="808080"/>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1.2041</w:t>
            </w:r>
          </w:p>
        </w:tc>
        <w:tc>
          <w:tcPr>
            <w:tcW w:w="100" w:type="dxa"/>
            <w:tcBorders>
              <w:top w:val="nil"/>
              <w:left w:val="nil"/>
              <w:bottom w:val="nil"/>
              <w:right w:val="nil"/>
            </w:tcBorders>
            <w:shd w:val="clear" w:color="000000" w:fill="808080"/>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 </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42.5441</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42.2463</w:t>
            </w:r>
          </w:p>
        </w:tc>
        <w:tc>
          <w:tcPr>
            <w:tcW w:w="880" w:type="dxa"/>
            <w:tcBorders>
              <w:top w:val="nil"/>
              <w:left w:val="nil"/>
              <w:bottom w:val="single" w:sz="4" w:space="0" w:color="808080"/>
              <w:right w:val="nil"/>
            </w:tcBorders>
            <w:shd w:val="clear" w:color="000000" w:fill="808080"/>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-0.2978</w:t>
            </w:r>
          </w:p>
        </w:tc>
        <w:tc>
          <w:tcPr>
            <w:tcW w:w="100" w:type="dxa"/>
            <w:tcBorders>
              <w:top w:val="nil"/>
              <w:left w:val="nil"/>
              <w:bottom w:val="nil"/>
              <w:right w:val="nil"/>
            </w:tcBorders>
            <w:shd w:val="clear" w:color="000000" w:fill="808080"/>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 </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38.7941</w:t>
            </w:r>
          </w:p>
        </w:tc>
        <w:tc>
          <w:tcPr>
            <w:tcW w:w="880" w:type="dxa"/>
            <w:tcBorders>
              <w:top w:val="nil"/>
              <w:left w:val="nil"/>
              <w:bottom w:val="single" w:sz="4" w:space="0" w:color="808080"/>
              <w:right w:val="nil"/>
            </w:tcBorders>
            <w:shd w:val="clear" w:color="000000" w:fill="80808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38.9992</w:t>
            </w:r>
          </w:p>
        </w:tc>
        <w:tc>
          <w:tcPr>
            <w:tcW w:w="880" w:type="dxa"/>
            <w:tcBorders>
              <w:top w:val="nil"/>
              <w:left w:val="nil"/>
              <w:bottom w:val="single" w:sz="4" w:space="0" w:color="808080"/>
              <w:right w:val="nil"/>
            </w:tcBorders>
            <w:shd w:val="clear" w:color="000000" w:fill="808080"/>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0.2051</w:t>
            </w:r>
          </w:p>
        </w:tc>
      </w:tr>
      <w:tr w:rsidR="009C1925" w:rsidRPr="00F22705" w:rsidTr="00F54307">
        <w:trPr>
          <w:trHeight w:val="270"/>
        </w:trPr>
        <w:tc>
          <w:tcPr>
            <w:tcW w:w="244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rPr>
                <w:rFonts w:ascii="Arial Narrow" w:hAnsi="Arial Narrow" w:cs="Calibri"/>
                <w:kern w:val="0"/>
                <w:sz w:val="18"/>
                <w:szCs w:val="18"/>
              </w:rPr>
            </w:pPr>
            <w:r w:rsidRPr="00F22705">
              <w:rPr>
                <w:rFonts w:ascii="Arial Narrow" w:hAnsi="Arial Narrow" w:cs="Calibri"/>
                <w:kern w:val="0"/>
                <w:sz w:val="18"/>
                <w:szCs w:val="18"/>
              </w:rPr>
              <w:t xml:space="preserve">   Servizi relativi alle abitazioni</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6.8168</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6.7316</w:t>
            </w:r>
          </w:p>
        </w:tc>
        <w:tc>
          <w:tcPr>
            <w:tcW w:w="86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-0.0852</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6.4881</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6.1173</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-0.3708</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8.1415</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7.8443</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-0.2972</w:t>
            </w:r>
          </w:p>
        </w:tc>
      </w:tr>
      <w:tr w:rsidR="009C1925" w:rsidRPr="00F22705" w:rsidTr="00F54307">
        <w:trPr>
          <w:trHeight w:val="270"/>
        </w:trPr>
        <w:tc>
          <w:tcPr>
            <w:tcW w:w="244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rPr>
                <w:rFonts w:ascii="Arial Narrow" w:hAnsi="Arial Narrow" w:cs="Calibri"/>
                <w:kern w:val="0"/>
                <w:sz w:val="18"/>
                <w:szCs w:val="18"/>
              </w:rPr>
            </w:pPr>
            <w:r w:rsidRPr="00F22705">
              <w:rPr>
                <w:rFonts w:ascii="Arial Narrow" w:hAnsi="Arial Narrow" w:cs="Calibri"/>
                <w:kern w:val="0"/>
                <w:sz w:val="18"/>
                <w:szCs w:val="18"/>
              </w:rPr>
              <w:t xml:space="preserve">   Servizi relativi alle comunicazioni</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1.8765</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1.6481</w:t>
            </w:r>
          </w:p>
        </w:tc>
        <w:tc>
          <w:tcPr>
            <w:tcW w:w="86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-0.2284</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1.3581</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1.1589</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-0.1992</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1.8908</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1.6673</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-0.2235</w:t>
            </w:r>
          </w:p>
        </w:tc>
      </w:tr>
      <w:tr w:rsidR="009C1925" w:rsidRPr="00F22705" w:rsidTr="00F54307">
        <w:trPr>
          <w:trHeight w:val="540"/>
        </w:trPr>
        <w:tc>
          <w:tcPr>
            <w:tcW w:w="244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ind w:firstLineChars="100" w:firstLine="180"/>
              <w:rPr>
                <w:rFonts w:ascii="Arial Narrow" w:hAnsi="Arial Narrow" w:cs="Calibri"/>
                <w:kern w:val="0"/>
                <w:sz w:val="18"/>
                <w:szCs w:val="18"/>
              </w:rPr>
            </w:pPr>
            <w:r w:rsidRPr="00F22705">
              <w:rPr>
                <w:rFonts w:ascii="Arial Narrow" w:hAnsi="Arial Narrow" w:cs="Calibri"/>
                <w:kern w:val="0"/>
                <w:sz w:val="18"/>
                <w:szCs w:val="18"/>
              </w:rPr>
              <w:t>Servizi ricreativi, culturali e per la cura della persona</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14.6885</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16.4580</w:t>
            </w:r>
          </w:p>
        </w:tc>
        <w:tc>
          <w:tcPr>
            <w:tcW w:w="86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1.7695</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16.2349</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17.9107</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1.6758</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13.4632</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14.6543</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1.1911</w:t>
            </w:r>
          </w:p>
        </w:tc>
      </w:tr>
      <w:tr w:rsidR="009C1925" w:rsidRPr="00F22705" w:rsidTr="00F54307">
        <w:trPr>
          <w:trHeight w:val="270"/>
        </w:trPr>
        <w:tc>
          <w:tcPr>
            <w:tcW w:w="244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rPr>
                <w:rFonts w:ascii="Arial Narrow" w:hAnsi="Arial Narrow" w:cs="Calibri"/>
                <w:kern w:val="0"/>
                <w:sz w:val="18"/>
                <w:szCs w:val="18"/>
              </w:rPr>
            </w:pPr>
            <w:r w:rsidRPr="00F22705">
              <w:rPr>
                <w:rFonts w:ascii="Arial Narrow" w:hAnsi="Arial Narrow" w:cs="Calibri"/>
                <w:kern w:val="0"/>
                <w:sz w:val="18"/>
                <w:szCs w:val="18"/>
              </w:rPr>
              <w:t xml:space="preserve">   Servizi relativi ai trasporti</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7.2892</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7.5220</w:t>
            </w:r>
          </w:p>
        </w:tc>
        <w:tc>
          <w:tcPr>
            <w:tcW w:w="86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0.2328</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7.5594</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7.6851</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0.1257</w:t>
            </w:r>
          </w:p>
        </w:tc>
        <w:tc>
          <w:tcPr>
            <w:tcW w:w="100" w:type="dxa"/>
            <w:tcBorders>
              <w:top w:val="nil"/>
              <w:left w:val="nil"/>
              <w:bottom w:val="nil"/>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6.8097</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6.9587</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0.1490</w:t>
            </w:r>
          </w:p>
        </w:tc>
      </w:tr>
      <w:tr w:rsidR="009C1925" w:rsidRPr="00F22705" w:rsidTr="00F54307">
        <w:trPr>
          <w:trHeight w:val="270"/>
        </w:trPr>
        <w:tc>
          <w:tcPr>
            <w:tcW w:w="2440" w:type="dxa"/>
            <w:tcBorders>
              <w:top w:val="nil"/>
              <w:left w:val="nil"/>
              <w:bottom w:val="single" w:sz="4" w:space="0" w:color="808080"/>
              <w:right w:val="nil"/>
            </w:tcBorders>
            <w:shd w:val="clear" w:color="auto" w:fill="auto"/>
            <w:noWrap/>
            <w:vAlign w:val="bottom"/>
            <w:hideMark/>
          </w:tcPr>
          <w:p w:rsidR="009C1925" w:rsidRPr="00F22705" w:rsidRDefault="009C1925" w:rsidP="00F54307">
            <w:pPr>
              <w:widowControl/>
              <w:overflowPunct/>
              <w:autoSpaceDE/>
              <w:autoSpaceDN/>
              <w:adjustRightInd/>
              <w:spacing w:before="0" w:after="0"/>
              <w:rPr>
                <w:rFonts w:ascii="Arial Narrow" w:hAnsi="Arial Narrow" w:cs="Calibri"/>
                <w:kern w:val="0"/>
                <w:sz w:val="18"/>
                <w:szCs w:val="18"/>
              </w:rPr>
            </w:pPr>
            <w:r w:rsidRPr="00F22705">
              <w:rPr>
                <w:rFonts w:ascii="Arial Narrow" w:hAnsi="Arial Narrow" w:cs="Calibri"/>
                <w:kern w:val="0"/>
                <w:sz w:val="18"/>
                <w:szCs w:val="18"/>
              </w:rPr>
              <w:t xml:space="preserve">   Servizi vari</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8.1688</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7.6842</w:t>
            </w:r>
          </w:p>
        </w:tc>
        <w:tc>
          <w:tcPr>
            <w:tcW w:w="86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-0.4846</w:t>
            </w:r>
          </w:p>
        </w:tc>
        <w:tc>
          <w:tcPr>
            <w:tcW w:w="100" w:type="dxa"/>
            <w:tcBorders>
              <w:top w:val="nil"/>
              <w:left w:val="nil"/>
              <w:bottom w:val="single" w:sz="4" w:space="0" w:color="808080"/>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 </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10.9036</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9.3743</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-1.5293</w:t>
            </w:r>
          </w:p>
        </w:tc>
        <w:tc>
          <w:tcPr>
            <w:tcW w:w="100" w:type="dxa"/>
            <w:tcBorders>
              <w:top w:val="nil"/>
              <w:left w:val="nil"/>
              <w:bottom w:val="single" w:sz="4" w:space="0" w:color="808080"/>
              <w:right w:val="nil"/>
            </w:tcBorders>
            <w:shd w:val="clear" w:color="auto" w:fill="auto"/>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 </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8.4889</w:t>
            </w:r>
          </w:p>
        </w:tc>
        <w:tc>
          <w:tcPr>
            <w:tcW w:w="880" w:type="dxa"/>
            <w:tcBorders>
              <w:top w:val="nil"/>
              <w:left w:val="nil"/>
              <w:bottom w:val="single" w:sz="4" w:space="0" w:color="808080"/>
              <w:right w:val="nil"/>
            </w:tcBorders>
            <w:shd w:val="clear" w:color="auto" w:fill="auto"/>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7.8746</w:t>
            </w:r>
          </w:p>
        </w:tc>
        <w:tc>
          <w:tcPr>
            <w:tcW w:w="880" w:type="dxa"/>
            <w:tcBorders>
              <w:top w:val="nil"/>
              <w:left w:val="nil"/>
              <w:bottom w:val="single" w:sz="4" w:space="0" w:color="808080"/>
              <w:right w:val="nil"/>
            </w:tcBorders>
            <w:shd w:val="clear" w:color="000000" w:fill="D9D9D9"/>
            <w:noWrap/>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kern w:val="0"/>
                <w:sz w:val="18"/>
                <w:szCs w:val="18"/>
              </w:rPr>
            </w:pPr>
            <w:r w:rsidRPr="00F22705">
              <w:rPr>
                <w:rFonts w:ascii="Arial Narrow" w:hAnsi="Arial Narrow" w:cs="Calibri"/>
                <w:kern w:val="0"/>
                <w:sz w:val="18"/>
                <w:szCs w:val="18"/>
              </w:rPr>
              <w:t>-0.6143</w:t>
            </w:r>
          </w:p>
        </w:tc>
      </w:tr>
      <w:tr w:rsidR="009C1925" w:rsidRPr="00F22705" w:rsidTr="00F54307">
        <w:trPr>
          <w:trHeight w:val="270"/>
        </w:trPr>
        <w:tc>
          <w:tcPr>
            <w:tcW w:w="244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Totale</w:t>
            </w:r>
          </w:p>
        </w:tc>
        <w:tc>
          <w:tcPr>
            <w:tcW w:w="88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100.0000</w:t>
            </w:r>
          </w:p>
        </w:tc>
        <w:tc>
          <w:tcPr>
            <w:tcW w:w="88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100.0000</w:t>
            </w:r>
          </w:p>
        </w:tc>
        <w:tc>
          <w:tcPr>
            <w:tcW w:w="86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 </w:t>
            </w:r>
          </w:p>
        </w:tc>
        <w:tc>
          <w:tcPr>
            <w:tcW w:w="10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 </w:t>
            </w:r>
          </w:p>
        </w:tc>
        <w:tc>
          <w:tcPr>
            <w:tcW w:w="88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100.0000</w:t>
            </w:r>
          </w:p>
        </w:tc>
        <w:tc>
          <w:tcPr>
            <w:tcW w:w="88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100.0000</w:t>
            </w:r>
          </w:p>
        </w:tc>
        <w:tc>
          <w:tcPr>
            <w:tcW w:w="88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 </w:t>
            </w:r>
          </w:p>
        </w:tc>
        <w:tc>
          <w:tcPr>
            <w:tcW w:w="10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 </w:t>
            </w:r>
          </w:p>
        </w:tc>
        <w:tc>
          <w:tcPr>
            <w:tcW w:w="88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100.0000</w:t>
            </w:r>
          </w:p>
        </w:tc>
        <w:tc>
          <w:tcPr>
            <w:tcW w:w="88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100.0000</w:t>
            </w:r>
          </w:p>
        </w:tc>
        <w:tc>
          <w:tcPr>
            <w:tcW w:w="880" w:type="dxa"/>
            <w:tcBorders>
              <w:top w:val="nil"/>
              <w:left w:val="nil"/>
              <w:bottom w:val="single" w:sz="4" w:space="0" w:color="808080"/>
              <w:right w:val="nil"/>
            </w:tcBorders>
            <w:shd w:val="clear" w:color="000000" w:fill="FF0000"/>
            <w:vAlign w:val="center"/>
            <w:hideMark/>
          </w:tcPr>
          <w:p w:rsidR="009C1925" w:rsidRPr="00F22705" w:rsidRDefault="009C1925" w:rsidP="00F54307">
            <w:pPr>
              <w:widowControl/>
              <w:overflowPunct/>
              <w:autoSpaceDE/>
              <w:autoSpaceDN/>
              <w:adjustRightInd/>
              <w:spacing w:before="0" w:after="0"/>
              <w:jc w:val="center"/>
              <w:rPr>
                <w:rFonts w:ascii="Arial Narrow" w:hAnsi="Arial Narrow" w:cs="Calibri"/>
                <w:b/>
                <w:bCs/>
                <w:color w:val="FFFFFF"/>
                <w:kern w:val="0"/>
                <w:sz w:val="18"/>
                <w:szCs w:val="18"/>
              </w:rPr>
            </w:pPr>
            <w:r w:rsidRPr="00F22705">
              <w:rPr>
                <w:rFonts w:ascii="Arial Narrow" w:hAnsi="Arial Narrow" w:cs="Calibri"/>
                <w:b/>
                <w:bCs/>
                <w:color w:val="FFFFFF"/>
                <w:kern w:val="0"/>
                <w:sz w:val="18"/>
                <w:szCs w:val="18"/>
              </w:rPr>
              <w:t> </w:t>
            </w:r>
          </w:p>
        </w:tc>
      </w:tr>
    </w:tbl>
    <w:p w:rsidR="009C1925" w:rsidRDefault="009C1925" w:rsidP="009C1925">
      <w:pPr>
        <w:spacing w:before="0" w:after="120"/>
        <w:jc w:val="both"/>
        <w:rPr>
          <w:rFonts w:ascii="Arial Narrow" w:hAnsi="Arial Narrow" w:cs="Arial"/>
          <w:color w:val="5F5F5F"/>
        </w:rPr>
      </w:pPr>
    </w:p>
    <w:p w:rsidR="009C1925" w:rsidRDefault="009C1925" w:rsidP="009C1925">
      <w:pPr>
        <w:spacing w:before="0" w:after="120"/>
        <w:jc w:val="both"/>
        <w:rPr>
          <w:rFonts w:ascii="Arial Narrow" w:hAnsi="Arial Narrow" w:cs="Arial"/>
          <w:color w:val="5F5F5F"/>
        </w:rPr>
      </w:pPr>
    </w:p>
    <w:p w:rsidR="009C1925" w:rsidRDefault="009C1925" w:rsidP="009C1925">
      <w:pPr>
        <w:spacing w:before="0" w:after="120"/>
        <w:jc w:val="both"/>
        <w:rPr>
          <w:rFonts w:ascii="Arial Narrow" w:hAnsi="Arial Narrow" w:cs="Arial"/>
          <w:color w:val="5F5F5F"/>
        </w:rPr>
      </w:pPr>
    </w:p>
    <w:p w:rsidR="009C1925" w:rsidRDefault="009C1925" w:rsidP="009C1925">
      <w:pPr>
        <w:spacing w:before="0" w:after="120"/>
        <w:jc w:val="both"/>
        <w:rPr>
          <w:rFonts w:ascii="Arial Narrow" w:hAnsi="Arial Narrow" w:cs="Arial"/>
          <w:color w:val="5F5F5F"/>
        </w:rPr>
      </w:pPr>
    </w:p>
    <w:p w:rsidR="009C1925" w:rsidRDefault="009C1925" w:rsidP="009C1925">
      <w:pPr>
        <w:spacing w:before="0" w:after="120"/>
        <w:jc w:val="both"/>
        <w:rPr>
          <w:rFonts w:ascii="Arial Narrow" w:hAnsi="Arial Narrow" w:cs="Arial"/>
          <w:color w:val="5F5F5F"/>
        </w:rPr>
      </w:pPr>
    </w:p>
    <w:p w:rsidR="009C1925" w:rsidRPr="00495C7D" w:rsidRDefault="009C1925" w:rsidP="009C1925">
      <w:pPr>
        <w:spacing w:before="0" w:after="120"/>
        <w:jc w:val="both"/>
        <w:rPr>
          <w:rFonts w:ascii="Arial" w:hAnsi="Arial" w:cs="Arial"/>
          <w:b/>
          <w:sz w:val="22"/>
          <w:szCs w:val="22"/>
        </w:rPr>
      </w:pPr>
      <w:r w:rsidRPr="00495C7D">
        <w:rPr>
          <w:rFonts w:ascii="Arial" w:hAnsi="Arial" w:cs="Arial"/>
          <w:b/>
          <w:sz w:val="22"/>
          <w:szCs w:val="22"/>
        </w:rPr>
        <w:t xml:space="preserve">Calcolo delle variazioni degli indici </w:t>
      </w:r>
    </w:p>
    <w:p w:rsidR="009C1925" w:rsidRPr="00495C7D" w:rsidRDefault="009C1925" w:rsidP="009C1925">
      <w:pPr>
        <w:pStyle w:val="Default"/>
        <w:spacing w:after="120"/>
        <w:jc w:val="both"/>
        <w:rPr>
          <w:rFonts w:ascii="Arial" w:hAnsi="Arial" w:cs="Arial"/>
          <w:sz w:val="20"/>
          <w:szCs w:val="20"/>
        </w:rPr>
      </w:pPr>
      <w:r w:rsidRPr="00495C7D">
        <w:rPr>
          <w:rFonts w:ascii="Arial" w:hAnsi="Arial" w:cs="Arial"/>
          <w:sz w:val="20"/>
          <w:szCs w:val="20"/>
        </w:rPr>
        <w:t>Il calcolo delle variazioni congiunturali e tendenziali degli indici dei prezzi al consumo si effettua, sulle serie pubblicate, secondo le regole seguenti:</w:t>
      </w:r>
    </w:p>
    <w:p w:rsidR="009C1925" w:rsidRPr="00495C7D" w:rsidRDefault="009C1925" w:rsidP="009C1925">
      <w:pPr>
        <w:pStyle w:val="Default"/>
        <w:numPr>
          <w:ilvl w:val="0"/>
          <w:numId w:val="43"/>
        </w:numPr>
        <w:spacing w:after="120"/>
        <w:jc w:val="both"/>
        <w:rPr>
          <w:rFonts w:ascii="Arial" w:hAnsi="Arial" w:cs="Arial"/>
          <w:sz w:val="20"/>
          <w:szCs w:val="20"/>
        </w:rPr>
      </w:pPr>
      <w:r w:rsidRPr="00495C7D">
        <w:rPr>
          <w:rFonts w:ascii="Arial" w:hAnsi="Arial" w:cs="Arial"/>
          <w:sz w:val="20"/>
          <w:szCs w:val="20"/>
        </w:rPr>
        <w:t xml:space="preserve">la variazione percentuale tra indici mensili, espressi nella stessa base di riferimento, è pari al rapporto degli indici messi a confronto, per 100, meno 100. Il risultato finale è arrotondato a 1 decimale (per esempio per calcolare la variazione percentuale dell’indice generale NIC tra febbraio e marzo 2022, l’indice di marzo 2022 (base 2015=100) è pari a 110,4, quello di febbraio è 109,3, quindi il calcolo è 110,4/109,3*100-100=+1,0%); </w:t>
      </w:r>
    </w:p>
    <w:p w:rsidR="009C1925" w:rsidRDefault="009C1925" w:rsidP="009C1925">
      <w:pPr>
        <w:pStyle w:val="Default"/>
        <w:numPr>
          <w:ilvl w:val="0"/>
          <w:numId w:val="43"/>
        </w:numPr>
        <w:ind w:left="714" w:hanging="357"/>
        <w:jc w:val="both"/>
        <w:rPr>
          <w:rFonts w:ascii="Arial" w:hAnsi="Arial" w:cs="Arial"/>
          <w:sz w:val="20"/>
          <w:szCs w:val="20"/>
        </w:rPr>
      </w:pPr>
      <w:r w:rsidRPr="00495C7D">
        <w:rPr>
          <w:rFonts w:ascii="Arial" w:hAnsi="Arial" w:cs="Arial"/>
          <w:sz w:val="20"/>
          <w:szCs w:val="20"/>
        </w:rPr>
        <w:t>la variazione percentuale tra indici medi annui, espressi nella medesima base di riferimento è pari al rapporto degli indici degli anni posti a confronto, per 100, meno 100; il risultato finale è arrotondato a 1 decimale (per esempio per calcolare la variazione percentuale dell’indice generale NIC tra gli anni 2022 e 2020, l’indice medio annuo del 2022, con base 2015=100, è 113,2, quello del 2020, con base 2015=100, è 102,7, quindi il calcolo è 113,2/102,7*100-100=+10,2%). Fa eccezione l’indice armonizzato (IPCA), per il quale la variazione percentuale media annua viene calcolata a partire dagli indici mensili; per esempio, per calcolare la variazione percentuale dell’indice generale IPCA tra gli anni 2022 e 2020, il calcolo è</w:t>
      </w:r>
    </w:p>
    <w:p w:rsidR="009C1925" w:rsidRPr="00495C7D" w:rsidRDefault="009C1925" w:rsidP="009C1925">
      <w:pPr>
        <w:pStyle w:val="Default"/>
        <w:spacing w:after="120"/>
        <w:ind w:left="720"/>
        <w:jc w:val="both"/>
        <w:rPr>
          <w:rFonts w:ascii="Arial" w:hAnsi="Arial" w:cs="Arial"/>
          <w:sz w:val="20"/>
          <w:szCs w:val="20"/>
        </w:rPr>
      </w:pPr>
      <w:r w:rsidRPr="00495C7D">
        <w:rPr>
          <w:rFonts w:ascii="Arial" w:hAnsi="Arial" w:cs="Arial"/>
          <w:sz w:val="20"/>
          <w:szCs w:val="20"/>
        </w:rPr>
        <w:t>(107,8+108,7+111,3+111,7+112,7+114,1+112,8+113,8+115,6+120,0+120,8+121,1)/(101,9+ 101,4+103,6+104,1+103,8+103,8+103,1+101,8+102,7+103,3+103,3+103,5)*100-100=+10,8%</w:t>
      </w:r>
    </w:p>
    <w:p w:rsidR="009C1925" w:rsidRPr="00495C7D" w:rsidRDefault="009C1925" w:rsidP="009C1925">
      <w:pPr>
        <w:pStyle w:val="Default"/>
        <w:numPr>
          <w:ilvl w:val="0"/>
          <w:numId w:val="43"/>
        </w:numPr>
        <w:spacing w:after="120"/>
        <w:jc w:val="both"/>
        <w:rPr>
          <w:rFonts w:ascii="Arial" w:hAnsi="Arial" w:cs="Arial"/>
          <w:sz w:val="20"/>
          <w:szCs w:val="20"/>
        </w:rPr>
      </w:pPr>
      <w:r w:rsidRPr="00495C7D">
        <w:rPr>
          <w:rFonts w:ascii="Arial" w:hAnsi="Arial" w:cs="Arial"/>
          <w:sz w:val="20"/>
          <w:szCs w:val="20"/>
        </w:rPr>
        <w:t xml:space="preserve">la variazione percentuale tra indici mensili o medi annui NIC (o alternativamente FOI), con diversa base di riferimento (per intervalli di tempo all’interno dei quali si registra uno o più cambiamenti di base) è pari al rapporto degli indici messi a confronto, moltiplicato per i coefficienti di raccordo tra basi contigue (tanti quanti sono i cambiamenti di base nell’intervallo considerato), per 100, meno 100. Il risultato finale è arrotondato a 1 decimale; per esempio, per calcolare variazione percentuale dell’indice generale NIC tra gli anni 2022 e 2008, l’indice medio annuo del 2022, con base 2015=100, è 113,2, quello del 2008, in base 1995=100, è 136,0; il coefficiente di raccordo da base 1995 a base 2010 è pari a 1,373; quello da base 2010 a base 2015 è pari a 1,071; il calcolo quindi è 113,2/136,0*1,373*1,071*100-100= +22,4%. </w:t>
      </w:r>
    </w:p>
    <w:p w:rsidR="009C1925" w:rsidRDefault="009C1925" w:rsidP="009C1925">
      <w:pPr>
        <w:pStyle w:val="Default"/>
        <w:spacing w:after="120"/>
        <w:jc w:val="both"/>
        <w:rPr>
          <w:rFonts w:ascii="Arial" w:hAnsi="Arial" w:cs="Arial"/>
          <w:sz w:val="18"/>
          <w:szCs w:val="20"/>
        </w:rPr>
      </w:pPr>
    </w:p>
    <w:p w:rsidR="009C1925" w:rsidRPr="00833545" w:rsidRDefault="009C1925" w:rsidP="009C1925">
      <w:pPr>
        <w:spacing w:before="0" w:after="120"/>
        <w:jc w:val="both"/>
        <w:rPr>
          <w:rFonts w:ascii="Arial" w:hAnsi="Arial" w:cs="Arial"/>
          <w:b/>
          <w:sz w:val="22"/>
          <w:szCs w:val="22"/>
        </w:rPr>
      </w:pPr>
      <w:r w:rsidRPr="00833545">
        <w:rPr>
          <w:rFonts w:ascii="Arial" w:hAnsi="Arial" w:cs="Arial"/>
          <w:b/>
          <w:sz w:val="22"/>
          <w:szCs w:val="22"/>
        </w:rPr>
        <w:t>La diffusione: tempestività e banche dati</w:t>
      </w:r>
    </w:p>
    <w:p w:rsidR="009C1925" w:rsidRPr="002875F7" w:rsidRDefault="009C1925" w:rsidP="009C1925">
      <w:pPr>
        <w:spacing w:before="0" w:after="120"/>
        <w:jc w:val="both"/>
        <w:rPr>
          <w:rFonts w:ascii="Arial" w:hAnsi="Arial" w:cs="Arial"/>
          <w:color w:val="000000"/>
          <w:kern w:val="0"/>
        </w:rPr>
      </w:pPr>
      <w:r w:rsidRPr="002875F7">
        <w:rPr>
          <w:rFonts w:ascii="Arial" w:hAnsi="Arial" w:cs="Arial"/>
          <w:color w:val="000000"/>
          <w:kern w:val="0"/>
        </w:rPr>
        <w:t>La diffusione degli indici dei prezzi al consumo da parte dell’Istat avviene in due momenti temporali successivi secondo una diversa modalità di rilascio dei dati: stima provvisoria e stima definitiva.</w:t>
      </w:r>
    </w:p>
    <w:p w:rsidR="009C1925" w:rsidRDefault="009C1925" w:rsidP="009C1925">
      <w:pPr>
        <w:spacing w:before="0" w:after="120"/>
        <w:jc w:val="both"/>
        <w:rPr>
          <w:rFonts w:ascii="Arial" w:hAnsi="Arial" w:cs="Arial"/>
          <w:color w:val="000000"/>
          <w:kern w:val="0"/>
        </w:rPr>
      </w:pPr>
      <w:r w:rsidRPr="002875F7">
        <w:rPr>
          <w:rFonts w:ascii="Arial" w:hAnsi="Arial" w:cs="Arial"/>
          <w:color w:val="000000"/>
          <w:kern w:val="0"/>
        </w:rPr>
        <w:t xml:space="preserve">La diffusione della stima provvisoria degli indici NIC (generale, per divisione di spesa, per tipologia di prodotto e per frequenza d’acquisto) e dell’indice IPCA (generale, per divisione di spesa e per aggregati speciali) avviene alla fine del mese di riferimento, mentre la diffusione dei dati definitivi dei tre indici NIC, IPCA e FOI avviene non oltre la metà del mese successivo a quello di riferimento. I tempi di pubblicazione sono stabiliti da un calendario </w:t>
      </w:r>
      <w:hyperlink r:id="rId53" w:history="1">
        <w:r w:rsidRPr="002875F7">
          <w:rPr>
            <w:rStyle w:val="Collegamentoipertestuale"/>
            <w:rFonts w:ascii="Arial" w:hAnsi="Arial" w:cs="Arial"/>
            <w:kern w:val="0"/>
          </w:rPr>
          <w:t>https://www.istat.it/it/informazioni-e-servizi/per-i-giornalisti/appuntamenti/calendario-diffusioni-ed-eventi</w:t>
        </w:r>
      </w:hyperlink>
      <w:r w:rsidRPr="002875F7">
        <w:rPr>
          <w:rFonts w:ascii="Arial" w:hAnsi="Arial" w:cs="Arial"/>
          <w:color w:val="000000"/>
          <w:kern w:val="0"/>
        </w:rPr>
        <w:t xml:space="preserve"> concordato con Eurostat, nel mese di dicembre di ogni anno, per l’anno successivo e secondo gli standard di diffusione (SDDS – Special Data Dissemination Standard) definiti dal Fondo Monetario Internazionale.</w:t>
      </w:r>
    </w:p>
    <w:p w:rsidR="009C1925" w:rsidRPr="002875F7" w:rsidRDefault="009C1925" w:rsidP="009C1925">
      <w:pPr>
        <w:spacing w:before="0" w:after="120"/>
        <w:jc w:val="both"/>
        <w:rPr>
          <w:rFonts w:ascii="Arial" w:hAnsi="Arial" w:cs="Arial"/>
          <w:color w:val="000000"/>
          <w:kern w:val="0"/>
        </w:rPr>
      </w:pPr>
      <w:r w:rsidRPr="002875F7">
        <w:rPr>
          <w:rFonts w:ascii="Arial" w:hAnsi="Arial" w:cs="Arial"/>
          <w:color w:val="000000"/>
          <w:kern w:val="0"/>
        </w:rPr>
        <w:t>Con la pubblicazione dei dati di gennaio 2019,</w:t>
      </w:r>
      <w:r w:rsidRPr="002875F7">
        <w:t xml:space="preserve"> </w:t>
      </w:r>
      <w:r w:rsidRPr="002875F7">
        <w:rPr>
          <w:rFonts w:ascii="Arial" w:hAnsi="Arial" w:cs="Arial"/>
          <w:color w:val="000000"/>
          <w:kern w:val="0"/>
        </w:rPr>
        <w:t xml:space="preserve">la diffusione diretta degli indici comunali dei prezzi al consumo è effettuata dai comuni autorizzati in concomitanza con l’uscita degli indici definitivi da parte dell’Istat. </w:t>
      </w:r>
    </w:p>
    <w:p w:rsidR="009C1925" w:rsidRPr="002875F7" w:rsidRDefault="009C1925" w:rsidP="009C1925">
      <w:pPr>
        <w:spacing w:before="0" w:after="120"/>
        <w:jc w:val="both"/>
        <w:rPr>
          <w:rFonts w:ascii="Arial" w:hAnsi="Arial" w:cs="Arial"/>
          <w:color w:val="000000"/>
          <w:kern w:val="0"/>
        </w:rPr>
      </w:pPr>
      <w:r w:rsidRPr="002875F7">
        <w:rPr>
          <w:rFonts w:ascii="Arial" w:hAnsi="Arial" w:cs="Arial"/>
          <w:color w:val="000000"/>
          <w:kern w:val="0"/>
        </w:rPr>
        <w:t xml:space="preserve">Gli indici, sia per la stima preliminare sia per quella definitiva, sono diffusi attraverso il comunicato stampa “Prezzi al consumo” disponibile sul sito web dell’Istituto all’indirizzo </w:t>
      </w:r>
      <w:hyperlink r:id="rId54" w:history="1">
        <w:r w:rsidRPr="002875F7">
          <w:rPr>
            <w:rStyle w:val="Collegamentoipertestuale"/>
            <w:rFonts w:ascii="Arial" w:hAnsi="Arial" w:cs="Arial"/>
            <w:kern w:val="0"/>
          </w:rPr>
          <w:t>https://www.istat.it/it/archivio/prezzi+al+consumo</w:t>
        </w:r>
      </w:hyperlink>
      <w:r w:rsidRPr="002875F7">
        <w:rPr>
          <w:rFonts w:ascii="Arial" w:hAnsi="Arial" w:cs="Arial"/>
          <w:color w:val="000000"/>
          <w:kern w:val="0"/>
        </w:rPr>
        <w:t>.</w:t>
      </w:r>
    </w:p>
    <w:p w:rsidR="009C1925" w:rsidRPr="002875F7" w:rsidRDefault="009C1925" w:rsidP="009C1925">
      <w:pPr>
        <w:spacing w:before="0" w:after="120"/>
        <w:jc w:val="both"/>
        <w:rPr>
          <w:rFonts w:ascii="Arial" w:hAnsi="Arial" w:cs="Arial"/>
          <w:color w:val="000000"/>
          <w:kern w:val="0"/>
        </w:rPr>
      </w:pPr>
      <w:r w:rsidRPr="002875F7">
        <w:rPr>
          <w:rFonts w:ascii="Arial" w:hAnsi="Arial" w:cs="Arial"/>
          <w:color w:val="000000"/>
          <w:kern w:val="0"/>
        </w:rPr>
        <w:t>Le serie degli indici aggiornate sono pubblicate, in concomitanza con la diffusione del comunicato stampa, sul data warehouse I.Stat (</w:t>
      </w:r>
      <w:hyperlink r:id="rId55" w:history="1">
        <w:r w:rsidRPr="002875F7">
          <w:rPr>
            <w:rStyle w:val="Collegamentoipertestuale"/>
            <w:rFonts w:ascii="Arial" w:hAnsi="Arial" w:cs="Arial"/>
            <w:kern w:val="0"/>
          </w:rPr>
          <w:t>http://dati.istat.it</w:t>
        </w:r>
      </w:hyperlink>
      <w:r w:rsidRPr="002875F7">
        <w:rPr>
          <w:rFonts w:ascii="Arial" w:hAnsi="Arial" w:cs="Arial"/>
          <w:color w:val="000000"/>
          <w:kern w:val="0"/>
        </w:rPr>
        <w:t>) all’interno del tema Prezzi - Prezzi al consumo. Unitamente agli indici mensili sono diffuse le variazioni percentuali congiunturali e tendenziali, gli indici medi annui, le variazioni medie annue e i pesi calcolati annualmente. Gli indici ai diversi livelli di aggregazione e per i diversi livelli territoriali di riferimento che hanno avuto una quota di imputazioni superiore al 50% (in termini di prezzi mancanti e/o di peso) sono individuabili con il flag “i” (dato imputato).</w:t>
      </w:r>
    </w:p>
    <w:p w:rsidR="009C1925" w:rsidRPr="002875F7" w:rsidRDefault="009C1925" w:rsidP="009C1925">
      <w:pPr>
        <w:spacing w:before="0" w:after="120"/>
        <w:jc w:val="both"/>
        <w:rPr>
          <w:rFonts w:ascii="Arial" w:hAnsi="Arial" w:cs="Arial"/>
        </w:rPr>
      </w:pPr>
      <w:r w:rsidRPr="002875F7">
        <w:rPr>
          <w:rFonts w:ascii="Arial" w:hAnsi="Arial" w:cs="Arial"/>
        </w:rPr>
        <w:t xml:space="preserve">Informazioni sugli indici dei prezzi al consumo sono disponibili sulla banca dati </w:t>
      </w:r>
      <w:hyperlink r:id="rId56" w:history="1">
        <w:r w:rsidRPr="002875F7">
          <w:rPr>
            <w:rStyle w:val="Collegamentoipertestuale"/>
            <w:rFonts w:ascii="Arial" w:hAnsi="Arial" w:cs="Arial"/>
          </w:rPr>
          <w:t>Congiuntura.Stat</w:t>
        </w:r>
      </w:hyperlink>
      <w:r w:rsidRPr="002875F7">
        <w:rPr>
          <w:rFonts w:ascii="Arial" w:hAnsi="Arial" w:cs="Arial"/>
        </w:rPr>
        <w:t>, che raccoglie e sistematizza le statistiche congiunturali prodotte dall’Istat e si propone quale strumento di approfondimento per policy maker, operatori sociali, studiosi e cittadini.</w:t>
      </w:r>
    </w:p>
    <w:p w:rsidR="009C1925" w:rsidRDefault="009C1925" w:rsidP="009C1925">
      <w:pPr>
        <w:spacing w:before="0" w:after="120"/>
        <w:jc w:val="both"/>
        <w:rPr>
          <w:rFonts w:ascii="Arial" w:hAnsi="Arial" w:cs="Arial"/>
          <w:color w:val="000000"/>
          <w:kern w:val="0"/>
        </w:rPr>
      </w:pPr>
      <w:r w:rsidRPr="002875F7">
        <w:rPr>
          <w:rFonts w:ascii="Arial" w:hAnsi="Arial" w:cs="Arial"/>
          <w:color w:val="000000"/>
          <w:kern w:val="0"/>
        </w:rPr>
        <w:t xml:space="preserve">Informazioni sulle serie storiche di tutti e tre gli indici, a partire dal 1861 e fino al 2015, sono disponibili sul sito dell’Istat all’indirizzo </w:t>
      </w:r>
      <w:hyperlink r:id="rId57" w:history="1">
        <w:r w:rsidRPr="002875F7">
          <w:rPr>
            <w:rStyle w:val="Collegamentoipertestuale"/>
            <w:rFonts w:ascii="Arial" w:hAnsi="Arial" w:cs="Arial"/>
            <w:kern w:val="0"/>
          </w:rPr>
          <w:t>http://seriestoriche.istat.it/</w:t>
        </w:r>
      </w:hyperlink>
      <w:r w:rsidRPr="002875F7">
        <w:rPr>
          <w:rFonts w:ascii="Arial" w:hAnsi="Arial" w:cs="Arial"/>
          <w:color w:val="000000"/>
          <w:kern w:val="0"/>
        </w:rPr>
        <w:t>.</w:t>
      </w:r>
    </w:p>
    <w:p w:rsidR="009C1925" w:rsidRDefault="009C1925" w:rsidP="009C1925">
      <w:pPr>
        <w:spacing w:before="0" w:after="120"/>
        <w:jc w:val="both"/>
        <w:rPr>
          <w:rFonts w:ascii="Arial" w:hAnsi="Arial" w:cs="Arial"/>
          <w:color w:val="000000"/>
          <w:kern w:val="0"/>
        </w:rPr>
      </w:pPr>
    </w:p>
    <w:p w:rsidR="009C1925" w:rsidRDefault="009C1925" w:rsidP="009C1925">
      <w:pPr>
        <w:spacing w:before="0" w:after="120"/>
        <w:jc w:val="both"/>
        <w:rPr>
          <w:rFonts w:ascii="Arial" w:hAnsi="Arial" w:cs="Arial"/>
          <w:color w:val="000000"/>
          <w:kern w:val="0"/>
        </w:rPr>
      </w:pPr>
    </w:p>
    <w:p w:rsidR="009C1925" w:rsidRPr="002875F7" w:rsidRDefault="009C1925" w:rsidP="009C1925">
      <w:pPr>
        <w:spacing w:before="0" w:after="120"/>
        <w:jc w:val="both"/>
        <w:rPr>
          <w:rFonts w:ascii="Arial" w:hAnsi="Arial" w:cs="Arial"/>
          <w:color w:val="000000"/>
          <w:kern w:val="0"/>
        </w:rPr>
      </w:pPr>
    </w:p>
    <w:p w:rsidR="009C1925" w:rsidRPr="002875F7" w:rsidRDefault="009C1925" w:rsidP="009C1925">
      <w:pPr>
        <w:spacing w:before="0" w:after="120"/>
        <w:jc w:val="both"/>
        <w:rPr>
          <w:rFonts w:ascii="Arial" w:hAnsi="Arial" w:cs="Arial"/>
          <w:color w:val="000000"/>
          <w:kern w:val="0"/>
        </w:rPr>
      </w:pPr>
      <w:r w:rsidRPr="002875F7">
        <w:rPr>
          <w:rFonts w:ascii="Arial" w:hAnsi="Arial" w:cs="Arial"/>
          <w:color w:val="000000"/>
          <w:kern w:val="0"/>
        </w:rPr>
        <w:t>Dati riepilogativi e approfondimenti sui prezzi al consumo e sul paniere dei beni e servizi sono, inoltre, contenuti in alcuni prodotti editoriali diffusi dall’Istat a cadenza annuale, quali l’</w:t>
      </w:r>
      <w:r w:rsidRPr="002875F7">
        <w:rPr>
          <w:rFonts w:ascii="Arial" w:hAnsi="Arial" w:cs="Arial"/>
          <w:i/>
          <w:color w:val="000000"/>
          <w:kern w:val="0"/>
        </w:rPr>
        <w:t>Annuario statistico</w:t>
      </w:r>
      <w:r w:rsidRPr="002875F7">
        <w:rPr>
          <w:rFonts w:ascii="Arial" w:hAnsi="Arial" w:cs="Arial"/>
          <w:color w:val="000000"/>
          <w:kern w:val="0"/>
        </w:rPr>
        <w:t xml:space="preserve">, il </w:t>
      </w:r>
      <w:r w:rsidRPr="002875F7">
        <w:rPr>
          <w:rFonts w:ascii="Arial" w:hAnsi="Arial" w:cs="Arial"/>
          <w:i/>
          <w:color w:val="000000"/>
          <w:kern w:val="0"/>
        </w:rPr>
        <w:t>Rapporto annuale</w:t>
      </w:r>
      <w:r w:rsidRPr="002875F7">
        <w:rPr>
          <w:rFonts w:ascii="Arial" w:hAnsi="Arial" w:cs="Arial"/>
          <w:color w:val="000000"/>
          <w:kern w:val="0"/>
        </w:rPr>
        <w:t xml:space="preserve"> e la pubblicazione </w:t>
      </w:r>
      <w:r w:rsidRPr="002875F7">
        <w:rPr>
          <w:rFonts w:ascii="Arial" w:hAnsi="Arial" w:cs="Arial"/>
          <w:i/>
          <w:color w:val="000000"/>
          <w:kern w:val="0"/>
        </w:rPr>
        <w:t>Noi Italia</w:t>
      </w:r>
      <w:r w:rsidRPr="002875F7">
        <w:rPr>
          <w:rFonts w:ascii="Arial" w:hAnsi="Arial" w:cs="Arial"/>
          <w:color w:val="000000"/>
          <w:kern w:val="0"/>
        </w:rPr>
        <w:t>.</w:t>
      </w:r>
    </w:p>
    <w:p w:rsidR="009C1925" w:rsidRPr="002875F7" w:rsidRDefault="009C1925" w:rsidP="009C1925">
      <w:pPr>
        <w:spacing w:before="0" w:after="120"/>
        <w:jc w:val="both"/>
        <w:rPr>
          <w:rFonts w:ascii="Arial" w:hAnsi="Arial" w:cs="Arial"/>
          <w:color w:val="000000"/>
          <w:kern w:val="0"/>
        </w:rPr>
      </w:pPr>
      <w:r w:rsidRPr="002875F7">
        <w:rPr>
          <w:rFonts w:ascii="Arial" w:hAnsi="Arial" w:cs="Arial"/>
          <w:color w:val="000000"/>
          <w:kern w:val="0"/>
        </w:rPr>
        <w:t xml:space="preserve">In adempimento al Regolamento europeo </w:t>
      </w:r>
      <w:r w:rsidRPr="002875F7">
        <w:rPr>
          <w:rFonts w:ascii="Arial" w:hAnsi="Arial" w:cs="Arial"/>
          <w:kern w:val="0"/>
        </w:rPr>
        <w:t>n. 792/2016,</w:t>
      </w:r>
      <w:r w:rsidRPr="002875F7">
        <w:rPr>
          <w:rFonts w:ascii="Arial" w:hAnsi="Arial" w:cs="Arial"/>
          <w:color w:val="000000"/>
          <w:kern w:val="0"/>
        </w:rPr>
        <w:t xml:space="preserve"> i dati dell’indagine sui prezzi al consumo sono trasmessi due volte al mese ad Eurostat. I principali indicatori, archiviati nel database di Eurostat, sono consultabili all’indirizzo </w:t>
      </w:r>
      <w:hyperlink r:id="rId58" w:history="1">
        <w:r w:rsidRPr="002875F7">
          <w:rPr>
            <w:rStyle w:val="Collegamentoipertestuale"/>
            <w:rFonts w:ascii="Arial" w:hAnsi="Arial" w:cs="Arial"/>
            <w:kern w:val="0"/>
          </w:rPr>
          <w:t>http://ec.europa.eu/eurostat/data/database</w:t>
        </w:r>
      </w:hyperlink>
      <w:r w:rsidRPr="002875F7">
        <w:rPr>
          <w:rFonts w:ascii="Arial" w:hAnsi="Arial" w:cs="Arial"/>
          <w:color w:val="000000"/>
          <w:kern w:val="0"/>
        </w:rPr>
        <w:t xml:space="preserve"> (Tema “</w:t>
      </w:r>
      <w:r w:rsidRPr="002875F7">
        <w:rPr>
          <w:rFonts w:ascii="Arial" w:hAnsi="Arial" w:cs="Arial"/>
          <w:i/>
          <w:iCs/>
          <w:color w:val="000000"/>
          <w:kern w:val="0"/>
        </w:rPr>
        <w:t>Economy and finance</w:t>
      </w:r>
      <w:r w:rsidRPr="002875F7">
        <w:rPr>
          <w:rFonts w:ascii="Arial" w:hAnsi="Arial" w:cs="Arial"/>
          <w:color w:val="000000"/>
          <w:kern w:val="0"/>
        </w:rPr>
        <w:t>”, argomento “</w:t>
      </w:r>
      <w:r w:rsidRPr="002875F7">
        <w:rPr>
          <w:rFonts w:ascii="Arial" w:hAnsi="Arial" w:cs="Arial"/>
          <w:i/>
          <w:iCs/>
          <w:color w:val="000000"/>
          <w:kern w:val="0"/>
        </w:rPr>
        <w:t>Prices</w:t>
      </w:r>
      <w:r w:rsidRPr="002875F7">
        <w:rPr>
          <w:rFonts w:ascii="Arial" w:hAnsi="Arial" w:cs="Arial"/>
          <w:color w:val="000000"/>
          <w:kern w:val="0"/>
        </w:rPr>
        <w:t>”).</w:t>
      </w:r>
    </w:p>
    <w:p w:rsidR="009C1925" w:rsidRDefault="009C1925" w:rsidP="009C1925">
      <w:pPr>
        <w:spacing w:before="0" w:after="120"/>
        <w:jc w:val="both"/>
        <w:rPr>
          <w:rFonts w:ascii="Arial" w:hAnsi="Arial" w:cs="Arial"/>
          <w:sz w:val="18"/>
          <w:szCs w:val="22"/>
        </w:rPr>
      </w:pPr>
    </w:p>
    <w:p w:rsidR="009C1925" w:rsidRDefault="009C1925" w:rsidP="009C1925">
      <w:pPr>
        <w:spacing w:before="0" w:after="120"/>
        <w:jc w:val="both"/>
        <w:rPr>
          <w:rFonts w:ascii="Arial" w:hAnsi="Arial" w:cs="Arial"/>
          <w:sz w:val="18"/>
          <w:szCs w:val="22"/>
        </w:rPr>
      </w:pPr>
    </w:p>
    <w:p w:rsidR="009C1925" w:rsidRPr="001E6318" w:rsidRDefault="009C1925" w:rsidP="009C1925">
      <w:pPr>
        <w:spacing w:before="0" w:after="120"/>
        <w:jc w:val="both"/>
        <w:rPr>
          <w:rFonts w:ascii="Arial" w:hAnsi="Arial" w:cs="Arial"/>
          <w:color w:val="000000"/>
          <w:kern w:val="0"/>
        </w:rPr>
      </w:pPr>
    </w:p>
    <w:p w:rsidR="005E554C" w:rsidRDefault="006D65E3" w:rsidP="00E0420A">
      <w:pPr>
        <w:spacing w:before="0" w:after="120"/>
        <w:jc w:val="both"/>
        <w:rPr>
          <w:rFonts w:ascii="Arial"/>
          <w:color w:val="CD232E"/>
          <w:spacing w:val="-1"/>
          <w:sz w:val="36"/>
        </w:rPr>
      </w:pPr>
      <w:r>
        <w:rPr>
          <w:rFonts w:ascii="Arial"/>
          <w:color w:val="CD232E"/>
          <w:spacing w:val="-1"/>
          <w:sz w:val="36"/>
        </w:rPr>
        <w:t>Per chiarimenti</w:t>
      </w:r>
      <w:r>
        <w:rPr>
          <w:rFonts w:ascii="Arial"/>
          <w:color w:val="CD232E"/>
          <w:spacing w:val="1"/>
          <w:sz w:val="36"/>
        </w:rPr>
        <w:t xml:space="preserve"> </w:t>
      </w:r>
      <w:r>
        <w:rPr>
          <w:rFonts w:ascii="Arial"/>
          <w:color w:val="CD232E"/>
          <w:spacing w:val="-1"/>
          <w:sz w:val="36"/>
        </w:rPr>
        <w:t>tecnici</w:t>
      </w:r>
      <w:r>
        <w:rPr>
          <w:rFonts w:ascii="Arial"/>
          <w:color w:val="CD232E"/>
          <w:spacing w:val="-2"/>
          <w:sz w:val="36"/>
        </w:rPr>
        <w:t xml:space="preserve"> </w:t>
      </w:r>
      <w:r>
        <w:rPr>
          <w:rFonts w:ascii="Arial"/>
          <w:color w:val="CD232E"/>
          <w:sz w:val="36"/>
        </w:rPr>
        <w:t>e</w:t>
      </w:r>
      <w:r>
        <w:rPr>
          <w:rFonts w:ascii="Arial"/>
          <w:color w:val="CD232E"/>
          <w:spacing w:val="-1"/>
          <w:sz w:val="36"/>
        </w:rPr>
        <w:t xml:space="preserve"> metodologici</w:t>
      </w:r>
    </w:p>
    <w:p w:rsidR="00B95B18" w:rsidRDefault="00B95B18" w:rsidP="00E0420A">
      <w:pPr>
        <w:spacing w:before="0" w:after="120"/>
        <w:jc w:val="both"/>
        <w:rPr>
          <w:rFonts w:ascii="Arial" w:hAnsi="Arial" w:cs="Arial"/>
          <w:b/>
        </w:rPr>
        <w:sectPr w:rsidR="00B95B18" w:rsidSect="000161B7">
          <w:headerReference w:type="default" r:id="rId59"/>
          <w:pgSz w:w="11907" w:h="16840" w:code="9"/>
          <w:pgMar w:top="1534" w:right="851" w:bottom="680" w:left="851" w:header="567" w:footer="567" w:gutter="0"/>
          <w:cols w:space="720"/>
          <w:noEndnote/>
          <w:docGrid w:linePitch="272"/>
        </w:sectPr>
      </w:pPr>
    </w:p>
    <w:p w:rsidR="00B95B18" w:rsidRPr="00C141F9" w:rsidRDefault="009C1925" w:rsidP="00B95B18">
      <w:pPr>
        <w:pStyle w:val="Titolo3"/>
        <w:spacing w:before="72"/>
        <w:rPr>
          <w:rFonts w:ascii="Arial" w:eastAsia="Arial" w:hAnsi="Arial" w:cs="Arial"/>
          <w:b w:val="0"/>
          <w:bCs w:val="0"/>
        </w:rPr>
      </w:pPr>
      <w:r>
        <w:rPr>
          <w:rFonts w:ascii="Arial"/>
          <w:color w:val="CD232E"/>
          <w:spacing w:val="-1"/>
        </w:rPr>
        <w:t>Manuela</w:t>
      </w:r>
      <w:r w:rsidR="00B95B18">
        <w:rPr>
          <w:rFonts w:ascii="Arial"/>
          <w:color w:val="CD232E"/>
          <w:spacing w:val="-1"/>
        </w:rPr>
        <w:t xml:space="preserve"> </w:t>
      </w:r>
      <w:r>
        <w:rPr>
          <w:rFonts w:ascii="Arial"/>
          <w:color w:val="CD232E"/>
          <w:spacing w:val="-1"/>
        </w:rPr>
        <w:t>Morricone</w:t>
      </w:r>
    </w:p>
    <w:p w:rsidR="00B95B18" w:rsidRPr="00C141F9" w:rsidRDefault="00B95B18" w:rsidP="00B95B18">
      <w:pPr>
        <w:spacing w:before="122"/>
        <w:rPr>
          <w:rFonts w:ascii="Arial" w:eastAsia="Arial" w:hAnsi="Arial" w:cs="Arial"/>
          <w:sz w:val="24"/>
          <w:szCs w:val="24"/>
        </w:rPr>
      </w:pPr>
      <w:r w:rsidRPr="00C141F9">
        <w:rPr>
          <w:rFonts w:ascii="Arial"/>
          <w:sz w:val="24"/>
        </w:rPr>
        <w:t>tel.</w:t>
      </w:r>
      <w:r w:rsidRPr="00C141F9">
        <w:rPr>
          <w:rFonts w:ascii="Arial"/>
          <w:spacing w:val="-1"/>
          <w:sz w:val="24"/>
        </w:rPr>
        <w:t xml:space="preserve"> +39</w:t>
      </w:r>
      <w:r w:rsidRPr="00C141F9">
        <w:rPr>
          <w:rFonts w:ascii="Arial"/>
          <w:spacing w:val="-3"/>
          <w:sz w:val="24"/>
        </w:rPr>
        <w:t xml:space="preserve"> </w:t>
      </w:r>
      <w:r w:rsidRPr="00C141F9">
        <w:rPr>
          <w:rFonts w:ascii="Arial"/>
          <w:sz w:val="24"/>
        </w:rPr>
        <w:t>06</w:t>
      </w:r>
      <w:r w:rsidRPr="00C141F9">
        <w:rPr>
          <w:rFonts w:ascii="Arial"/>
          <w:spacing w:val="-3"/>
          <w:sz w:val="24"/>
        </w:rPr>
        <w:t xml:space="preserve"> </w:t>
      </w:r>
      <w:r>
        <w:rPr>
          <w:rFonts w:ascii="Arial"/>
          <w:spacing w:val="-1"/>
          <w:sz w:val="24"/>
        </w:rPr>
        <w:t>4673</w:t>
      </w:r>
      <w:r w:rsidRPr="00C141F9">
        <w:rPr>
          <w:rFonts w:ascii="Arial"/>
          <w:spacing w:val="-1"/>
          <w:sz w:val="24"/>
        </w:rPr>
        <w:t xml:space="preserve"> </w:t>
      </w:r>
      <w:r w:rsidR="009C1925">
        <w:rPr>
          <w:rFonts w:ascii="Arial"/>
          <w:spacing w:val="-1"/>
          <w:sz w:val="24"/>
        </w:rPr>
        <w:t>2181</w:t>
      </w:r>
    </w:p>
    <w:p w:rsidR="00B95B18" w:rsidRDefault="003F6E7D" w:rsidP="00B95B18">
      <w:pPr>
        <w:spacing w:before="98"/>
        <w:rPr>
          <w:rFonts w:ascii="Arial"/>
          <w:color w:val="0000FF"/>
          <w:spacing w:val="-1"/>
          <w:sz w:val="24"/>
          <w:u w:val="single" w:color="0000FF"/>
        </w:rPr>
      </w:pPr>
      <w:hyperlink r:id="rId60" w:history="1">
        <w:r w:rsidR="009C1925" w:rsidRPr="004C72A3">
          <w:rPr>
            <w:rStyle w:val="Collegamentoipertestuale"/>
            <w:rFonts w:ascii="Arial"/>
            <w:spacing w:val="-1"/>
            <w:sz w:val="24"/>
            <w:u w:color="0000FF"/>
          </w:rPr>
          <w:t>manuela.morricone@istat.it</w:t>
        </w:r>
      </w:hyperlink>
    </w:p>
    <w:p w:rsidR="003B3E1E" w:rsidRPr="00C141F9" w:rsidRDefault="00B95B18" w:rsidP="003B3E1E">
      <w:pPr>
        <w:spacing w:before="72"/>
        <w:ind w:left="112"/>
        <w:rPr>
          <w:rFonts w:ascii="Arial" w:eastAsia="Arial" w:hAnsi="Arial" w:cs="Arial"/>
        </w:rPr>
      </w:pPr>
      <w:r>
        <w:br w:type="column"/>
      </w:r>
      <w:r w:rsidR="003B3E1E">
        <w:rPr>
          <w:rFonts w:ascii="Arial"/>
          <w:b/>
          <w:color w:val="CD232E"/>
          <w:spacing w:val="-1"/>
        </w:rPr>
        <w:t>Alessandro Brunetti</w:t>
      </w:r>
    </w:p>
    <w:p w:rsidR="003B3E1E" w:rsidRPr="00C141F9" w:rsidRDefault="003B3E1E" w:rsidP="003B3E1E">
      <w:pPr>
        <w:spacing w:before="122"/>
        <w:ind w:left="112"/>
        <w:rPr>
          <w:rFonts w:ascii="Arial" w:eastAsia="Arial" w:hAnsi="Arial" w:cs="Arial"/>
          <w:sz w:val="24"/>
          <w:szCs w:val="24"/>
        </w:rPr>
      </w:pPr>
      <w:r w:rsidRPr="00C141F9">
        <w:rPr>
          <w:rFonts w:ascii="Arial"/>
          <w:sz w:val="24"/>
        </w:rPr>
        <w:t>tel.</w:t>
      </w:r>
      <w:r w:rsidRPr="00C141F9">
        <w:rPr>
          <w:rFonts w:ascii="Arial"/>
          <w:spacing w:val="-2"/>
          <w:sz w:val="24"/>
        </w:rPr>
        <w:t xml:space="preserve"> </w:t>
      </w:r>
      <w:r w:rsidRPr="00C141F9">
        <w:rPr>
          <w:rFonts w:ascii="Arial"/>
          <w:spacing w:val="-1"/>
          <w:sz w:val="24"/>
        </w:rPr>
        <w:t>+39</w:t>
      </w:r>
      <w:r w:rsidRPr="00C141F9">
        <w:rPr>
          <w:rFonts w:ascii="Arial"/>
          <w:spacing w:val="-3"/>
          <w:sz w:val="24"/>
        </w:rPr>
        <w:t xml:space="preserve"> </w:t>
      </w:r>
      <w:r w:rsidRPr="00C141F9">
        <w:rPr>
          <w:rFonts w:ascii="Arial"/>
          <w:sz w:val="24"/>
        </w:rPr>
        <w:t>06</w:t>
      </w:r>
      <w:r w:rsidRPr="00C141F9">
        <w:rPr>
          <w:rFonts w:ascii="Arial"/>
          <w:spacing w:val="-3"/>
          <w:sz w:val="24"/>
        </w:rPr>
        <w:t xml:space="preserve"> </w:t>
      </w:r>
      <w:r w:rsidRPr="00C141F9">
        <w:rPr>
          <w:rFonts w:ascii="Arial"/>
          <w:spacing w:val="-1"/>
          <w:sz w:val="24"/>
        </w:rPr>
        <w:t>4673</w:t>
      </w:r>
      <w:r>
        <w:rPr>
          <w:rFonts w:ascii="Arial"/>
          <w:spacing w:val="-1"/>
          <w:sz w:val="24"/>
        </w:rPr>
        <w:t xml:space="preserve"> 2545</w:t>
      </w:r>
    </w:p>
    <w:p w:rsidR="003B3E1E" w:rsidRDefault="003F6E7D" w:rsidP="003B3E1E">
      <w:pPr>
        <w:spacing w:before="98"/>
        <w:ind w:left="112"/>
        <w:rPr>
          <w:rFonts w:ascii="Arial"/>
          <w:color w:val="0000FF"/>
          <w:spacing w:val="-1"/>
          <w:sz w:val="24"/>
          <w:u w:val="single" w:color="0000FF"/>
        </w:rPr>
      </w:pPr>
      <w:hyperlink r:id="rId61" w:history="1">
        <w:r w:rsidR="003B3E1E" w:rsidRPr="001438A9">
          <w:rPr>
            <w:rStyle w:val="Collegamentoipertestuale"/>
            <w:rFonts w:ascii="Arial"/>
            <w:spacing w:val="-1"/>
            <w:sz w:val="24"/>
            <w:u w:color="0000FF"/>
          </w:rPr>
          <w:t>alessandro.brunetti@istat.it</w:t>
        </w:r>
      </w:hyperlink>
    </w:p>
    <w:p w:rsidR="006D65E3" w:rsidRPr="00C8504B" w:rsidRDefault="006D65E3" w:rsidP="003B3E1E">
      <w:pPr>
        <w:spacing w:before="98"/>
        <w:rPr>
          <w:rFonts w:ascii="Arial" w:hAnsi="Arial" w:cs="Arial"/>
          <w:b/>
        </w:rPr>
      </w:pPr>
    </w:p>
    <w:sectPr w:rsidR="006D65E3" w:rsidRPr="00C8504B" w:rsidSect="00B95B18">
      <w:type w:val="continuous"/>
      <w:pgSz w:w="11907" w:h="16840" w:code="9"/>
      <w:pgMar w:top="1534" w:right="851" w:bottom="680" w:left="851" w:header="567" w:footer="567" w:gutter="0"/>
      <w:cols w:num="2"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6E7D" w:rsidRDefault="003F6E7D">
      <w:r>
        <w:separator/>
      </w:r>
    </w:p>
  </w:endnote>
  <w:endnote w:type="continuationSeparator" w:id="0">
    <w:p w:rsidR="003F6E7D" w:rsidRDefault="003F6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FAD" w:rsidRDefault="000D0FAD" w:rsidP="009F455F">
    <w:pPr>
      <w:pStyle w:val="Pidipagina"/>
      <w:ind w:left="1560"/>
    </w:pPr>
    <w:r>
      <w:rPr>
        <w:rFonts w:ascii="Calibri" w:hAnsi="Calibri"/>
        <w:noProof/>
        <w:color w:val="E42618"/>
        <w:sz w:val="28"/>
        <w:szCs w:val="28"/>
      </w:rPr>
      <w:drawing>
        <wp:anchor distT="0" distB="0" distL="114300" distR="114300" simplePos="0" relativeHeight="251655168" behindDoc="0" locked="0" layoutInCell="1" allowOverlap="1">
          <wp:simplePos x="0" y="0"/>
          <wp:positionH relativeFrom="column">
            <wp:posOffset>13335</wp:posOffset>
          </wp:positionH>
          <wp:positionV relativeFrom="paragraph">
            <wp:posOffset>-107950</wp:posOffset>
          </wp:positionV>
          <wp:extent cx="943610" cy="390525"/>
          <wp:effectExtent l="0" t="0" r="8890" b="9525"/>
          <wp:wrapNone/>
          <wp:docPr id="25"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a:ln>
                    <a:noFill/>
                  </a:ln>
                </pic:spPr>
              </pic:pic>
            </a:graphicData>
          </a:graphic>
        </wp:anchor>
      </w:drawing>
    </w:r>
    <w:r w:rsidRPr="00A96D51">
      <w:rPr>
        <w:rStyle w:val="Numeropagina"/>
        <w:rFonts w:ascii="Calibri" w:hAnsi="Calibri"/>
        <w:color w:val="E42618"/>
        <w:sz w:val="28"/>
        <w:szCs w:val="28"/>
      </w:rPr>
      <w:t>|</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sidR="006C3220">
      <w:rPr>
        <w:rFonts w:ascii="Arial" w:hAnsi="Arial" w:cs="Arial"/>
        <w:b/>
        <w:noProof/>
        <w:color w:val="808080"/>
        <w:sz w:val="24"/>
        <w:szCs w:val="24"/>
      </w:rPr>
      <w:t>20</w:t>
    </w:r>
    <w:r w:rsidRPr="006B6BAF">
      <w:rPr>
        <w:rFonts w:ascii="Arial" w:hAnsi="Arial" w:cs="Arial"/>
        <w:b/>
        <w:color w:val="80808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FAD" w:rsidRDefault="000D0FAD" w:rsidP="00CB0759">
    <w:pPr>
      <w:pStyle w:val="Pidipagina"/>
      <w:ind w:left="1560"/>
    </w:pPr>
    <w:r>
      <w:rPr>
        <w:rFonts w:ascii="Calibri" w:hAnsi="Calibri"/>
        <w:noProof/>
        <w:color w:val="E42618"/>
        <w:sz w:val="28"/>
        <w:szCs w:val="28"/>
      </w:rPr>
      <w:drawing>
        <wp:anchor distT="0" distB="0" distL="114300" distR="114300" simplePos="0" relativeHeight="251656192" behindDoc="0" locked="0" layoutInCell="1" allowOverlap="1">
          <wp:simplePos x="0" y="0"/>
          <wp:positionH relativeFrom="column">
            <wp:posOffset>13335</wp:posOffset>
          </wp:positionH>
          <wp:positionV relativeFrom="paragraph">
            <wp:posOffset>-107950</wp:posOffset>
          </wp:positionV>
          <wp:extent cx="943610" cy="390525"/>
          <wp:effectExtent l="0" t="0" r="8890" b="9525"/>
          <wp:wrapNone/>
          <wp:docPr id="27" name="Immagine 8" descr="Descrizione: Logo a col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 a colo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610" cy="390525"/>
                  </a:xfrm>
                  <a:prstGeom prst="rect">
                    <a:avLst/>
                  </a:prstGeom>
                  <a:noFill/>
                  <a:ln>
                    <a:noFill/>
                  </a:ln>
                </pic:spPr>
              </pic:pic>
            </a:graphicData>
          </a:graphic>
        </wp:anchor>
      </w:drawing>
    </w:r>
    <w:r w:rsidRPr="000F43D3">
      <w:rPr>
        <w:rStyle w:val="Numeropagina"/>
        <w:rFonts w:ascii="Calibri" w:hAnsi="Calibri"/>
        <w:color w:val="E42618"/>
        <w:sz w:val="28"/>
        <w:szCs w:val="28"/>
      </w:rPr>
      <w:t>|</w:t>
    </w:r>
    <w:r>
      <w:rPr>
        <w:rStyle w:val="Numeropagina"/>
        <w:rFonts w:ascii="Calibri" w:hAnsi="Calibri"/>
        <w:color w:val="E31C18"/>
        <w:sz w:val="28"/>
        <w:szCs w:val="28"/>
      </w:rPr>
      <w:t xml:space="preserve"> </w:t>
    </w:r>
    <w:r w:rsidRPr="006B6BAF">
      <w:rPr>
        <w:rFonts w:ascii="Arial" w:hAnsi="Arial" w:cs="Arial"/>
        <w:b/>
        <w:color w:val="808080"/>
        <w:sz w:val="24"/>
        <w:szCs w:val="24"/>
      </w:rPr>
      <w:fldChar w:fldCharType="begin"/>
    </w:r>
    <w:r w:rsidRPr="006B6BAF">
      <w:rPr>
        <w:rFonts w:ascii="Arial" w:hAnsi="Arial" w:cs="Arial"/>
        <w:b/>
        <w:color w:val="808080"/>
        <w:sz w:val="24"/>
        <w:szCs w:val="24"/>
      </w:rPr>
      <w:instrText>PAGE   \* MERGEFORMAT</w:instrText>
    </w:r>
    <w:r w:rsidRPr="006B6BAF">
      <w:rPr>
        <w:rFonts w:ascii="Arial" w:hAnsi="Arial" w:cs="Arial"/>
        <w:b/>
        <w:color w:val="808080"/>
        <w:sz w:val="24"/>
        <w:szCs w:val="24"/>
      </w:rPr>
      <w:fldChar w:fldCharType="separate"/>
    </w:r>
    <w:r w:rsidR="006C3220">
      <w:rPr>
        <w:rFonts w:ascii="Arial" w:hAnsi="Arial" w:cs="Arial"/>
        <w:b/>
        <w:noProof/>
        <w:color w:val="808080"/>
        <w:sz w:val="24"/>
        <w:szCs w:val="24"/>
      </w:rPr>
      <w:t>2</w:t>
    </w:r>
    <w:r w:rsidRPr="006B6BAF">
      <w:rPr>
        <w:rFonts w:ascii="Arial" w:hAnsi="Arial" w:cs="Arial"/>
        <w:b/>
        <w:color w:val="80808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6E7D" w:rsidRDefault="003F6E7D">
      <w:r>
        <w:separator/>
      </w:r>
    </w:p>
  </w:footnote>
  <w:footnote w:type="continuationSeparator" w:id="0">
    <w:p w:rsidR="003F6E7D" w:rsidRDefault="003F6E7D">
      <w:r>
        <w:continuationSeparator/>
      </w:r>
    </w:p>
  </w:footnote>
  <w:footnote w:id="1">
    <w:p w:rsidR="000D0FAD" w:rsidRDefault="000D0FAD">
      <w:pPr>
        <w:pStyle w:val="Testonotaapidipagina"/>
      </w:pPr>
      <w:r>
        <w:rPr>
          <w:rStyle w:val="Rimandonotaapidipagina"/>
        </w:rPr>
        <w:footnoteRef/>
      </w:r>
      <w:r>
        <w:t xml:space="preserve"> </w:t>
      </w:r>
      <w:r w:rsidRPr="00906439">
        <w:rPr>
          <w:rFonts w:ascii="Arial Narrow" w:hAnsi="Arial Narrow"/>
          <w:sz w:val="15"/>
          <w:szCs w:val="15"/>
        </w:rPr>
        <w:t>L</w:t>
      </w:r>
      <w:r w:rsidRPr="00833D76">
        <w:rPr>
          <w:rFonts w:ascii="Arial Narrow" w:hAnsi="Arial Narrow"/>
          <w:sz w:val="15"/>
          <w:szCs w:val="15"/>
        </w:rPr>
        <w:t>a scomposizione della variazione dell’ind</w:t>
      </w:r>
      <w:r>
        <w:rPr>
          <w:rFonts w:ascii="Arial Narrow" w:hAnsi="Arial Narrow"/>
          <w:sz w:val="15"/>
          <w:szCs w:val="15"/>
        </w:rPr>
        <w:t>ice non è additiva; la somma delle</w:t>
      </w:r>
      <w:r w:rsidRPr="00833D76">
        <w:rPr>
          <w:rFonts w:ascii="Arial Narrow" w:hAnsi="Arial Narrow"/>
          <w:sz w:val="15"/>
          <w:szCs w:val="15"/>
        </w:rPr>
        <w:t xml:space="preserve"> component</w:t>
      </w:r>
      <w:r>
        <w:rPr>
          <w:rFonts w:ascii="Arial Narrow" w:hAnsi="Arial Narrow"/>
          <w:sz w:val="15"/>
          <w:szCs w:val="15"/>
        </w:rPr>
        <w:t>i</w:t>
      </w:r>
      <w:r w:rsidRPr="00833D76">
        <w:rPr>
          <w:rFonts w:ascii="Arial Narrow" w:hAnsi="Arial Narrow"/>
          <w:sz w:val="15"/>
          <w:szCs w:val="15"/>
        </w:rPr>
        <w:t xml:space="preserve"> ereditata e propria restituisce </w:t>
      </w:r>
      <w:r w:rsidR="005B5C76">
        <w:rPr>
          <w:rFonts w:ascii="Arial Narrow" w:hAnsi="Arial Narrow"/>
          <w:sz w:val="15"/>
          <w:szCs w:val="15"/>
        </w:rPr>
        <w:t xml:space="preserve">di norma </w:t>
      </w:r>
      <w:r w:rsidRPr="00833D76">
        <w:rPr>
          <w:rFonts w:ascii="Arial Narrow" w:hAnsi="Arial Narrow"/>
          <w:sz w:val="15"/>
          <w:szCs w:val="15"/>
        </w:rPr>
        <w:t xml:space="preserve">con minima approssimazione </w:t>
      </w:r>
      <w:r w:rsidR="009D16CA">
        <w:rPr>
          <w:rFonts w:ascii="Arial Narrow" w:hAnsi="Arial Narrow"/>
          <w:sz w:val="15"/>
          <w:szCs w:val="15"/>
        </w:rPr>
        <w:t>il tasso d’</w:t>
      </w:r>
      <w:r w:rsidR="005B5C76">
        <w:rPr>
          <w:rFonts w:ascii="Arial Narrow" w:hAnsi="Arial Narrow"/>
          <w:sz w:val="15"/>
          <w:szCs w:val="15"/>
        </w:rPr>
        <w:t xml:space="preserve">inflazione </w:t>
      </w:r>
      <w:r w:rsidR="009D16CA">
        <w:rPr>
          <w:rFonts w:ascii="Arial Narrow" w:hAnsi="Arial Narrow"/>
          <w:sz w:val="15"/>
          <w:szCs w:val="15"/>
        </w:rPr>
        <w:t>annuo</w:t>
      </w:r>
      <w:r w:rsidRPr="00833D76">
        <w:rPr>
          <w:rFonts w:ascii="Arial Narrow" w:hAnsi="Arial Narrow"/>
          <w:sz w:val="15"/>
          <w:szCs w:val="15"/>
        </w:rPr>
        <w:t>.</w:t>
      </w:r>
    </w:p>
  </w:footnote>
  <w:footnote w:id="2">
    <w:p w:rsidR="000D0FAD" w:rsidRDefault="000D0FAD" w:rsidP="004B6362">
      <w:pPr>
        <w:pStyle w:val="Testonotaapidipagina"/>
        <w:jc w:val="both"/>
      </w:pPr>
      <w:r>
        <w:rPr>
          <w:rStyle w:val="Rimandonotaapidipagina"/>
        </w:rPr>
        <w:footnoteRef/>
      </w:r>
      <w:r>
        <w:t xml:space="preserve"> </w:t>
      </w:r>
      <w:r w:rsidRPr="004B5573">
        <w:rPr>
          <w:rFonts w:ascii="Arial Narrow" w:hAnsi="Arial Narrow"/>
          <w:sz w:val="15"/>
          <w:szCs w:val="15"/>
        </w:rPr>
        <w:t xml:space="preserve">Le differenze registrate nella dinamica dei due indicatori si devono al fatto che l’IPCA-CT è calcolato depurando gli effetti degli interventi di natura fiscale adottati dal governo per contrastare i </w:t>
      </w:r>
      <w:r>
        <w:rPr>
          <w:rFonts w:ascii="Arial Narrow" w:hAnsi="Arial Narrow"/>
          <w:sz w:val="15"/>
          <w:szCs w:val="15"/>
        </w:rPr>
        <w:t>rincari dei prodotti energetici, quindi nella c</w:t>
      </w:r>
      <w:r w:rsidRPr="003E0CD5">
        <w:rPr>
          <w:rFonts w:ascii="Arial Narrow" w:hAnsi="Arial Narrow"/>
          <w:sz w:val="15"/>
          <w:szCs w:val="15"/>
        </w:rPr>
        <w:t xml:space="preserve">ostruzione dell’IPCA-CT vengono </w:t>
      </w:r>
      <w:r>
        <w:rPr>
          <w:rFonts w:ascii="Arial Narrow" w:hAnsi="Arial Narrow"/>
          <w:sz w:val="15"/>
          <w:szCs w:val="15"/>
        </w:rPr>
        <w:t xml:space="preserve">incluse e mantenute costanti nel corso dell’anno tutte le imposte che incidono sui consumi finali delle famiglie, quali IVA, accise e imposte su specifici prodotti. Si ricorda che per contrastare i rincari dei prodotti energetici il Governo ha messo in campo diversi interventi di natura fiscale, tra cui la </w:t>
      </w:r>
      <w:r w:rsidRPr="003E0CD5">
        <w:rPr>
          <w:rFonts w:ascii="Arial Narrow" w:hAnsi="Arial Narrow"/>
          <w:sz w:val="15"/>
          <w:szCs w:val="15"/>
        </w:rPr>
        <w:t xml:space="preserve">riduzione dell’IVA sul gas da ottobre 2021, delle accise sui carburanti dal 22 marzo 2022 e </w:t>
      </w:r>
      <w:r>
        <w:rPr>
          <w:rFonts w:ascii="Arial Narrow" w:hAnsi="Arial Narrow"/>
          <w:sz w:val="15"/>
          <w:szCs w:val="15"/>
        </w:rPr>
        <w:t xml:space="preserve">la </w:t>
      </w:r>
      <w:r w:rsidRPr="003E0CD5">
        <w:rPr>
          <w:rFonts w:ascii="Arial Narrow" w:hAnsi="Arial Narrow"/>
          <w:sz w:val="15"/>
          <w:szCs w:val="15"/>
        </w:rPr>
        <w:t>ridefinizione delle accise di alcuni carburanti a seguito dell’adozione del Decreto-legge n. 179 del 23 novembre 2022</w:t>
      </w:r>
      <w:r>
        <w:rPr>
          <w:rFonts w:ascii="Arial Narrow" w:hAnsi="Arial Narrow"/>
          <w:sz w:val="15"/>
          <w:szCs w:val="15"/>
        </w:rPr>
        <w:t>.</w:t>
      </w:r>
    </w:p>
  </w:footnote>
  <w:footnote w:id="3">
    <w:p w:rsidR="000D0FAD" w:rsidRPr="003B4962" w:rsidRDefault="000D0FAD" w:rsidP="002E7E19">
      <w:pPr>
        <w:pStyle w:val="Testonotaapidipagina"/>
        <w:jc w:val="both"/>
        <w:rPr>
          <w:rFonts w:ascii="Arial" w:hAnsi="Arial" w:cs="Arial"/>
          <w:sz w:val="16"/>
        </w:rPr>
      </w:pPr>
      <w:r>
        <w:rPr>
          <w:rStyle w:val="Rimandonotaapidipagina"/>
        </w:rPr>
        <w:footnoteRef/>
      </w:r>
      <w:r>
        <w:t xml:space="preserve"> </w:t>
      </w:r>
      <w:r>
        <w:rPr>
          <w:rFonts w:ascii="Arial" w:hAnsi="Arial" w:cs="Arial"/>
          <w:sz w:val="16"/>
        </w:rPr>
        <w:t>L’indice IPCA per l’Unione Economica e Monetaria (</w:t>
      </w:r>
      <w:r w:rsidRPr="00A86A7D">
        <w:rPr>
          <w:rFonts w:ascii="Arial" w:hAnsi="Arial" w:cs="Arial"/>
          <w:sz w:val="16"/>
        </w:rPr>
        <w:t xml:space="preserve">Uem) di </w:t>
      </w:r>
      <w:r>
        <w:rPr>
          <w:rFonts w:ascii="Arial" w:hAnsi="Arial" w:cs="Arial"/>
          <w:sz w:val="16"/>
        </w:rPr>
        <w:t>dicembre 2023</w:t>
      </w:r>
      <w:r w:rsidRPr="00A86A7D">
        <w:rPr>
          <w:rFonts w:ascii="Arial" w:hAnsi="Arial" w:cs="Arial"/>
          <w:sz w:val="16"/>
        </w:rPr>
        <w:t xml:space="preserve"> è la stima</w:t>
      </w:r>
      <w:r>
        <w:rPr>
          <w:rFonts w:ascii="Arial" w:hAnsi="Arial" w:cs="Arial"/>
          <w:sz w:val="16"/>
        </w:rPr>
        <w:t xml:space="preserve"> anticipata diffusa da Eurostat venerdì 5 gennaio 2024</w:t>
      </w:r>
      <w:r w:rsidRPr="00616DA2">
        <w:rPr>
          <w:rFonts w:ascii="Arial" w:hAnsi="Arial" w:cs="Arial"/>
          <w:sz w:val="16"/>
        </w:rPr>
        <w:t>.</w:t>
      </w:r>
      <w:r>
        <w:rPr>
          <w:rFonts w:ascii="Arial" w:hAnsi="Arial" w:cs="Arial"/>
          <w:sz w:val="16"/>
        </w:rPr>
        <w:t xml:space="preserve"> </w:t>
      </w:r>
    </w:p>
  </w:footnote>
  <w:footnote w:id="4">
    <w:p w:rsidR="000D0FAD" w:rsidRDefault="000D0FAD">
      <w:pPr>
        <w:pStyle w:val="Testonotaapidipagina"/>
      </w:pPr>
      <w:r>
        <w:rPr>
          <w:rStyle w:val="Rimandonotaapidipagina"/>
        </w:rPr>
        <w:footnoteRef/>
      </w:r>
      <w:r>
        <w:t xml:space="preserve"> </w:t>
      </w:r>
      <w:r w:rsidR="00AD00C0" w:rsidRPr="00906439">
        <w:rPr>
          <w:rFonts w:ascii="Arial Narrow" w:hAnsi="Arial Narrow"/>
          <w:sz w:val="15"/>
          <w:szCs w:val="15"/>
        </w:rPr>
        <w:t>L</w:t>
      </w:r>
      <w:r w:rsidR="00AD00C0" w:rsidRPr="00833D76">
        <w:rPr>
          <w:rFonts w:ascii="Arial Narrow" w:hAnsi="Arial Narrow"/>
          <w:sz w:val="15"/>
          <w:szCs w:val="15"/>
        </w:rPr>
        <w:t>a scomposizione della variazione dell’ind</w:t>
      </w:r>
      <w:r w:rsidR="00AD00C0">
        <w:rPr>
          <w:rFonts w:ascii="Arial Narrow" w:hAnsi="Arial Narrow"/>
          <w:sz w:val="15"/>
          <w:szCs w:val="15"/>
        </w:rPr>
        <w:t>ice non è additiva; la somma delle</w:t>
      </w:r>
      <w:r w:rsidR="00AD00C0" w:rsidRPr="00833D76">
        <w:rPr>
          <w:rFonts w:ascii="Arial Narrow" w:hAnsi="Arial Narrow"/>
          <w:sz w:val="15"/>
          <w:szCs w:val="15"/>
        </w:rPr>
        <w:t xml:space="preserve"> component</w:t>
      </w:r>
      <w:r w:rsidR="00AD00C0">
        <w:rPr>
          <w:rFonts w:ascii="Arial Narrow" w:hAnsi="Arial Narrow"/>
          <w:sz w:val="15"/>
          <w:szCs w:val="15"/>
        </w:rPr>
        <w:t>i</w:t>
      </w:r>
      <w:r w:rsidR="00AD00C0" w:rsidRPr="00833D76">
        <w:rPr>
          <w:rFonts w:ascii="Arial Narrow" w:hAnsi="Arial Narrow"/>
          <w:sz w:val="15"/>
          <w:szCs w:val="15"/>
        </w:rPr>
        <w:t xml:space="preserve"> ereditata e propria restituisce </w:t>
      </w:r>
      <w:r w:rsidR="00AD00C0">
        <w:rPr>
          <w:rFonts w:ascii="Arial Narrow" w:hAnsi="Arial Narrow"/>
          <w:sz w:val="15"/>
          <w:szCs w:val="15"/>
        </w:rPr>
        <w:t xml:space="preserve">di norma </w:t>
      </w:r>
      <w:r w:rsidR="00AD00C0" w:rsidRPr="00833D76">
        <w:rPr>
          <w:rFonts w:ascii="Arial Narrow" w:hAnsi="Arial Narrow"/>
          <w:sz w:val="15"/>
          <w:szCs w:val="15"/>
        </w:rPr>
        <w:t xml:space="preserve">con minima approssimazione </w:t>
      </w:r>
      <w:r w:rsidR="00AD00C0">
        <w:rPr>
          <w:rFonts w:ascii="Arial Narrow" w:hAnsi="Arial Narrow"/>
          <w:sz w:val="15"/>
          <w:szCs w:val="15"/>
        </w:rPr>
        <w:t>il tasso d’inflazione annuo</w:t>
      </w:r>
      <w:r w:rsidRPr="00833D76">
        <w:rPr>
          <w:rFonts w:ascii="Arial Narrow" w:hAnsi="Arial Narrow"/>
          <w:sz w:val="15"/>
          <w:szCs w:val="15"/>
        </w:rPr>
        <w:t>.</w:t>
      </w:r>
    </w:p>
  </w:footnote>
  <w:footnote w:id="5">
    <w:p w:rsidR="000D0FAD" w:rsidRDefault="000D0FAD" w:rsidP="009C1925">
      <w:pPr>
        <w:pStyle w:val="Testonotaapidipagina"/>
        <w:spacing w:before="0" w:after="0"/>
        <w:jc w:val="both"/>
      </w:pPr>
      <w:r>
        <w:rPr>
          <w:rStyle w:val="Rimandonotaapidipagina"/>
        </w:rPr>
        <w:footnoteRef/>
      </w:r>
      <w:r>
        <w:t xml:space="preserve"> </w:t>
      </w:r>
      <w:r w:rsidRPr="00C93B2F">
        <w:rPr>
          <w:rFonts w:ascii="Arial" w:hAnsi="Arial" w:cs="Arial"/>
          <w:sz w:val="16"/>
          <w:szCs w:val="16"/>
        </w:rPr>
        <w:t>A partire da gennaio 2023, La Spezia non fa più parte del campione dei comuni che partecipano alla rilevazione territoriale dei prezzi al consumo.</w:t>
      </w:r>
    </w:p>
  </w:footnote>
  <w:footnote w:id="6">
    <w:p w:rsidR="000D0FAD" w:rsidRDefault="000D0FAD" w:rsidP="009C1925">
      <w:pPr>
        <w:pStyle w:val="Testonotaapidipagina"/>
        <w:spacing w:before="0" w:after="0"/>
      </w:pPr>
      <w:r>
        <w:rPr>
          <w:rStyle w:val="Rimandonotaapidipagina"/>
        </w:rPr>
        <w:footnoteRef/>
      </w:r>
      <w:r>
        <w:t xml:space="preserve"> </w:t>
      </w:r>
      <w:r>
        <w:rPr>
          <w:rFonts w:ascii="Arial" w:hAnsi="Arial" w:cs="Arial"/>
          <w:sz w:val="16"/>
          <w:szCs w:val="16"/>
        </w:rPr>
        <w:t>Dal</w:t>
      </w:r>
      <w:r w:rsidRPr="00E01C06">
        <w:rPr>
          <w:rFonts w:ascii="Arial" w:hAnsi="Arial" w:cs="Arial"/>
          <w:sz w:val="16"/>
          <w:szCs w:val="16"/>
        </w:rPr>
        <w:t xml:space="preserve"> 20</w:t>
      </w:r>
      <w:r>
        <w:rPr>
          <w:rFonts w:ascii="Arial" w:hAnsi="Arial" w:cs="Arial"/>
          <w:sz w:val="16"/>
          <w:szCs w:val="16"/>
        </w:rPr>
        <w:t>20 il comune di Olbia è entrata a far parte dei comuni che partecipano all’indagine.</w:t>
      </w:r>
    </w:p>
  </w:footnote>
  <w:footnote w:id="7">
    <w:p w:rsidR="000D0FAD" w:rsidRDefault="000D0FAD" w:rsidP="009C1925">
      <w:pPr>
        <w:pStyle w:val="Testonotaapidipagina"/>
        <w:spacing w:before="0" w:after="0"/>
        <w:jc w:val="both"/>
      </w:pPr>
      <w:r>
        <w:rPr>
          <w:rStyle w:val="Rimandonotaapidipagina"/>
        </w:rPr>
        <w:footnoteRef/>
      </w:r>
      <w:r>
        <w:t xml:space="preserve"> </w:t>
      </w:r>
      <w:r>
        <w:rPr>
          <w:rFonts w:ascii="Arial" w:hAnsi="Arial" w:cs="Arial"/>
          <w:sz w:val="16"/>
          <w:szCs w:val="16"/>
        </w:rPr>
        <w:t xml:space="preserve">Si tratta dei comuni di Asti, </w:t>
      </w:r>
      <w:r>
        <w:rPr>
          <w:rFonts w:ascii="Arial" w:hAnsi="Arial" w:cs="Arial"/>
          <w:sz w:val="16"/>
        </w:rPr>
        <w:t xml:space="preserve">Chieti, Foggia, Frosinone, L’Aquila, Matera, </w:t>
      </w:r>
      <w:r>
        <w:rPr>
          <w:rFonts w:ascii="Arial" w:hAnsi="Arial" w:cs="Arial"/>
          <w:sz w:val="16"/>
          <w:szCs w:val="16"/>
        </w:rPr>
        <w:t xml:space="preserve">Monza, Prato, </w:t>
      </w:r>
      <w:r>
        <w:rPr>
          <w:rFonts w:ascii="Arial" w:hAnsi="Arial" w:cs="Arial"/>
          <w:sz w:val="16"/>
        </w:rPr>
        <w:t xml:space="preserve">Ragusa, </w:t>
      </w:r>
      <w:r>
        <w:rPr>
          <w:rFonts w:ascii="Arial" w:hAnsi="Arial" w:cs="Arial"/>
          <w:sz w:val="16"/>
          <w:szCs w:val="16"/>
        </w:rPr>
        <w:t>Savona</w:t>
      </w:r>
      <w:r>
        <w:rPr>
          <w:rFonts w:ascii="Arial" w:hAnsi="Arial" w:cs="Arial"/>
          <w:sz w:val="16"/>
        </w:rPr>
        <w:t>, Verbania e Vibo Valentia.</w:t>
      </w:r>
    </w:p>
  </w:footnote>
  <w:footnote w:id="8">
    <w:p w:rsidR="000D0FAD" w:rsidRPr="008A6A18" w:rsidRDefault="000D0FAD" w:rsidP="009C1925">
      <w:pPr>
        <w:pStyle w:val="Testonotaapidipagina"/>
        <w:spacing w:before="0" w:after="0"/>
        <w:rPr>
          <w:rFonts w:ascii="Arial" w:hAnsi="Arial" w:cs="Arial"/>
          <w:sz w:val="16"/>
          <w:szCs w:val="16"/>
        </w:rPr>
      </w:pPr>
      <w:r>
        <w:rPr>
          <w:rStyle w:val="Rimandonotaapidipagina"/>
        </w:rPr>
        <w:footnoteRef/>
      </w:r>
      <w:r>
        <w:t xml:space="preserve"> </w:t>
      </w:r>
      <w:r w:rsidRPr="008A6A18">
        <w:rPr>
          <w:rFonts w:ascii="Arial" w:hAnsi="Arial" w:cs="Arial"/>
          <w:sz w:val="16"/>
          <w:szCs w:val="16"/>
        </w:rPr>
        <w:t>A partire da gennaio 2022 la rilevazione dei canoni di affitto per le abitazioni di privati è condotta centralmente dall’Istat tramite l’utilizzo di dati di fonte amministrativa e in particolare della base dati locazioni immobiliari dell’Osservatorio del mercato immobiliare dell’Agenzia delle entrate</w:t>
      </w:r>
      <w:r>
        <w:rPr>
          <w:rFonts w:ascii="Arial" w:hAnsi="Arial" w:cs="Arial"/>
          <w:sz w:val="16"/>
          <w:szCs w:val="16"/>
        </w:rPr>
        <w:t>.</w:t>
      </w:r>
    </w:p>
  </w:footnote>
  <w:footnote w:id="9">
    <w:p w:rsidR="000D0FAD" w:rsidRDefault="000D0FAD" w:rsidP="009C1925">
      <w:pPr>
        <w:pStyle w:val="Testonotaapidipagina"/>
        <w:spacing w:before="0" w:after="0"/>
        <w:jc w:val="both"/>
      </w:pPr>
      <w:r>
        <w:rPr>
          <w:rStyle w:val="Rimandonotaapidipagina"/>
        </w:rPr>
        <w:footnoteRef/>
      </w:r>
      <w:r>
        <w:t xml:space="preserve"> </w:t>
      </w:r>
      <w:r w:rsidRPr="00D42BFE">
        <w:rPr>
          <w:rFonts w:ascii="Arial" w:hAnsi="Arial" w:cs="Arial"/>
          <w:sz w:val="16"/>
          <w:szCs w:val="16"/>
        </w:rPr>
        <w:t>L’art. 51 della Legge 23 luglio 2009, n. 99 (provvedimenti attuativi DM 15 ottobre 2010 e 17 gennaio 2013) prevede l’obbligo, per chi esercita la vendita al pubblico di carburante per aut</w:t>
      </w:r>
      <w:r>
        <w:rPr>
          <w:rFonts w:ascii="Arial" w:hAnsi="Arial" w:cs="Arial"/>
          <w:sz w:val="16"/>
          <w:szCs w:val="16"/>
        </w:rPr>
        <w:t>otrazione, di comunicare al MIMIT</w:t>
      </w:r>
      <w:r w:rsidRPr="00D42BFE">
        <w:rPr>
          <w:rFonts w:ascii="Arial" w:hAnsi="Arial" w:cs="Arial"/>
          <w:sz w:val="16"/>
          <w:szCs w:val="16"/>
        </w:rPr>
        <w:t xml:space="preserve"> i prezzi praticati per ogni tipologia di carburante commercializzato.</w:t>
      </w:r>
    </w:p>
  </w:footnote>
  <w:footnote w:id="10">
    <w:p w:rsidR="000D0FAD" w:rsidRPr="002254B4" w:rsidRDefault="000D0FAD" w:rsidP="009C1925">
      <w:pPr>
        <w:pStyle w:val="Testonotaapidipagina"/>
        <w:spacing w:before="0" w:after="0"/>
        <w:jc w:val="both"/>
        <w:rPr>
          <w:rFonts w:ascii="Arial" w:hAnsi="Arial" w:cs="Arial"/>
          <w:sz w:val="16"/>
          <w:szCs w:val="16"/>
        </w:rPr>
      </w:pPr>
      <w:r w:rsidRPr="00621535">
        <w:rPr>
          <w:rStyle w:val="Rimandonotaapidipagina"/>
          <w:rFonts w:ascii="Arial" w:hAnsi="Arial" w:cs="Arial"/>
        </w:rPr>
        <w:footnoteRef/>
      </w:r>
      <w:r w:rsidRPr="00B21FF0">
        <w:rPr>
          <w:rFonts w:ascii="Arial" w:hAnsi="Arial" w:cs="Arial"/>
          <w:sz w:val="16"/>
          <w:szCs w:val="16"/>
        </w:rPr>
        <w:t xml:space="preserve"> </w:t>
      </w:r>
      <w:r w:rsidRPr="0087429F">
        <w:rPr>
          <w:rFonts w:ascii="Arial" w:hAnsi="Arial" w:cs="Arial"/>
          <w:sz w:val="16"/>
          <w:szCs w:val="16"/>
        </w:rPr>
        <w:t xml:space="preserve">Per una descrizione più dettagliata della procedura di stima della struttura di ponderazione degli indici dei prezzi al consumo nazionali (NIC e FOI) e dell’indice armonizzato (IPCA) si rimanda alla Nota metodologica allegata alla Nota informativa </w:t>
      </w:r>
      <w:r>
        <w:rPr>
          <w:rFonts w:ascii="Arial" w:hAnsi="Arial" w:cs="Arial"/>
          <w:sz w:val="16"/>
          <w:szCs w:val="16"/>
        </w:rPr>
        <w:t>del 22 febbraio 2023</w:t>
      </w:r>
      <w:r w:rsidRPr="0087429F">
        <w:rPr>
          <w:rFonts w:ascii="Arial" w:hAnsi="Arial" w:cs="Arial"/>
          <w:sz w:val="16"/>
          <w:szCs w:val="16"/>
        </w:rPr>
        <w:t xml:space="preserve"> sugli aggiornamenti del paniere, della struttura di ponderazione e dell’indagine sui prezzi al consumo.</w:t>
      </w:r>
    </w:p>
  </w:footnote>
  <w:footnote w:id="11">
    <w:p w:rsidR="000D0FAD" w:rsidRDefault="000D0FAD" w:rsidP="009C1925">
      <w:pPr>
        <w:pStyle w:val="Testonotaapidipagina"/>
        <w:spacing w:before="0" w:after="0"/>
        <w:jc w:val="both"/>
        <w:rPr>
          <w:rFonts w:ascii="Arial" w:hAnsi="Arial" w:cs="Arial"/>
          <w:sz w:val="16"/>
          <w:szCs w:val="16"/>
        </w:rPr>
      </w:pPr>
      <w:r>
        <w:rPr>
          <w:rStyle w:val="Rimandonotaapidipagina"/>
          <w:rFonts w:ascii="Arial" w:hAnsi="Arial" w:cs="Arial"/>
          <w:sz w:val="16"/>
          <w:szCs w:val="16"/>
        </w:rPr>
        <w:footnoteRef/>
      </w:r>
      <w:r>
        <w:rPr>
          <w:rFonts w:ascii="Arial" w:hAnsi="Arial" w:cs="Arial"/>
          <w:sz w:val="16"/>
          <w:szCs w:val="16"/>
        </w:rPr>
        <w:t xml:space="preserve"> Gli indici riferiti agli Aggregati di prodotto, nei quali si articolano ulteriormente i Segmenti di consumo, sono forniti su richiesta per specifiche finalità di studio e analisi.</w:t>
      </w:r>
    </w:p>
  </w:footnote>
  <w:footnote w:id="12">
    <w:p w:rsidR="000D0FAD" w:rsidRDefault="000D0FAD" w:rsidP="009C1925">
      <w:pPr>
        <w:pStyle w:val="Testonotaapidipagina"/>
        <w:tabs>
          <w:tab w:val="left" w:pos="10206"/>
        </w:tabs>
        <w:spacing w:before="0" w:after="0"/>
        <w:jc w:val="both"/>
        <w:rPr>
          <w:rFonts w:ascii="Arial" w:hAnsi="Arial" w:cs="Arial"/>
          <w:sz w:val="16"/>
          <w:szCs w:val="16"/>
        </w:rPr>
      </w:pPr>
      <w:r>
        <w:rPr>
          <w:rStyle w:val="Rimandonotaapidipagina"/>
          <w:rFonts w:ascii="Arial" w:hAnsi="Arial" w:cs="Arial"/>
          <w:sz w:val="16"/>
          <w:szCs w:val="16"/>
        </w:rPr>
        <w:footnoteRef/>
      </w:r>
      <w:r>
        <w:rPr>
          <w:rFonts w:ascii="Arial" w:hAnsi="Arial" w:cs="Arial"/>
          <w:sz w:val="16"/>
          <w:szCs w:val="16"/>
        </w:rPr>
        <w:t xml:space="preserve"> La pubblicazione degli indici IPCA-AS è stata avviata a partire dai dati di febbraio 2013. La descrizione delle categorie merceologiche che definiscono i diversi aggregati speciali è disponibile sul sito web di Eurostat al seguente indirizzo: </w:t>
      </w:r>
    </w:p>
    <w:p w:rsidR="000D0FAD" w:rsidRPr="002C7A4F" w:rsidRDefault="003F6E7D" w:rsidP="009C1925">
      <w:pPr>
        <w:pStyle w:val="Testonotaapidipagina"/>
        <w:tabs>
          <w:tab w:val="left" w:pos="10206"/>
        </w:tabs>
        <w:spacing w:before="0" w:after="0"/>
        <w:jc w:val="both"/>
        <w:rPr>
          <w:rFonts w:ascii="Arial" w:hAnsi="Arial" w:cs="Arial"/>
          <w:sz w:val="14"/>
          <w:szCs w:val="14"/>
        </w:rPr>
      </w:pPr>
      <w:hyperlink r:id="rId1" w:history="1">
        <w:r w:rsidR="000D0FAD" w:rsidRPr="00F11253">
          <w:rPr>
            <w:rStyle w:val="Collegamentoipertestuale"/>
            <w:rFonts w:ascii="Arial" w:hAnsi="Arial" w:cs="Arial"/>
            <w:sz w:val="14"/>
            <w:szCs w:val="14"/>
          </w:rPr>
          <w:t>http://ec.europa.eu/eurostat/ramon/nomenclatures/index.cfm?TargetUrl=LST_NOM_DTL&amp;StrNom=HICP_2000&amp;StrLanguageCode=EN&amp;IntPcKey=&amp;StrLayoutCode</w:t>
        </w:r>
      </w:hyperlink>
      <w:r w:rsidR="000D0FAD" w:rsidRPr="002C7A4F">
        <w:rPr>
          <w:rFonts w:ascii="Arial" w:hAnsi="Arial" w:cs="Arial"/>
          <w:sz w:val="14"/>
          <w:szCs w:val="14"/>
        </w:rPr>
        <w:t xml:space="preserve"> </w:t>
      </w:r>
    </w:p>
    <w:p w:rsidR="000D0FAD" w:rsidRDefault="000D0FAD" w:rsidP="009C1925">
      <w:pPr>
        <w:pStyle w:val="Testonotaapidipagina"/>
        <w:tabs>
          <w:tab w:val="left" w:pos="10206"/>
        </w:tabs>
        <w:spacing w:before="0" w:after="0"/>
        <w:jc w:val="both"/>
        <w:rPr>
          <w:rFonts w:ascii="Arial" w:hAnsi="Arial" w:cs="Arial"/>
          <w:sz w:val="16"/>
          <w:szCs w:val="16"/>
        </w:rPr>
      </w:pPr>
      <w:r>
        <w:rPr>
          <w:rFonts w:ascii="Arial" w:hAnsi="Arial" w:cs="Arial"/>
          <w:sz w:val="16"/>
          <w:szCs w:val="16"/>
        </w:rPr>
        <w:t xml:space="preserve">Per la metodologia utilizzata per la sintesi degli indici, si consulti il Compendio dell’IPCA disponibile in formato pdf all’indirizzo: </w:t>
      </w:r>
    </w:p>
    <w:p w:rsidR="000D0FAD" w:rsidRPr="00904629" w:rsidRDefault="003F6E7D" w:rsidP="009C1925">
      <w:pPr>
        <w:pStyle w:val="Testonotaapidipagina"/>
        <w:tabs>
          <w:tab w:val="left" w:pos="10206"/>
        </w:tabs>
        <w:spacing w:before="0" w:after="0"/>
        <w:jc w:val="both"/>
        <w:rPr>
          <w:rFonts w:ascii="Arial" w:hAnsi="Arial" w:cs="Arial"/>
          <w:sz w:val="16"/>
          <w:szCs w:val="16"/>
        </w:rPr>
      </w:pPr>
      <w:hyperlink r:id="rId2" w:history="1">
        <w:r w:rsidR="000D0FAD" w:rsidRPr="00904629">
          <w:rPr>
            <w:rStyle w:val="Collegamentoipertestuale"/>
            <w:rFonts w:ascii="Arial" w:hAnsi="Arial" w:cs="Arial"/>
            <w:sz w:val="16"/>
            <w:szCs w:val="16"/>
          </w:rPr>
          <w:t>http://ec.europa.eu/eurostat/documents/3859598/5926625/KS-RA-13-017-EN.PDF/59eb2c1c-da1f-472c-b191-3d0c76521f9b?version=1.0</w:t>
        </w:r>
      </w:hyperlink>
      <w:r w:rsidR="000D0FAD" w:rsidRPr="00904629">
        <w:rPr>
          <w:rFonts w:ascii="Arial" w:hAnsi="Arial" w:cs="Arial"/>
          <w:sz w:val="16"/>
          <w:szCs w:val="16"/>
        </w:rPr>
        <w:t xml:space="preserve">. </w:t>
      </w:r>
    </w:p>
    <w:p w:rsidR="000D0FAD" w:rsidRDefault="000D0FAD" w:rsidP="009C1925">
      <w:pPr>
        <w:pStyle w:val="Testonotaapidipagina"/>
        <w:tabs>
          <w:tab w:val="left" w:pos="10206"/>
        </w:tabs>
        <w:spacing w:before="0" w:after="60"/>
        <w:jc w:val="both"/>
        <w:rPr>
          <w:rFonts w:ascii="Arial" w:hAnsi="Arial" w:cs="Arial"/>
          <w:sz w:val="16"/>
          <w:szCs w:val="16"/>
        </w:rPr>
      </w:pPr>
      <w:r>
        <w:rPr>
          <w:rFonts w:ascii="Arial" w:hAnsi="Arial" w:cs="Arial"/>
          <w:sz w:val="16"/>
          <w:szCs w:val="16"/>
        </w:rPr>
        <w:t xml:space="preserve">Le serie a partire da gennaio 2001 sono disponibili su </w:t>
      </w:r>
      <w:hyperlink r:id="rId3" w:history="1">
        <w:r w:rsidRPr="00904629">
          <w:rPr>
            <w:rStyle w:val="Collegamentoipertestuale"/>
            <w:rFonts w:ascii="Arial" w:hAnsi="Arial" w:cs="Arial"/>
            <w:sz w:val="16"/>
            <w:szCs w:val="16"/>
          </w:rPr>
          <w:t>I.Stat</w:t>
        </w:r>
      </w:hyperlink>
      <w:r w:rsidRPr="00904629">
        <w:rPr>
          <w:rFonts w:ascii="Arial" w:hAnsi="Arial" w:cs="Arial"/>
          <w:sz w:val="16"/>
          <w:szCs w:val="16"/>
        </w:rPr>
        <w:t>,</w:t>
      </w:r>
      <w:r>
        <w:rPr>
          <w:rFonts w:ascii="Arial" w:hAnsi="Arial" w:cs="Arial"/>
          <w:sz w:val="16"/>
          <w:szCs w:val="16"/>
        </w:rPr>
        <w:t xml:space="preserve"> il data warehouse delle statistiche prodotte dall’Istituto, sotto il tema “Prezzi” e “Prezzi al consumo”. </w:t>
      </w:r>
    </w:p>
  </w:footnote>
  <w:footnote w:id="13">
    <w:p w:rsidR="000D0FAD" w:rsidRPr="004D0B88" w:rsidRDefault="000D0FAD" w:rsidP="009C1925">
      <w:pPr>
        <w:pStyle w:val="Testonotaapidipagina"/>
        <w:jc w:val="both"/>
        <w:rPr>
          <w:rFonts w:ascii="Arial" w:hAnsi="Arial" w:cs="Arial"/>
          <w:sz w:val="16"/>
          <w:szCs w:val="16"/>
        </w:rPr>
      </w:pPr>
      <w:r w:rsidRPr="00C80FB4">
        <w:rPr>
          <w:rStyle w:val="Rimandonotaapidipagina"/>
          <w:rFonts w:ascii="Arial" w:hAnsi="Arial" w:cs="Arial"/>
          <w:sz w:val="16"/>
          <w:szCs w:val="16"/>
        </w:rPr>
        <w:footnoteRef/>
      </w:r>
      <w:r w:rsidRPr="00C80FB4">
        <w:rPr>
          <w:rFonts w:ascii="Arial" w:hAnsi="Arial" w:cs="Arial"/>
          <w:sz w:val="16"/>
          <w:szCs w:val="16"/>
        </w:rPr>
        <w:t xml:space="preserve"> </w:t>
      </w:r>
      <w:r w:rsidRPr="00472A7F">
        <w:rPr>
          <w:rFonts w:ascii="Arial" w:hAnsi="Arial" w:cs="Arial"/>
          <w:sz w:val="16"/>
          <w:szCs w:val="16"/>
        </w:rPr>
        <w:t>Durante il periodo dell’emergenza sanitaria legata alla diffusione del Covid-19, l’insieme delle procedure per l’imputazione delle mancate rilevazioni è stato aggiornato, in cooperazione con gli altri Istituti nazionali di statistica dei paesi dell’Unione europea e sotto il coordinamento dell’Eurostat, per tenere conto delle criticità emerse relativamente alla raccolta dei dati nella fase di pandemia.</w:t>
      </w:r>
    </w:p>
  </w:footnote>
  <w:footnote w:id="14">
    <w:p w:rsidR="000D0FAD" w:rsidRPr="004D0B88" w:rsidRDefault="000D0FAD" w:rsidP="009C1925">
      <w:pPr>
        <w:pStyle w:val="Default"/>
        <w:spacing w:after="120"/>
        <w:jc w:val="both"/>
      </w:pPr>
      <w:r w:rsidRPr="004D0B88">
        <w:rPr>
          <w:rStyle w:val="Rimandonotaapidipagina"/>
          <w:rFonts w:ascii="Arial" w:hAnsi="Arial" w:cs="Arial"/>
          <w:sz w:val="16"/>
          <w:szCs w:val="16"/>
        </w:rPr>
        <w:footnoteRef/>
      </w:r>
      <w:r w:rsidRPr="004D0B88">
        <w:rPr>
          <w:rFonts w:ascii="Arial" w:hAnsi="Arial" w:cs="Arial"/>
          <w:sz w:val="16"/>
          <w:szCs w:val="16"/>
        </w:rPr>
        <w:t xml:space="preserve"> Il criterio della </w:t>
      </w:r>
      <w:r w:rsidRPr="00472A7F">
        <w:rPr>
          <w:rFonts w:ascii="Arial" w:hAnsi="Arial" w:cs="Arial"/>
          <w:sz w:val="16"/>
          <w:szCs w:val="16"/>
        </w:rPr>
        <w:t>minimizzazione del numero di prezzi imputati implica che, nella selezione dei prodotti che compongono il paniere, si deve tenere conto della loro effettiva disponibilità all’acquisto da parte delle famiglie.</w:t>
      </w:r>
      <w:r w:rsidRPr="004D0B88">
        <w:t xml:space="preserve"> </w:t>
      </w:r>
    </w:p>
  </w:footnote>
  <w:footnote w:id="15">
    <w:p w:rsidR="000D0FAD" w:rsidRPr="00C0657B" w:rsidRDefault="000D0FAD" w:rsidP="009C1925">
      <w:pPr>
        <w:pStyle w:val="Testonotaapidipagina"/>
        <w:rPr>
          <w:rFonts w:ascii="Arial" w:hAnsi="Arial" w:cs="Arial"/>
          <w:sz w:val="16"/>
          <w:szCs w:val="16"/>
        </w:rPr>
      </w:pPr>
      <w:r w:rsidRPr="004D0B88">
        <w:rPr>
          <w:rStyle w:val="Rimandonotaapidipagina"/>
          <w:rFonts w:ascii="Arial" w:hAnsi="Arial" w:cs="Arial"/>
          <w:sz w:val="16"/>
          <w:szCs w:val="16"/>
        </w:rPr>
        <w:footnoteRef/>
      </w:r>
      <w:r w:rsidRPr="004D0B88">
        <w:rPr>
          <w:rFonts w:ascii="Arial" w:hAnsi="Arial" w:cs="Arial"/>
          <w:sz w:val="16"/>
          <w:szCs w:val="16"/>
        </w:rPr>
        <w:t xml:space="preserve"> </w:t>
      </w:r>
      <w:r w:rsidRPr="00472A7F">
        <w:rPr>
          <w:rFonts w:ascii="Arial" w:hAnsi="Arial" w:cs="Arial"/>
          <w:sz w:val="16"/>
          <w:szCs w:val="16"/>
        </w:rPr>
        <w:t>La stessa procedura si applica al caso di stima dei prezzi outlier.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FAD" w:rsidRPr="00347C78" w:rsidRDefault="000D0FAD" w:rsidP="00347C78">
    <w:pPr>
      <w:pStyle w:val="Intestazione"/>
    </w:pPr>
    <w:r w:rsidRPr="001D330A">
      <w:rPr>
        <w:noProof/>
      </w:rPr>
      <mc:AlternateContent>
        <mc:Choice Requires="wps">
          <w:drawing>
            <wp:anchor distT="0" distB="0" distL="114300" distR="114300" simplePos="0" relativeHeight="251667456" behindDoc="0" locked="0" layoutInCell="1" allowOverlap="1" wp14:anchorId="7F12D53B" wp14:editId="108B25FB">
              <wp:simplePos x="0" y="0"/>
              <wp:positionH relativeFrom="margin">
                <wp:posOffset>5324475</wp:posOffset>
              </wp:positionH>
              <wp:positionV relativeFrom="paragraph">
                <wp:posOffset>257175</wp:posOffset>
              </wp:positionV>
              <wp:extent cx="1114425" cy="962025"/>
              <wp:effectExtent l="0" t="0" r="9525" b="9525"/>
              <wp:wrapNone/>
              <wp:docPr id="4" name="Casella di testo 4"/>
              <wp:cNvGraphicFramePr/>
              <a:graphic xmlns:a="http://schemas.openxmlformats.org/drawingml/2006/main">
                <a:graphicData uri="http://schemas.microsoft.com/office/word/2010/wordprocessingShape">
                  <wps:wsp>
                    <wps:cNvSpPr txBox="1"/>
                    <wps:spPr>
                      <a:xfrm>
                        <a:off x="0" y="0"/>
                        <a:ext cx="1114425" cy="962025"/>
                      </a:xfrm>
                      <a:prstGeom prst="rect">
                        <a:avLst/>
                      </a:prstGeom>
                      <a:solidFill>
                        <a:schemeClr val="lt1"/>
                      </a:solidFill>
                      <a:ln w="6350">
                        <a:noFill/>
                      </a:ln>
                    </wps:spPr>
                    <wps:txbx>
                      <w:txbxContent>
                        <w:p w:rsidR="000D0FAD" w:rsidRDefault="003970CA" w:rsidP="00E423A0">
                          <w:pPr>
                            <w:spacing w:before="0" w:after="120" w:line="180" w:lineRule="exact"/>
                            <w:rPr>
                              <w:rFonts w:ascii="Arial Narrow" w:hAnsi="Arial Narrow"/>
                              <w:sz w:val="18"/>
                              <w:szCs w:val="18"/>
                            </w:rPr>
                          </w:pPr>
                          <w:hyperlink r:id="rId1" w:history="1">
                            <w:r w:rsidR="000D0FAD" w:rsidRPr="0059658A">
                              <w:rPr>
                                <w:rStyle w:val="Collegamentoipertestuale"/>
                                <w:rFonts w:ascii="Arial Narrow" w:hAnsi="Arial Narrow"/>
                                <w:sz w:val="18"/>
                                <w:szCs w:val="18"/>
                              </w:rPr>
                              <w:t>http://www.istat.it</w:t>
                            </w:r>
                          </w:hyperlink>
                        </w:p>
                        <w:p w:rsidR="000D0FAD" w:rsidRDefault="003F6E7D" w:rsidP="00E423A0">
                          <w:pPr>
                            <w:spacing w:before="0" w:after="0"/>
                            <w:rPr>
                              <w:rFonts w:ascii="Arial Narrow" w:hAnsi="Arial Narrow"/>
                              <w:b/>
                              <w:bCs/>
                              <w:sz w:val="18"/>
                              <w:szCs w:val="18"/>
                            </w:rPr>
                          </w:pPr>
                          <w:hyperlink r:id="rId2" w:history="1">
                            <w:r w:rsidR="000D0FAD" w:rsidRPr="006C6DF9">
                              <w:rPr>
                                <w:rStyle w:val="Collegamentoipertestuale"/>
                                <w:rFonts w:ascii="Arial Narrow" w:hAnsi="Arial Narrow"/>
                                <w:b/>
                                <w:bCs/>
                                <w:sz w:val="18"/>
                                <w:szCs w:val="18"/>
                              </w:rPr>
                              <w:t>Contact Centre</w:t>
                            </w:r>
                          </w:hyperlink>
                        </w:p>
                        <w:p w:rsidR="000D0FAD" w:rsidRPr="00235BD6" w:rsidRDefault="000D0FAD" w:rsidP="00E423A0">
                          <w:pPr>
                            <w:spacing w:before="0" w:after="0"/>
                            <w:rPr>
                              <w:rFonts w:ascii="Arial Narrow" w:hAnsi="Arial Narrow"/>
                              <w:sz w:val="18"/>
                              <w:szCs w:val="18"/>
                            </w:rPr>
                          </w:pPr>
                        </w:p>
                        <w:p w:rsidR="000D0FAD" w:rsidRPr="00C8512A" w:rsidRDefault="000D0FAD" w:rsidP="00E423A0">
                          <w:pPr>
                            <w:spacing w:before="0" w:after="0"/>
                            <w:rPr>
                              <w:rFonts w:ascii="Arial Narrow" w:hAnsi="Arial Narrow"/>
                              <w:b/>
                              <w:bCs/>
                              <w:sz w:val="18"/>
                              <w:szCs w:val="18"/>
                            </w:rPr>
                          </w:pPr>
                          <w:r w:rsidRPr="00235BD6">
                            <w:rPr>
                              <w:rFonts w:ascii="Arial Narrow" w:hAnsi="Arial Narrow"/>
                              <w:b/>
                              <w:bCs/>
                              <w:sz w:val="18"/>
                              <w:szCs w:val="18"/>
                            </w:rPr>
                            <w:t>Ufficio Stampa</w:t>
                          </w:r>
                          <w:r w:rsidRPr="00235BD6">
                            <w:rPr>
                              <w:rFonts w:ascii="Arial Narrow" w:hAnsi="Arial Narrow"/>
                              <w:b/>
                              <w:bCs/>
                              <w:sz w:val="18"/>
                              <w:szCs w:val="18"/>
                            </w:rPr>
                            <w:br/>
                          </w:r>
                          <w:r w:rsidRPr="00235BD6">
                            <w:rPr>
                              <w:rFonts w:ascii="Arial Narrow" w:hAnsi="Arial Narrow"/>
                              <w:sz w:val="18"/>
                              <w:szCs w:val="18"/>
                            </w:rPr>
                            <w:t xml:space="preserve">tel. </w:t>
                          </w:r>
                          <w:r w:rsidRPr="00C8512A">
                            <w:rPr>
                              <w:rFonts w:ascii="Arial Narrow" w:hAnsi="Arial Narrow"/>
                              <w:sz w:val="18"/>
                              <w:szCs w:val="18"/>
                            </w:rPr>
                            <w:t>+39 06 4673.2243/4</w:t>
                          </w:r>
                        </w:p>
                        <w:p w:rsidR="000D0FAD" w:rsidRPr="00C8512A" w:rsidRDefault="003F6E7D" w:rsidP="00E423A0">
                          <w:pPr>
                            <w:spacing w:before="0" w:after="0"/>
                            <w:rPr>
                              <w:rFonts w:ascii="Arial Narrow" w:hAnsi="Arial Narrow"/>
                              <w:b/>
                              <w:bCs/>
                              <w:color w:val="7F7F7F"/>
                              <w:sz w:val="18"/>
                              <w:szCs w:val="18"/>
                            </w:rPr>
                          </w:pPr>
                          <w:hyperlink r:id="rId3" w:history="1">
                            <w:r w:rsidR="000D0FAD" w:rsidRPr="00C8512A">
                              <w:rPr>
                                <w:rStyle w:val="Collegamentoipertestuale"/>
                                <w:rFonts w:ascii="Arial Narrow" w:hAnsi="Arial Narrow"/>
                                <w:b/>
                                <w:bCs/>
                                <w:sz w:val="18"/>
                                <w:szCs w:val="18"/>
                              </w:rPr>
                              <w:t>ufficiostampa@istat.it</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2D53B" id="_x0000_t202" coordsize="21600,21600" o:spt="202" path="m,l,21600r21600,l21600,xe">
              <v:stroke joinstyle="miter"/>
              <v:path gradientshapeok="t" o:connecttype="rect"/>
            </v:shapetype>
            <v:shape id="Casella di testo 4" o:spid="_x0000_s1027" type="#_x0000_t202" style="position:absolute;margin-left:419.25pt;margin-top:20.25pt;width:87.75pt;height:75.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74PQIAAHEEAAAOAAAAZHJzL2Uyb0RvYy54bWysVMFu2zAMvQ/YPwi6L06yNFiDOEWWIsOA&#10;oC2QDj0rshwLkEVNYmJnXz9KttOt22nYRaZE6ol8j/Tyrq0NOysfNNicT0ZjzpSVUGh7zPm35+2H&#10;T5wFFLYQBqzK+UUFfrd6/27ZuIWaQgWmUJ4RiA2LxuW8QnSLLAuyUrUII3DKkrMEXwukrT9mhRcN&#10;odcmm47H86wBXzgPUoVAp/edk68SflkqiY9lGRQyk3PKDdPq03qIa7ZaisXRC1dp2ach/iGLWmhL&#10;j16h7gUKdvL6D6haSw8BShxJqDMoSy1VqoGqmYzfVLOvhFOpFiInuCtN4f/Byofzk2e6yPmMMytq&#10;kmgjgjJGsEIzVAGBzSJLjQsLCt47Csf2M7Sk9nAe6DAW35a+jl8qi5Gf+L5cOVYtMhkvTSaz2fSG&#10;M0m+2/l0TDbBZ6+3nQ/4RUHNopFzTxomasV5F7ALHULiYwGMLrbamLSJfaM2xrOzIMUNphwJ/Lco&#10;Y1mT8/nHm3ECthCvd8jGUi6x1q6maGF7aHsCDlBcqH4PXR8FJ7eaktyJgE/CU+NQyTQM+EhLaYAe&#10;gd7irAL/42/nMZ70JC9nDTVizsP3k/CKM/PVktKxawfDD8ZhMOyp3gBVOqExczKZdMGjGczSQ/1C&#10;M7KOr5BLWElv5RwHc4PdONCMSbVepyDqTSdwZ/dORujIbKT8uX0R3vW6ICn6AEOLisUbebrYeNPC&#10;+oRQ6qRdJLRjseeZ+jqp389gHJxf9ynq9U+x+gkAAP//AwBQSwMEFAAGAAgAAAAhAOdqQDriAAAA&#10;CwEAAA8AAABkcnMvZG93bnJldi54bWxMj8FOwzAQRO9I/IO1SFxQa7eEEkKcCpA4IBWhFtSzG5s4&#10;1F6H2G1Tvp7tCU67qxnNvinng3dsb/rYBpQwGQtgBuugW2wkfLw/j3JgMSnUygU0Eo4mwrw6PytV&#10;ocMBl2a/Sg2jEIyFkmBT6grOY22NV3EcOoOkfYbeq0Rn33DdqwOFe8enQsy4Vy3SB6s682RNvV3t&#10;vIT8mL1erWe36y/39vJof5pvXGyVlJcXw8M9sGSG9GeGEz6hQ0VMm7BDHZmjjOv8hqwSMkHzZBCT&#10;jNptaLubCuBVyf93qH4BAAD//wMAUEsBAi0AFAAGAAgAAAAhALaDOJL+AAAA4QEAABMAAAAAAAAA&#10;AAAAAAAAAAAAAFtDb250ZW50X1R5cGVzXS54bWxQSwECLQAUAAYACAAAACEAOP0h/9YAAACUAQAA&#10;CwAAAAAAAAAAAAAAAAAvAQAAX3JlbHMvLnJlbHNQSwECLQAUAAYACAAAACEAb6S++D0CAABxBAAA&#10;DgAAAAAAAAAAAAAAAAAuAgAAZHJzL2Uyb0RvYy54bWxQSwECLQAUAAYACAAAACEA52pAOuIAAAAL&#10;AQAADwAAAAAAAAAAAAAAAACXBAAAZHJzL2Rvd25yZXYueG1sUEsFBgAAAAAEAAQA8wAAAKYFAAAA&#10;AA==&#10;" fillcolor="white [3201]" stroked="f" strokeweight=".5pt">
              <v:textbox inset="0,0,0,0">
                <w:txbxContent>
                  <w:p w:rsidR="000D0FAD" w:rsidRDefault="000D0FAD" w:rsidP="00E423A0">
                    <w:pPr>
                      <w:spacing w:before="0" w:after="120" w:line="180" w:lineRule="exact"/>
                      <w:rPr>
                        <w:rFonts w:ascii="Arial Narrow" w:hAnsi="Arial Narrow"/>
                        <w:sz w:val="18"/>
                        <w:szCs w:val="18"/>
                      </w:rPr>
                    </w:pPr>
                    <w:hyperlink r:id="rId4" w:history="1">
                      <w:r w:rsidRPr="0059658A">
                        <w:rPr>
                          <w:rStyle w:val="Collegamentoipertestuale"/>
                          <w:rFonts w:ascii="Arial Narrow" w:hAnsi="Arial Narrow"/>
                          <w:sz w:val="18"/>
                          <w:szCs w:val="18"/>
                        </w:rPr>
                        <w:t>http://www.istat.it</w:t>
                      </w:r>
                    </w:hyperlink>
                  </w:p>
                  <w:p w:rsidR="000D0FAD" w:rsidRDefault="000D0FAD" w:rsidP="00E423A0">
                    <w:pPr>
                      <w:spacing w:before="0" w:after="0"/>
                      <w:rPr>
                        <w:rFonts w:ascii="Arial Narrow" w:hAnsi="Arial Narrow"/>
                        <w:b/>
                        <w:bCs/>
                        <w:sz w:val="18"/>
                        <w:szCs w:val="18"/>
                      </w:rPr>
                    </w:pPr>
                    <w:hyperlink r:id="rId5" w:history="1">
                      <w:r w:rsidRPr="006C6DF9">
                        <w:rPr>
                          <w:rStyle w:val="Collegamentoipertestuale"/>
                          <w:rFonts w:ascii="Arial Narrow" w:hAnsi="Arial Narrow"/>
                          <w:b/>
                          <w:bCs/>
                          <w:sz w:val="18"/>
                          <w:szCs w:val="18"/>
                        </w:rPr>
                        <w:t>Contact Centre</w:t>
                      </w:r>
                    </w:hyperlink>
                  </w:p>
                  <w:p w:rsidR="000D0FAD" w:rsidRPr="00235BD6" w:rsidRDefault="000D0FAD" w:rsidP="00E423A0">
                    <w:pPr>
                      <w:spacing w:before="0" w:after="0"/>
                      <w:rPr>
                        <w:rFonts w:ascii="Arial Narrow" w:hAnsi="Arial Narrow"/>
                        <w:sz w:val="18"/>
                        <w:szCs w:val="18"/>
                      </w:rPr>
                    </w:pPr>
                  </w:p>
                  <w:p w:rsidR="000D0FAD" w:rsidRPr="00C8512A" w:rsidRDefault="000D0FAD" w:rsidP="00E423A0">
                    <w:pPr>
                      <w:spacing w:before="0" w:after="0"/>
                      <w:rPr>
                        <w:rFonts w:ascii="Arial Narrow" w:hAnsi="Arial Narrow"/>
                        <w:b/>
                        <w:bCs/>
                        <w:sz w:val="18"/>
                        <w:szCs w:val="18"/>
                      </w:rPr>
                    </w:pPr>
                    <w:r w:rsidRPr="00235BD6">
                      <w:rPr>
                        <w:rFonts w:ascii="Arial Narrow" w:hAnsi="Arial Narrow"/>
                        <w:b/>
                        <w:bCs/>
                        <w:sz w:val="18"/>
                        <w:szCs w:val="18"/>
                      </w:rPr>
                      <w:t>Ufficio Stampa</w:t>
                    </w:r>
                    <w:r w:rsidRPr="00235BD6">
                      <w:rPr>
                        <w:rFonts w:ascii="Arial Narrow" w:hAnsi="Arial Narrow"/>
                        <w:b/>
                        <w:bCs/>
                        <w:sz w:val="18"/>
                        <w:szCs w:val="18"/>
                      </w:rPr>
                      <w:br/>
                    </w:r>
                    <w:r w:rsidRPr="00235BD6">
                      <w:rPr>
                        <w:rFonts w:ascii="Arial Narrow" w:hAnsi="Arial Narrow"/>
                        <w:sz w:val="18"/>
                        <w:szCs w:val="18"/>
                      </w:rPr>
                      <w:t xml:space="preserve">tel. </w:t>
                    </w:r>
                    <w:r w:rsidRPr="00C8512A">
                      <w:rPr>
                        <w:rFonts w:ascii="Arial Narrow" w:hAnsi="Arial Narrow"/>
                        <w:sz w:val="18"/>
                        <w:szCs w:val="18"/>
                      </w:rPr>
                      <w:t>+39 06 4673.2243/4</w:t>
                    </w:r>
                  </w:p>
                  <w:p w:rsidR="000D0FAD" w:rsidRPr="00C8512A" w:rsidRDefault="000D0FAD" w:rsidP="00E423A0">
                    <w:pPr>
                      <w:spacing w:before="0" w:after="0"/>
                      <w:rPr>
                        <w:rFonts w:ascii="Arial Narrow" w:hAnsi="Arial Narrow"/>
                        <w:b/>
                        <w:bCs/>
                        <w:color w:val="7F7F7F"/>
                        <w:sz w:val="18"/>
                        <w:szCs w:val="18"/>
                      </w:rPr>
                    </w:pPr>
                    <w:hyperlink r:id="rId6" w:history="1">
                      <w:r w:rsidRPr="00C8512A">
                        <w:rPr>
                          <w:rStyle w:val="Collegamentoipertestuale"/>
                          <w:rFonts w:ascii="Arial Narrow" w:hAnsi="Arial Narrow"/>
                          <w:b/>
                          <w:bCs/>
                          <w:sz w:val="18"/>
                          <w:szCs w:val="18"/>
                        </w:rPr>
                        <w:t>ufficiostampa@istat.it</w:t>
                      </w:r>
                    </w:hyperlink>
                  </w:p>
                </w:txbxContent>
              </v:textbox>
              <w10:wrap anchorx="margin"/>
            </v:shape>
          </w:pict>
        </mc:Fallback>
      </mc:AlternateContent>
    </w:r>
    <w:r w:rsidRPr="00AE406F">
      <w:rPr>
        <w:noProof/>
      </w:rPr>
      <w:drawing>
        <wp:anchor distT="0" distB="0" distL="114300" distR="114300" simplePos="0" relativeHeight="251663360" behindDoc="0" locked="0" layoutInCell="1" allowOverlap="1" wp14:anchorId="699F6C12" wp14:editId="2401DAE3">
          <wp:simplePos x="0" y="0"/>
          <wp:positionH relativeFrom="column">
            <wp:posOffset>0</wp:posOffset>
          </wp:positionH>
          <wp:positionV relativeFrom="paragraph">
            <wp:posOffset>0</wp:posOffset>
          </wp:positionV>
          <wp:extent cx="5332781" cy="1137834"/>
          <wp:effectExtent l="0" t="0" r="1270" b="5715"/>
          <wp:wrapNone/>
          <wp:docPr id="3" name="Immagine 6" descr="iconeComunicatiRosso-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descr="iconeComunicatiRosso-01"/>
                  <pic:cNvPicPr>
                    <a:picLocks/>
                  </pic:cNvPicPr>
                </pic:nvPicPr>
                <pic:blipFill rotWithShape="1">
                  <a:blip r:embed="rId7">
                    <a:extLst>
                      <a:ext uri="{28A0092B-C50C-407E-A947-70E740481C1C}">
                        <a14:useLocalDpi xmlns:a14="http://schemas.microsoft.com/office/drawing/2010/main" val="0"/>
                      </a:ext>
                    </a:extLst>
                  </a:blip>
                  <a:srcRect l="4" t="-12706" r="16052" b="7286"/>
                  <a:stretch/>
                </pic:blipFill>
                <pic:spPr bwMode="auto">
                  <a:xfrm>
                    <a:off x="0" y="0"/>
                    <a:ext cx="5333658" cy="11380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406F">
      <w:rPr>
        <w:noProof/>
      </w:rPr>
      <mc:AlternateContent>
        <mc:Choice Requires="wps">
          <w:drawing>
            <wp:anchor distT="0" distB="0" distL="114300" distR="114300" simplePos="0" relativeHeight="251665408" behindDoc="0" locked="0" layoutInCell="1" allowOverlap="1" wp14:anchorId="2FC240B3" wp14:editId="4A38CFF2">
              <wp:simplePos x="0" y="0"/>
              <wp:positionH relativeFrom="column">
                <wp:posOffset>-15240</wp:posOffset>
              </wp:positionH>
              <wp:positionV relativeFrom="paragraph">
                <wp:posOffset>1219835</wp:posOffset>
              </wp:positionV>
              <wp:extent cx="6414770" cy="0"/>
              <wp:effectExtent l="0" t="0" r="11430" b="12700"/>
              <wp:wrapNone/>
              <wp:docPr id="21" name="Connettore 1 37"/>
              <wp:cNvGraphicFramePr/>
              <a:graphic xmlns:a="http://schemas.openxmlformats.org/drawingml/2006/main">
                <a:graphicData uri="http://schemas.microsoft.com/office/word/2010/wordprocessingShape">
                  <wps:wsp>
                    <wps:cNvCnPr/>
                    <wps:spPr>
                      <a:xfrm>
                        <a:off x="0" y="0"/>
                        <a:ext cx="6414770"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DB00FF" id="Connettore 1 3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96.05pt" to="503.9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6z6gEAACwEAAAOAAAAZHJzL2Uyb0RvYy54bWysU8uO2zAMvBfoPwi6N7bTzaY14uwhi+2l&#10;j6CPD1BkKhEgiYKkjZO/LyUnTl+XFs1BsUjOkDOmVw8na9gRQtToOt7Mas7ASey123f829enV284&#10;i0m4Xhh00PEzRP6wfvliNfgW5nhA00NgROJiO/iOH1LybVVFeQAr4gw9OEoqDFYkuoZ91QcxELs1&#10;1byu76sBQ+8DSoiRoo9jkq8Lv1Ig0yelIiRmOk6zpXKGcu7yWa1Xot0H4Q9aXsYQ/zCFFdpR04nq&#10;USTBnoP+jcpqGTCiSjOJtkKltISigdQ09S9qvhyEh6KFzIl+sin+P1r58bgNTPcdnzecOWHpHW3Q&#10;OUgJA7CGvV5mjwYfWyrduG243KLfhiz4pILN/ySFnYqv58lXOCUmKXh/19wtl2S/vOaqG9CHmN4B&#10;WpYfOm60y5JFK47vY6JmVHotyWHj2NDxt4v5olRFNLp/0sbkXNka2JjAjoLe927flBrzbD9gP8YW&#10;Nf2yIqKdysfbjYlyxlEwqx51lqd0NjCO8BkUeUbKxgYT0dhDSAkuNZcuxlF1himacgLW4/R5zW8D&#10;/wy81GcolE3+G/CEKJ3RpQlstcPwp+7pdB1ZjfVXB0bd2YId9ueyAcUaWsni3OXzyTv/473Abx/5&#10;+jsAAAD//wMAUEsDBBQABgAIAAAAIQDz5Z4a3QAAAAsBAAAPAAAAZHJzL2Rvd25yZXYueG1sTI9N&#10;S8QwEIbvgv8hjOBFdpMtftTadJGiePDkKoK3bDu2ZZNJabK76b93FgQ9zjsP70e5Ts6KA05h8KRh&#10;tVQgkBrfDtRp+Hh/XuQgQjTUGusJNcwYYF2dn5WmaP2R3vCwiZ1gEwqF0dDHOBZShqZHZ8LSj0j8&#10;+/aTM5HPqZPtZI5s7qzMlLqVzgzECb0Zse6x2W32TsOQcHz6tC/1zXz1leMur5N8nbW+vEiPDyAi&#10;pvgHw6k+V4eKO239ntogrIZFds0k6/fZCsQJUOqOx2x/JVmV8v+G6gcAAP//AwBQSwECLQAUAAYA&#10;CAAAACEAtoM4kv4AAADhAQAAEwAAAAAAAAAAAAAAAAAAAAAAW0NvbnRlbnRfVHlwZXNdLnhtbFBL&#10;AQItABQABgAIAAAAIQA4/SH/1gAAAJQBAAALAAAAAAAAAAAAAAAAAC8BAABfcmVscy8ucmVsc1BL&#10;AQItABQABgAIAAAAIQAJUF6z6gEAACwEAAAOAAAAAAAAAAAAAAAAAC4CAABkcnMvZTJvRG9jLnht&#10;bFBLAQItABQABgAIAAAAIQDz5Z4a3QAAAAsBAAAPAAAAAAAAAAAAAAAAAEQEAABkcnMvZG93bnJl&#10;di54bWxQSwUGAAAAAAQABADzAAAATgUAAAAA&#10;" strokecolor="#7f7f7f [1612]"/>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FAD" w:rsidRDefault="000D0FAD">
    <w:pPr>
      <w:pStyle w:val="Intestazione"/>
    </w:pPr>
    <w:r>
      <w:rPr>
        <w:noProof/>
      </w:rPr>
      <mc:AlternateContent>
        <mc:Choice Requires="wps">
          <w:drawing>
            <wp:anchor distT="0" distB="0" distL="114300" distR="114300" simplePos="0" relativeHeight="251660288" behindDoc="0" locked="0" layoutInCell="1" allowOverlap="1">
              <wp:simplePos x="0" y="0"/>
              <wp:positionH relativeFrom="column">
                <wp:posOffset>531495</wp:posOffset>
              </wp:positionH>
              <wp:positionV relativeFrom="paragraph">
                <wp:posOffset>69850</wp:posOffset>
              </wp:positionV>
              <wp:extent cx="1078230" cy="263525"/>
              <wp:effectExtent l="0" t="0" r="26670" b="2286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0D0FAD" w:rsidRDefault="000D0FAD"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0D0FAD" w:rsidRPr="00C423DB" w:rsidRDefault="000D0FAD"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41.85pt;margin-top:5.5pt;width:84.9pt;height:20.7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dXsHgIAAE8EAAAOAAAAZHJzL2Uyb0RvYy54bWysVFFv1DAMfkfiP0R559rrtHFU603jxiGk&#10;MZAGP8BN02tEGockd+3x63HS623A20QeIqe2P9uf7V7fjL1mB+m8QlPx5SLnTBqBjTK7in//tn2z&#10;4swHMA1oNLLiR+n5zfr1q+vBlrLADnUjHSMQ48vBVrwLwZZZ5kUne/ALtNKQskXXQ6Cn22WNg4HQ&#10;e50VeX6VDega61BI7+nr3aTk64TftlKEL23rZWC64pRbSLdLdx3vbH0N5c6B7ZQ4pQEvyKIHZSjo&#10;GeoOArC9U/9A9Uo49NiGhcA+w7ZVQqYaqJpl/lc1jx1YmWohcrw90+T/H6x4OHx1TDUVf8eZgZ5a&#10;tAEvtQbWKBakD8iKyNJgfUnGj5bMw/geR+p2qtjbexQ/PDO46cDs5K1zOHQSGspyGT2zZ64Tjo8g&#10;9fAZGwoH+4AJaGxdHykkUhihU7eO5w7JMTARQ+ZvV8UFqQTpiquLy+IyhYBy9rbOh48SexaFijua&#10;gIQOh3sfYjZQziYxmEetmq3SOj3crt5oxw5A07JN54T+h5k2bCC+YuyXQvQq0Nhr1Vd8lccT40AZ&#10;aftgmiQHUHqSKWVtTjxG6iYSw1iPqXGJ5Mhxjc2RiHU4TTltJQkdul+cDTThFfc/9+AkZ/qToebE&#10;dZgFNwv1LIAR5FrxwNkkbsK0Nnvr1K4j5Ln9t9TArUrcPmVxSpemNlF+2rC4Fs/fyerpP7D+DQAA&#10;//8DAFBLAwQUAAYACAAAACEANge39t0AAAAIAQAADwAAAGRycy9kb3ducmV2LnhtbEyPQU+DQBCF&#10;7yb9D5tp4s0uhSAVWRpTY0/1YNX7lp0CkZ0l7NLCv+940uO89/Lme8V2sp244OBbRwrWqwgEUuVM&#10;S7WCr8+3hw0IHzQZ3TlCBTN62JaLu0Lnxl3pAy/HUAsuIZ9rBU0IfS6lrxq02q9cj8Te2Q1WBz6H&#10;WppBX7ncdjKOokdpdUv8odE97hqsfo6jVXC2Mvmmwy57yqb+MO/HZH59J6Xul9PLM4iAU/gLwy8+&#10;o0PJTCc3kvGiU7BJMk6yvuZJ7MdpkoI4KUjjFGRZyP8DyhsAAAD//wMAUEsBAi0AFAAGAAgAAAAh&#10;ALaDOJL+AAAA4QEAABMAAAAAAAAAAAAAAAAAAAAAAFtDb250ZW50X1R5cGVzXS54bWxQSwECLQAU&#10;AAYACAAAACEAOP0h/9YAAACUAQAACwAAAAAAAAAAAAAAAAAvAQAAX3JlbHMvLnJlbHNQSwECLQAU&#10;AAYACAAAACEAetHV7B4CAABPBAAADgAAAAAAAAAAAAAAAAAuAgAAZHJzL2Uyb0RvYy54bWxQSwEC&#10;LQAUAAYACAAAACEANge39t0AAAAIAQAADwAAAAAAAAAAAAAAAAB4BAAAZHJzL2Rvd25yZXYueG1s&#10;UEsFBgAAAAAEAAQA8wAAAIIFAAAAAA==&#10;" strokecolor="white">
              <v:textbox style="mso-fit-shape-to-text:t" inset="0,0,0,0">
                <w:txbxContent>
                  <w:p w:rsidR="000D0FAD" w:rsidRDefault="000D0FAD"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0D0FAD" w:rsidRPr="00C423DB" w:rsidRDefault="000D0FAD" w:rsidP="00A20FD3">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v:textbox>
            </v:shape>
          </w:pict>
        </mc:Fallback>
      </mc:AlternateContent>
    </w:r>
    <w:r>
      <w:rPr>
        <w:noProof/>
      </w:rPr>
      <w:drawing>
        <wp:inline distT="0" distB="0" distL="0" distR="0">
          <wp:extent cx="6480175" cy="588645"/>
          <wp:effectExtent l="0" t="0" r="0" b="1905"/>
          <wp:docPr id="14" name="Immagine 14" descr="iconeComunicatiRosso-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eComunicatiRosso-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86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FAD" w:rsidRPr="009E5F03" w:rsidRDefault="000D0FAD" w:rsidP="009E5F03">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FAD" w:rsidRPr="00CC0BEA" w:rsidRDefault="000D0FAD" w:rsidP="00CC0BEA">
    <w:pPr>
      <w:pStyle w:val="Intestazione"/>
    </w:pPr>
    <w:r>
      <w:rPr>
        <w:noProof/>
      </w:rPr>
      <w:drawing>
        <wp:inline distT="0" distB="0" distL="0" distR="0" wp14:anchorId="159D3D70" wp14:editId="4C4AAE01">
          <wp:extent cx="6480175" cy="596265"/>
          <wp:effectExtent l="0" t="0" r="0" b="0"/>
          <wp:docPr id="31" name="Immagine 31" descr="iconeComunicatiRosso-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eComunicatiRosso-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96265"/>
                  </a:xfrm>
                  <a:prstGeom prst="rect">
                    <a:avLst/>
                  </a:prstGeom>
                  <a:noFill/>
                  <a:ln>
                    <a:noFill/>
                  </a:ln>
                </pic:spPr>
              </pic:pic>
            </a:graphicData>
          </a:graphic>
        </wp:inline>
      </w:drawing>
    </w:r>
    <w:r>
      <w:rPr>
        <w:noProof/>
      </w:rPr>
      <mc:AlternateContent>
        <mc:Choice Requires="wps">
          <w:drawing>
            <wp:anchor distT="0" distB="0" distL="114300" distR="114300" simplePos="0" relativeHeight="251661312" behindDoc="0" locked="0" layoutInCell="1" allowOverlap="1">
              <wp:simplePos x="0" y="0"/>
              <wp:positionH relativeFrom="column">
                <wp:posOffset>520700</wp:posOffset>
              </wp:positionH>
              <wp:positionV relativeFrom="paragraph">
                <wp:posOffset>71120</wp:posOffset>
              </wp:positionV>
              <wp:extent cx="1078230" cy="263525"/>
              <wp:effectExtent l="0" t="0" r="26670" b="22860"/>
              <wp:wrapNone/>
              <wp:docPr id="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0D0FAD" w:rsidRDefault="000D0FAD"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0D0FAD" w:rsidRPr="00C423DB" w:rsidRDefault="000D0FAD"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1pt;margin-top:5.6pt;width:84.9pt;height:20.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JNUHwIAAFAEAAAOAAAAZHJzL2Uyb0RvYy54bWysVNuO0zAQfUfiHyy/06RZ7VKipqulSxHS&#10;cpEWPmDiOI2F4zG226R8PWOnKQu8rfCDNY7HZ86cmcn6duw1O0rnFZqKLxc5Z9IIbJTZV/zb192r&#10;FWc+gGlAo5EVP0nPbzcvX6wHW8oCO9SNdIxAjC8HW/EuBFtmmRed7MEv0EpDly26HgId3T5rHAyE&#10;3uusyPObbEDXWIdCek9f76dLvkn4bStF+Ny2XgamK07cQtpd2uu4Z5s1lHsHtlPiTAOewaIHZSjo&#10;BeoeArCDU/9A9Uo49NiGhcA+w7ZVQqYcKJtl/lc2jx1YmXIhcby9yOT/H6z4dPzimGoqfkXyGOip&#10;RlvwUmtgjWJB+oCsiDIN1pfk/WjJP4xvcaRyp5S9fUDx3TOD2w7MXt45h0MnoSGay/gye/J0wvER&#10;pB4+YkPh4BAwAY2t66OGpAojdOJzupRIjoGJGDJ/vSoiVUF3xc3VdXGdQkA5v7bOh/cSexaNijtq&#10;gYQOxwcfIhsoZ5cYzKNWzU5pnQ5uX2+1Y0egdtmldUb/w00bNlT8TYz9XIheBep7rfqKr/K4Yhwo&#10;o2zvTJPsAEpPNlHW5qxjlG4SMYz1mCp3KU+NzYmEdTi1OY0lGR26n5wN1OIV9z8O4CRn+oOh4sR5&#10;mA03G/VsgBH0tOKBs8nchmluDtapfUfIc/nvqIA7lbSNlZ5YnOlS2ybJzyMW5+LpOXn9/hFsfgEA&#10;AP//AwBQSwMEFAAGAAgAAAAhAHpz+cjcAAAACAEAAA8AAABkcnMvZG93bnJldi54bWxMj8FOwzAM&#10;hu9IvENkJG4sbabRrTSd0BCcxoHB7lnjtRWNUzXp1r495gRH+7d+f1+xnVwnLjiE1pOGdJGAQKq8&#10;banW8PX5+rAGEaIhazpPqGHGANvy9qYwufVX+sDLIdaCSyjkRkMTY59LGaoGnQkL3yNxdvaDM5HH&#10;oZZ2MFcud51USfIonWmJPzSmx12D1fdhdBrOTi6PtN9lm2zq9/PbuJxf3knr+7vp+QlExCn+HcMv&#10;PqNDyUwnP5INotOwVqwSeZ8qEJyrVcoqJw0rlYEsC/lfoPwBAAD//wMAUEsBAi0AFAAGAAgAAAAh&#10;ALaDOJL+AAAA4QEAABMAAAAAAAAAAAAAAAAAAAAAAFtDb250ZW50X1R5cGVzXS54bWxQSwECLQAU&#10;AAYACAAAACEAOP0h/9YAAACUAQAACwAAAAAAAAAAAAAAAAAvAQAAX3JlbHMvLnJlbHNQSwECLQAU&#10;AAYACAAAACEAJgiTVB8CAABQBAAADgAAAAAAAAAAAAAAAAAuAgAAZHJzL2Uyb0RvYy54bWxQSwEC&#10;LQAUAAYACAAAACEAenP5yNwAAAAIAQAADwAAAAAAAAAAAAAAAAB5BAAAZHJzL2Rvd25yZXYueG1s&#10;UEsFBgAAAAAEAAQA8wAAAIIFAAAAAA==&#10;" strokecolor="white">
              <v:textbox style="mso-fit-shape-to-text:t" inset="0,0,0,0">
                <w:txbxContent>
                  <w:p w:rsidR="000D0FAD" w:rsidRDefault="000D0FAD"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0D0FAD" w:rsidRPr="00C423DB" w:rsidRDefault="000D0FAD"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FAD" w:rsidRPr="00CC0BEA" w:rsidRDefault="000D0FAD" w:rsidP="00CC0BEA">
    <w:pPr>
      <w:pStyle w:val="Intestazione"/>
    </w:pPr>
    <w:r>
      <w:rPr>
        <w:noProof/>
      </w:rPr>
      <w:drawing>
        <wp:inline distT="0" distB="0" distL="0" distR="0" wp14:anchorId="3C00C711" wp14:editId="04E19944">
          <wp:extent cx="6478270" cy="586740"/>
          <wp:effectExtent l="0" t="0" r="0" b="3810"/>
          <wp:docPr id="48" name="Immagine 48" descr="C:\Users\lifagiol\Desktop\iconeComunicati-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descr="C:\Users\lifagiol\Desktop\iconeComunicati-1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8270" cy="586740"/>
                  </a:xfrm>
                  <a:prstGeom prst="rect">
                    <a:avLst/>
                  </a:prstGeom>
                  <a:noFill/>
                  <a:ln>
                    <a:noFill/>
                  </a:ln>
                </pic:spPr>
              </pic:pic>
            </a:graphicData>
          </a:graphic>
        </wp:inline>
      </w:drawing>
    </w:r>
    <w:r>
      <w:rPr>
        <w:noProof/>
      </w:rPr>
      <mc:AlternateContent>
        <mc:Choice Requires="wps">
          <w:drawing>
            <wp:anchor distT="0" distB="0" distL="114300" distR="114300" simplePos="0" relativeHeight="251669504" behindDoc="0" locked="0" layoutInCell="1" allowOverlap="1" wp14:anchorId="5DC1811F" wp14:editId="63835DAC">
              <wp:simplePos x="0" y="0"/>
              <wp:positionH relativeFrom="column">
                <wp:posOffset>520700</wp:posOffset>
              </wp:positionH>
              <wp:positionV relativeFrom="paragraph">
                <wp:posOffset>71120</wp:posOffset>
              </wp:positionV>
              <wp:extent cx="1078230" cy="263525"/>
              <wp:effectExtent l="0" t="0" r="26670" b="22860"/>
              <wp:wrapNone/>
              <wp:docPr id="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0D0FAD" w:rsidRDefault="000D0FAD"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0D0FAD" w:rsidRPr="00C423DB" w:rsidRDefault="000D0FAD"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DC1811F" id="_x0000_t202" coordsize="21600,21600" o:spt="202" path="m,l,21600r21600,l21600,xe">
              <v:stroke joinstyle="miter"/>
              <v:path gradientshapeok="t" o:connecttype="rect"/>
            </v:shapetype>
            <v:shape id="_x0000_s1030" type="#_x0000_t202" style="position:absolute;margin-left:41pt;margin-top:5.6pt;width:84.9pt;height:20.7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d/IAIAAE8EAAAOAAAAZHJzL2Uyb0RvYy54bWysVFGP0zAMfkfiP0R5Z9067RjVdadjxxDS&#10;cSAd/AAvTduINA5Jtnb8epx03R3wdiIPkVPbn+3Pdq9vhk6zo3ReoSn5YjbnTBqBlTJNyb9/271Z&#10;c+YDmAo0Glnyk/T8ZvP61XVvC5lji7qSjhGI8UVvS96GYIss86KVHfgZWmlIWaPrINDTNVnloCf0&#10;Tmf5fH6V9egq61BI7+nr3ajkm4Rf11KEL3XtZWC65JRbSLdL9z7e2eYaisaBbZU4pwEvyKIDZSjo&#10;BeoOArCDU/9AdUo49FiHmcAuw7pWQqYaqJrF/K9qHluwMtVC5Hh7ocn/P1jxcPzqmKpKvuLMQEct&#10;2oKXWgOrFAvSB2R5ZKm3viDjR0vmYXiPA3U7VeztPYofnhnctmAaeesc9q2EirJcRM/smeuI4yPI&#10;vv+MFYWDQ8AENNSuixQSKYzQqVunS4fkEJiIIedv1/mSVIJ0+dVyla9SCCgmb+t8+CixY1EouaMJ&#10;SOhwvPchZgPFZBKDedSq2imt08M1+6127Ag0Lbt0zuh/mGnD+pK/i7FfCtGpQGOvVVfy9TyeGAeK&#10;SNsHUyU5gNKjTClrc+YxUjeSGIb9kBq3jL6R4z1WJyLW4TjltJUktOh+cdbThJfc/zyAk5zpT4aa&#10;E9dhEtwk7CcBjCDXkgfORnEbxrU5WKealpCn9t9SA3cqcfuUxTldmtpE+XnD4lo8fyerp//A5jcA&#10;AAD//wMAUEsDBBQABgAIAAAAIQB6c/nI3AAAAAgBAAAPAAAAZHJzL2Rvd25yZXYueG1sTI/BTsMw&#10;DIbvSLxDZCRuLG2m0a00ndAQnMaBwe5Z47UVjVM16da+PeYER/u3fn9fsZ1cJy44hNaThnSRgECq&#10;vG2p1vD1+fqwBhGiIWs6T6hhxgDb8vamMLn1V/rAyyHWgkso5EZDE2OfSxmqBp0JC98jcXb2gzOR&#10;x6GWdjBXLnedVEnyKJ1piT80psddg9X3YXQazk4uj7TfZZts6vfz27icX95J6/u76fkJRMQp/h3D&#10;Lz6jQ8lMJz+SDaLTsFasEnmfKhCcq1XKKicNK5WBLAv5X6D8AQAA//8DAFBLAQItABQABgAIAAAA&#10;IQC2gziS/gAAAOEBAAATAAAAAAAAAAAAAAAAAAAAAABbQ29udGVudF9UeXBlc10ueG1sUEsBAi0A&#10;FAAGAAgAAAAhADj9If/WAAAAlAEAAAsAAAAAAAAAAAAAAAAALwEAAF9yZWxzLy5yZWxzUEsBAi0A&#10;FAAGAAgAAAAhACa4Z38gAgAATwQAAA4AAAAAAAAAAAAAAAAALgIAAGRycy9lMm9Eb2MueG1sUEsB&#10;Ai0AFAAGAAgAAAAhAHpz+cjcAAAACAEAAA8AAAAAAAAAAAAAAAAAegQAAGRycy9kb3ducmV2Lnht&#10;bFBLBQYAAAAABAAEAPMAAACDBQAAAAA=&#10;" strokecolor="white">
              <v:textbox style="mso-fit-shape-to-text:t" inset="0,0,0,0">
                <w:txbxContent>
                  <w:p w:rsidR="000D0FAD" w:rsidRDefault="000D0FAD"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0D0FAD" w:rsidRPr="00C423DB" w:rsidRDefault="000D0FAD"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FAD" w:rsidRPr="00CC0BEA" w:rsidRDefault="000D0FAD" w:rsidP="00CC0BEA">
    <w:pPr>
      <w:pStyle w:val="Intestazione"/>
    </w:pPr>
    <w:r>
      <w:rPr>
        <w:noProof/>
      </w:rPr>
      <mc:AlternateContent>
        <mc:Choice Requires="wps">
          <w:drawing>
            <wp:anchor distT="0" distB="0" distL="114300" distR="114300" simplePos="0" relativeHeight="251659264" behindDoc="0" locked="0" layoutInCell="1" allowOverlap="1">
              <wp:simplePos x="0" y="0"/>
              <wp:positionH relativeFrom="column">
                <wp:posOffset>520700</wp:posOffset>
              </wp:positionH>
              <wp:positionV relativeFrom="paragraph">
                <wp:posOffset>71120</wp:posOffset>
              </wp:positionV>
              <wp:extent cx="1078230" cy="263525"/>
              <wp:effectExtent l="0" t="0" r="26670" b="22860"/>
              <wp:wrapNone/>
              <wp:docPr id="3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0D0FAD" w:rsidRDefault="000D0FAD"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0D0FAD" w:rsidRPr="00C423DB" w:rsidRDefault="000D0FAD"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1pt;margin-top:5.6pt;width:84.9pt;height:20.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NIQIAAFAEAAAOAAAAZHJzL2Uyb0RvYy54bWysVF+P0zAMf0fiO0R5Z906doxq3enYMYR0&#10;/JEOPoCXpm1EGockW3t8epx03R3wdiIPkVPbP9s/291cD51mJ+m8QlPyxWzOmTQCK2Wakn//tn+1&#10;5swHMBVoNLLkD9Lz6+3LF5veFjLHFnUlHSMQ44velrwNwRZZ5kUrO/AztNKQskbXQaCna7LKQU/o&#10;nc7y+fwq69FV1qGQ3tPX21HJtwm/rqUIX+ray8B0ySm3kG6X7kO8s+0GisaBbZU4pwHPyKIDZSjo&#10;BeoWArCjU/9AdUo49FiHmcAuw7pWQqYaqJrF/K9q7luwMtVC5Hh7ocn/P1jx+fTVMVWVfLnizEBH&#10;PdqBl1oDqxQL0gdkeaSpt74g63tL9mF4hwO1O5Xs7R2KH54Z3LVgGnnjHPathIrSXETP7InriOMj&#10;yKH/hBWFg2PABDTUroscEiuM0KldD5cWySEwEUPO36zzJakE6fKr5SpfpRBQTN7W+fBBYseiUHJH&#10;I5DQ4XTnQ8wGiskkBvOoVbVXWqeHaw477dgJaFz26ZzR/zDThvUlfxtjPxeiU4HmXquu5Ot5PDEO&#10;FJG296ZKcgClR5lS1ubMY6RuJDEMhyF17nX0jRwfsHogYh2OY05rSUKL7hdnPY14yf3PIzjJmf5o&#10;qDlxHybBTcJhEsAIci154GwUd2Hcm6N1qmkJeWr/DTVwrxK3j1mc06WxTZSfVyzuxdN3snr8EWx/&#10;AwAA//8DAFBLAwQUAAYACAAAACEAenP5yNwAAAAIAQAADwAAAGRycy9kb3ducmV2LnhtbEyPwU7D&#10;MAyG70i8Q2QkbixtptGtNJ3QEJzGgcHuWeO1FY1TNenWvj3mBEf7t35/X7GdXCcuOITWk4Z0kYBA&#10;qrxtqdbw9fn6sAYRoiFrOk+oYcYA2/L2pjC59Vf6wMsh1oJLKORGQxNjn0sZqgadCQvfI3F29oMz&#10;kcehlnYwVy53nVRJ8iidaYk/NKbHXYPV92F0Gs5OLo+032WbbOr389u4nF/eSev7u+n5CUTEKf4d&#10;wy8+o0PJTCc/kg2i07BWrBJ5nyoQnKtVyionDSuVgSwL+V+g/AEAAP//AwBQSwECLQAUAAYACAAA&#10;ACEAtoM4kv4AAADhAQAAEwAAAAAAAAAAAAAAAAAAAAAAW0NvbnRlbnRfVHlwZXNdLnhtbFBLAQIt&#10;ABQABgAIAAAAIQA4/SH/1gAAAJQBAAALAAAAAAAAAAAAAAAAAC8BAABfcmVscy8ucmVsc1BLAQIt&#10;ABQABgAIAAAAIQD+h+6NIQIAAFAEAAAOAAAAAAAAAAAAAAAAAC4CAABkcnMvZTJvRG9jLnhtbFBL&#10;AQItABQABgAIAAAAIQB6c/nI3AAAAAgBAAAPAAAAAAAAAAAAAAAAAHsEAABkcnMvZG93bnJldi54&#10;bWxQSwUGAAAAAAQABADzAAAAhAUAAAAA&#10;" strokecolor="white">
              <v:textbox style="mso-fit-shape-to-text:t" inset="0,0,0,0">
                <w:txbxContent>
                  <w:p w:rsidR="000D0FAD" w:rsidRDefault="000D0FAD"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0D0FAD" w:rsidRPr="00C423DB" w:rsidRDefault="000D0FAD" w:rsidP="00CC0BEA">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v:textbox>
            </v:shape>
          </w:pict>
        </mc:Fallback>
      </mc:AlternateContent>
    </w:r>
    <w:r>
      <w:rPr>
        <w:noProof/>
      </w:rPr>
      <w:drawing>
        <wp:inline distT="0" distB="0" distL="0" distR="0">
          <wp:extent cx="6480175" cy="580390"/>
          <wp:effectExtent l="0" t="0" r="0" b="0"/>
          <wp:docPr id="37" name="Immagine 37" descr="iconeComunicatiRoss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eComunicatiRosso-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039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FAD" w:rsidRPr="009E5F03" w:rsidRDefault="000D0FAD" w:rsidP="009E5F03">
    <w:pPr>
      <w:pStyle w:val="Intestazione"/>
    </w:pPr>
    <w:r>
      <w:rPr>
        <w:noProof/>
      </w:rPr>
      <w:drawing>
        <wp:inline distT="0" distB="0" distL="0" distR="0" wp14:anchorId="632739E4" wp14:editId="72E4DC6E">
          <wp:extent cx="6480175" cy="580390"/>
          <wp:effectExtent l="0" t="0" r="0" b="0"/>
          <wp:docPr id="45" name="Immagine 45" descr="iconeComunicatiRosso-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eComunicatiRosso-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0390"/>
                  </a:xfrm>
                  <a:prstGeom prst="rect">
                    <a:avLst/>
                  </a:prstGeom>
                  <a:noFill/>
                  <a:ln>
                    <a:noFill/>
                  </a:ln>
                </pic:spPr>
              </pic:pic>
            </a:graphicData>
          </a:graphic>
        </wp:inline>
      </w:drawing>
    </w:r>
    <w:r>
      <w:rPr>
        <w:noProof/>
      </w:rPr>
      <mc:AlternateContent>
        <mc:Choice Requires="wps">
          <w:drawing>
            <wp:anchor distT="0" distB="0" distL="114300" distR="114300" simplePos="0" relativeHeight="251656704" behindDoc="0" locked="0" layoutInCell="1" allowOverlap="1" wp14:anchorId="50E96AC9" wp14:editId="25B2808E">
              <wp:simplePos x="0" y="0"/>
              <wp:positionH relativeFrom="column">
                <wp:posOffset>536575</wp:posOffset>
              </wp:positionH>
              <wp:positionV relativeFrom="paragraph">
                <wp:posOffset>41910</wp:posOffset>
              </wp:positionV>
              <wp:extent cx="1078230" cy="263525"/>
              <wp:effectExtent l="0" t="0" r="26670" b="22860"/>
              <wp:wrapNone/>
              <wp:docPr id="44" name="Casella di tes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0D0FAD" w:rsidRDefault="000D0FAD" w:rsidP="0055598E">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0D0FAD" w:rsidRPr="00C423DB" w:rsidRDefault="000D0FAD" w:rsidP="00B249D0">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0E96AC9" id="_x0000_t202" coordsize="21600,21600" o:spt="202" path="m,l,21600r21600,l21600,xe">
              <v:stroke joinstyle="miter"/>
              <v:path gradientshapeok="t" o:connecttype="rect"/>
            </v:shapetype>
            <v:shape id="Casella di testo 44" o:spid="_x0000_s1032" type="#_x0000_t202" style="position:absolute;margin-left:42.25pt;margin-top:3.3pt;width:84.9pt;height:20.7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07IQIAAFEEAAAOAAAAZHJzL2Uyb0RvYy54bWysVNtu2zAMfR+wfxD0vthJL8uMOEWXLsOA&#10;7gJ0+wBalm1hsqhJSuzs60vJSdptb8X0IFAmeUgekl7djL1me+m8QlPy+SznTBqBtTJtyX98375Z&#10;cuYDmBo0Glnyg/T8Zv361WqwhVxgh7qWjhGI8cVgS96FYIss86KTPfgZWmlI2aDrIdDTtVntYCD0&#10;XmeLPL/OBnS1dSik9/T1blLydcJvGinC16bxMjBdcsotpNulu4p3tl5B0TqwnRLHNOAFWfSgDAU9&#10;Q91BALZz6h+oXgmHHpswE9hn2DRKyFQDVTPP/6rmoQMrUy1Ejrdnmvz/gxVf9t8cU3XJLy85M9BT&#10;jzbgpdbAasWC9AEZqYinwfqCzB8sOYTxPY7U71Szt/cofnpmcNOBaeWtczh0EmrKcx49s2euE46P&#10;INXwGWuKB7uACWhsXB9JJFoYoVO/DuceyTEwEUPmb5eLC1IJ0i2uL64WVykEFCdv63z4KLFnUSi5&#10;oxlI6LC/9yFmA8XJJAbzqFW9VVqnh2urjXZsDzQv23SO6H+YacOGkr+LsV8K0atAg69VX/JlHk+M&#10;A0Wk7YOpkxxA6UmmlLU58hipm0gMYzWm1iUGIscV1gci1uE057SXJHTofnM20IyX3P/agZOc6U+G&#10;mhMX4iS4k1CdBDCCXEseOJvETZgWZ2edajtCPrX/lhq4VYnbpyyO6dLcJsqPOxYX4/k7WT39CdaP&#10;AAAA//8DAFBLAwQUAAYACAAAACEAaa12u9wAAAAHAQAADwAAAGRycy9kb3ducmV2LnhtbEyOwU6D&#10;QBRF9yb+w+SZuLNDC6WIPBpTo6t2YdX9lHkFIvOGMEMLf++40uXNvTn3FNvJdOJCg2stIywXEQji&#10;yuqWa4TPj9eHDITzirXqLBPCTA625e1NoXJtr/xOl6OvRYCwyxVC432fS+mqhoxyC9sTh+5sB6N8&#10;iEMt9aCuAW46uYqiVBrVcnhoVE+7hqrv42gQzkbGX7zfbR43U7+f38Z4fjkw4v3d9PwEwtPk/8bw&#10;qx/UoQxOJzuydqJDyJJ1WCKkKYhQr9ZJDOKEkGRLkGUh//uXPwAAAP//AwBQSwECLQAUAAYACAAA&#10;ACEAtoM4kv4AAADhAQAAEwAAAAAAAAAAAAAAAAAAAAAAW0NvbnRlbnRfVHlwZXNdLnhtbFBLAQIt&#10;ABQABgAIAAAAIQA4/SH/1gAAAJQBAAALAAAAAAAAAAAAAAAAAC8BAABfcmVscy8ucmVsc1BLAQIt&#10;ABQABgAIAAAAIQD+St07IQIAAFEEAAAOAAAAAAAAAAAAAAAAAC4CAABkcnMvZTJvRG9jLnhtbFBL&#10;AQItABQABgAIAAAAIQBprXa73AAAAAcBAAAPAAAAAAAAAAAAAAAAAHsEAABkcnMvZG93bnJldi54&#10;bWxQSwUGAAAAAAQABADzAAAAhAUAAAAA&#10;" strokecolor="white">
              <v:textbox style="mso-fit-shape-to-text:t" inset="0,0,0,0">
                <w:txbxContent>
                  <w:p w:rsidR="000D0FAD" w:rsidRDefault="000D0FAD" w:rsidP="0055598E">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 xml:space="preserve">PREZZI </w:t>
                    </w:r>
                  </w:p>
                  <w:p w:rsidR="000D0FAD" w:rsidRPr="00C423DB" w:rsidRDefault="000D0FAD" w:rsidP="00B249D0">
                    <w:pPr>
                      <w:pStyle w:val="Intestazione"/>
                      <w:overflowPunct/>
                      <w:autoSpaceDE/>
                      <w:autoSpaceDN/>
                      <w:adjustRightInd/>
                      <w:spacing w:before="0" w:after="0" w:line="200" w:lineRule="exact"/>
                      <w:rPr>
                        <w:rFonts w:ascii="Arial Narrow" w:hAnsi="Arial Narrow"/>
                        <w:b/>
                        <w:color w:val="5F5F5F"/>
                        <w:kern w:val="0"/>
                      </w:rPr>
                    </w:pPr>
                    <w:r>
                      <w:rPr>
                        <w:rFonts w:ascii="Arial Narrow" w:hAnsi="Arial Narrow"/>
                        <w:b/>
                        <w:color w:val="5F5F5F"/>
                        <w:kern w:val="0"/>
                      </w:rPr>
                      <w:t>AL CONSUMO</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FAD" w:rsidRPr="009E5F03" w:rsidRDefault="000D0FAD" w:rsidP="009E5F03">
    <w:pPr>
      <w:pStyle w:val="Intestazione"/>
    </w:pPr>
    <w:r>
      <w:rPr>
        <w:noProof/>
      </w:rPr>
      <mc:AlternateContent>
        <mc:Choice Requires="wps">
          <w:drawing>
            <wp:anchor distT="0" distB="0" distL="114300" distR="114300" simplePos="0" relativeHeight="251655680" behindDoc="0" locked="0" layoutInCell="1" allowOverlap="1">
              <wp:simplePos x="0" y="0"/>
              <wp:positionH relativeFrom="column">
                <wp:posOffset>536575</wp:posOffset>
              </wp:positionH>
              <wp:positionV relativeFrom="paragraph">
                <wp:posOffset>60960</wp:posOffset>
              </wp:positionV>
              <wp:extent cx="1078230" cy="263525"/>
              <wp:effectExtent l="0" t="0" r="26670" b="2286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263525"/>
                      </a:xfrm>
                      <a:prstGeom prst="rect">
                        <a:avLst/>
                      </a:prstGeom>
                      <a:solidFill>
                        <a:srgbClr val="FFFFFF"/>
                      </a:solidFill>
                      <a:ln w="9525">
                        <a:solidFill>
                          <a:srgbClr val="FFFFFF"/>
                        </a:solidFill>
                        <a:miter lim="800000"/>
                        <a:headEnd/>
                        <a:tailEnd/>
                      </a:ln>
                    </wps:spPr>
                    <wps:txbx>
                      <w:txbxContent>
                        <w:p w:rsidR="000D0FAD" w:rsidRDefault="000D0FAD" w:rsidP="00B249D0">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PREZZI </w:t>
                          </w:r>
                        </w:p>
                        <w:p w:rsidR="000D0FAD" w:rsidRPr="0017508C" w:rsidRDefault="000D0FAD" w:rsidP="00B249D0">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AL CONSUMO</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42.25pt;margin-top:4.8pt;width:84.9pt;height:20.7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RTHwIAAE8EAAAOAAAAZHJzL2Uyb0RvYy54bWysVFGP0zAMfkfiP0R5Z916ujGqdadjxxDS&#10;cSAd/AA3TduINA5Jtnb8epx02x3wdiIPkVPbn+3Pdtc3Y6/ZQTqv0JR8MZtzJo3AWpm25N+/7d6s&#10;OPMBTA0ajSz5UXp+s3n9aj3YQubYoa6lYwRifDHYknch2CLLvOhkD36GVhpSNuh6CPR0bVY7GAi9&#10;11k+ny+zAV1tHQrpPX29m5R8k/CbRorwpWm8DEyXnHIL6XbpruKdbdZQtA5sp8QpDXhBFj0oQ0Ev&#10;UHcQgO2d+geqV8KhxybMBPYZNo0SMtVA1Szmf1Xz2IGVqRYix9sLTf7/wYqHw1fHVF3ynDMDPbVo&#10;C15qDaxWLEgfkOWRpcH6gowfLZmH8T2O1O1Usbf3KH54ZnDbgWnlrXM4dBJqynIRPbNnrhOOjyDV&#10;8BlrCgf7gAlobFwfKSRSGKFTt46XDskxMBFDzt+u8itSCdLly6vr/DqFgOLsbZ0PHyX2LAoldzQB&#10;CR0O9z7EbKA4m8RgHrWqd0rr9HBttdWOHYCmZZfOCf0PM23YUPJ3MfZLIXoVaOy16ku+mscT40AR&#10;aftg6iQHUHqSKWVtTjxG6iYSw1iNqXHL6Bs5rrA+ErEOpymnrSShQ/eLs4EmvOT+5x6c5Ex/MtSc&#10;uA5nwZ2F6iyAEeRa8sDZJG7DtDZ761TbEfK5/bfUwJ1K3D5lcUqXpjZRftqwuBbP38nq6T+w+Q0A&#10;AP//AwBQSwMEFAAGAAgAAAAhAKIHhDTcAAAABwEAAA8AAABkcnMvZG93bnJldi54bWxMjk1PwzAQ&#10;RO9I/AdrkbhRJ03Tj5BNhYroqRwocHfjbRIRr6PYaZN/j3uC42hGb16+HU0rLtS7xjJCPItAEJdW&#10;N1whfH2+Pa1BOK9Yq9YyIUzkYFvc3+Uq0/bKH3Q5+koECLtMIdTed5mUrqzJKDezHXHozrY3yofY&#10;V1L36hrgppXzKFpKoxoOD7XqaFdT+XMcDMLZyOSbD7vVZjV2h2k/JNPrOyM+PowvzyA8jf5vDDf9&#10;oA5FcDrZgbUTLcJ6kYYlwmYJItTzdJGAOCGkcQyyyOV//+IXAAD//wMAUEsBAi0AFAAGAAgAAAAh&#10;ALaDOJL+AAAA4QEAABMAAAAAAAAAAAAAAAAAAAAAAFtDb250ZW50X1R5cGVzXS54bWxQSwECLQAU&#10;AAYACAAAACEAOP0h/9YAAACUAQAACwAAAAAAAAAAAAAAAAAvAQAAX3JlbHMvLnJlbHNQSwECLQAU&#10;AAYACAAAACEAIGI0Ux8CAABPBAAADgAAAAAAAAAAAAAAAAAuAgAAZHJzL2Uyb0RvYy54bWxQSwEC&#10;LQAUAAYACAAAACEAogeENNwAAAAHAQAADwAAAAAAAAAAAAAAAAB5BAAAZHJzL2Rvd25yZXYueG1s&#10;UEsFBgAAAAAEAAQA8wAAAIIFAAAAAA==&#10;" strokecolor="white">
              <v:textbox style="mso-fit-shape-to-text:t" inset="0,0,0,0">
                <w:txbxContent>
                  <w:p w:rsidR="000D0FAD" w:rsidRDefault="000D0FAD" w:rsidP="00B249D0">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 xml:space="preserve">PREZZI </w:t>
                    </w:r>
                  </w:p>
                  <w:p w:rsidR="000D0FAD" w:rsidRPr="0017508C" w:rsidRDefault="000D0FAD" w:rsidP="00B249D0">
                    <w:pPr>
                      <w:pStyle w:val="Intestazione"/>
                      <w:overflowPunct/>
                      <w:autoSpaceDE/>
                      <w:autoSpaceDN/>
                      <w:adjustRightInd/>
                      <w:spacing w:before="0" w:after="0" w:line="200" w:lineRule="exact"/>
                      <w:rPr>
                        <w:rFonts w:ascii="Arial Narrow" w:hAnsi="Arial Narrow"/>
                        <w:b/>
                        <w:color w:val="999999"/>
                        <w:kern w:val="0"/>
                      </w:rPr>
                    </w:pPr>
                    <w:r>
                      <w:rPr>
                        <w:rFonts w:ascii="Arial Narrow" w:hAnsi="Arial Narrow"/>
                        <w:b/>
                        <w:color w:val="999999"/>
                        <w:kern w:val="0"/>
                      </w:rPr>
                      <w:t>AL CONSUMO</w:t>
                    </w:r>
                  </w:p>
                </w:txbxContent>
              </v:textbox>
            </v:shape>
          </w:pict>
        </mc:Fallback>
      </mc:AlternateContent>
    </w:r>
    <w:r>
      <w:rPr>
        <w:noProof/>
      </w:rPr>
      <w:drawing>
        <wp:inline distT="0" distB="0" distL="0" distR="0">
          <wp:extent cx="6480175" cy="588645"/>
          <wp:effectExtent l="0" t="0" r="0" b="1905"/>
          <wp:docPr id="36" name="Immagine 36" descr="iconeComunicatiRos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oneComunicatiRoss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175" cy="5886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5pt;height:7.2pt" o:bullet="t">
        <v:imagedata r:id="rId1" o:title=""/>
      </v:shape>
    </w:pict>
  </w:numPicBullet>
  <w:numPicBullet w:numPicBulletId="1">
    <w:pict>
      <v:shape id="_x0000_i1031" type="#_x0000_t75" style="width:8.45pt;height:8.45pt" o:bullet="t">
        <v:imagedata r:id="rId2" o:title=""/>
      </v:shape>
    </w:pict>
  </w:numPicBullet>
  <w:abstractNum w:abstractNumId="0" w15:restartNumberingAfterBreak="0">
    <w:nsid w:val="FFFFFF1D"/>
    <w:multiLevelType w:val="multilevel"/>
    <w:tmpl w:val="F1A4DC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22D62"/>
    <w:multiLevelType w:val="hybridMultilevel"/>
    <w:tmpl w:val="2EA4AA2A"/>
    <w:lvl w:ilvl="0" w:tplc="7FE041A6">
      <w:start w:val="1"/>
      <w:numFmt w:val="bullet"/>
      <w:lvlText w:val=""/>
      <w:lvlJc w:val="left"/>
      <w:pPr>
        <w:ind w:left="720" w:hanging="360"/>
      </w:pPr>
      <w:rPr>
        <w:rFonts w:ascii="Wingdings" w:hAnsi="Wingdings" w:hint="default"/>
        <w:b/>
        <w:i w:val="0"/>
        <w:color w:val="FF0000"/>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26E56C4"/>
    <w:multiLevelType w:val="hybridMultilevel"/>
    <w:tmpl w:val="AB00ACB0"/>
    <w:lvl w:ilvl="0" w:tplc="723CD9BA">
      <w:start w:val="1"/>
      <w:numFmt w:val="bullet"/>
      <w:lvlText w:val=""/>
      <w:lvlPicBulletId w:val="0"/>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3" w15:restartNumberingAfterBreak="0">
    <w:nsid w:val="056C3596"/>
    <w:multiLevelType w:val="multilevel"/>
    <w:tmpl w:val="98E2AEF0"/>
    <w:lvl w:ilvl="0">
      <w:start w:val="1"/>
      <w:numFmt w:val="bullet"/>
      <w:lvlText w:val=""/>
      <w:lvlPicBulletId w:val="1"/>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59315D3"/>
    <w:multiLevelType w:val="hybridMultilevel"/>
    <w:tmpl w:val="EF400274"/>
    <w:lvl w:ilvl="0" w:tplc="8CAC103E">
      <w:start w:val="1"/>
      <w:numFmt w:val="bullet"/>
      <w:lvlText w:val=""/>
      <w:lvlPicBulletId w:val="0"/>
      <w:lvlJc w:val="left"/>
      <w:pPr>
        <w:tabs>
          <w:tab w:val="num" w:pos="720"/>
        </w:tabs>
        <w:ind w:left="720" w:hanging="360"/>
      </w:pPr>
      <w:rPr>
        <w:rFonts w:ascii="Symbol" w:hAnsi="Symbol" w:hint="default"/>
      </w:rPr>
    </w:lvl>
    <w:lvl w:ilvl="1" w:tplc="950A23AE" w:tentative="1">
      <w:start w:val="1"/>
      <w:numFmt w:val="bullet"/>
      <w:lvlText w:val=""/>
      <w:lvlJc w:val="left"/>
      <w:pPr>
        <w:tabs>
          <w:tab w:val="num" w:pos="1440"/>
        </w:tabs>
        <w:ind w:left="1440" w:hanging="360"/>
      </w:pPr>
      <w:rPr>
        <w:rFonts w:ascii="Symbol" w:hAnsi="Symbol" w:hint="default"/>
      </w:rPr>
    </w:lvl>
    <w:lvl w:ilvl="2" w:tplc="10E0DD76" w:tentative="1">
      <w:start w:val="1"/>
      <w:numFmt w:val="bullet"/>
      <w:lvlText w:val=""/>
      <w:lvlJc w:val="left"/>
      <w:pPr>
        <w:tabs>
          <w:tab w:val="num" w:pos="2160"/>
        </w:tabs>
        <w:ind w:left="2160" w:hanging="360"/>
      </w:pPr>
      <w:rPr>
        <w:rFonts w:ascii="Symbol" w:hAnsi="Symbol" w:hint="default"/>
      </w:rPr>
    </w:lvl>
    <w:lvl w:ilvl="3" w:tplc="A5229CBE" w:tentative="1">
      <w:start w:val="1"/>
      <w:numFmt w:val="bullet"/>
      <w:lvlText w:val=""/>
      <w:lvlJc w:val="left"/>
      <w:pPr>
        <w:tabs>
          <w:tab w:val="num" w:pos="2880"/>
        </w:tabs>
        <w:ind w:left="2880" w:hanging="360"/>
      </w:pPr>
      <w:rPr>
        <w:rFonts w:ascii="Symbol" w:hAnsi="Symbol" w:hint="default"/>
      </w:rPr>
    </w:lvl>
    <w:lvl w:ilvl="4" w:tplc="BD863054" w:tentative="1">
      <w:start w:val="1"/>
      <w:numFmt w:val="bullet"/>
      <w:lvlText w:val=""/>
      <w:lvlJc w:val="left"/>
      <w:pPr>
        <w:tabs>
          <w:tab w:val="num" w:pos="3600"/>
        </w:tabs>
        <w:ind w:left="3600" w:hanging="360"/>
      </w:pPr>
      <w:rPr>
        <w:rFonts w:ascii="Symbol" w:hAnsi="Symbol" w:hint="default"/>
      </w:rPr>
    </w:lvl>
    <w:lvl w:ilvl="5" w:tplc="6046C154" w:tentative="1">
      <w:start w:val="1"/>
      <w:numFmt w:val="bullet"/>
      <w:lvlText w:val=""/>
      <w:lvlJc w:val="left"/>
      <w:pPr>
        <w:tabs>
          <w:tab w:val="num" w:pos="4320"/>
        </w:tabs>
        <w:ind w:left="4320" w:hanging="360"/>
      </w:pPr>
      <w:rPr>
        <w:rFonts w:ascii="Symbol" w:hAnsi="Symbol" w:hint="default"/>
      </w:rPr>
    </w:lvl>
    <w:lvl w:ilvl="6" w:tplc="377ACC06" w:tentative="1">
      <w:start w:val="1"/>
      <w:numFmt w:val="bullet"/>
      <w:lvlText w:val=""/>
      <w:lvlJc w:val="left"/>
      <w:pPr>
        <w:tabs>
          <w:tab w:val="num" w:pos="5040"/>
        </w:tabs>
        <w:ind w:left="5040" w:hanging="360"/>
      </w:pPr>
      <w:rPr>
        <w:rFonts w:ascii="Symbol" w:hAnsi="Symbol" w:hint="default"/>
      </w:rPr>
    </w:lvl>
    <w:lvl w:ilvl="7" w:tplc="8D744430" w:tentative="1">
      <w:start w:val="1"/>
      <w:numFmt w:val="bullet"/>
      <w:lvlText w:val=""/>
      <w:lvlJc w:val="left"/>
      <w:pPr>
        <w:tabs>
          <w:tab w:val="num" w:pos="5760"/>
        </w:tabs>
        <w:ind w:left="5760" w:hanging="360"/>
      </w:pPr>
      <w:rPr>
        <w:rFonts w:ascii="Symbol" w:hAnsi="Symbol" w:hint="default"/>
      </w:rPr>
    </w:lvl>
    <w:lvl w:ilvl="8" w:tplc="49A80EF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6EB06D5"/>
    <w:multiLevelType w:val="hybridMultilevel"/>
    <w:tmpl w:val="FB56AB9A"/>
    <w:lvl w:ilvl="0" w:tplc="B2FE55E2">
      <w:start w:val="1"/>
      <w:numFmt w:val="bullet"/>
      <w:lvlText w:val=""/>
      <w:lvlPicBulletId w:val="0"/>
      <w:lvlJc w:val="left"/>
      <w:pPr>
        <w:tabs>
          <w:tab w:val="num" w:pos="720"/>
        </w:tabs>
        <w:ind w:left="720" w:hanging="360"/>
      </w:pPr>
      <w:rPr>
        <w:rFonts w:ascii="Symbol" w:hAnsi="Symbol" w:hint="default"/>
      </w:rPr>
    </w:lvl>
    <w:lvl w:ilvl="1" w:tplc="92C4D3EE" w:tentative="1">
      <w:start w:val="1"/>
      <w:numFmt w:val="bullet"/>
      <w:lvlText w:val=""/>
      <w:lvlJc w:val="left"/>
      <w:pPr>
        <w:tabs>
          <w:tab w:val="num" w:pos="1440"/>
        </w:tabs>
        <w:ind w:left="1440" w:hanging="360"/>
      </w:pPr>
      <w:rPr>
        <w:rFonts w:ascii="Symbol" w:hAnsi="Symbol" w:hint="default"/>
      </w:rPr>
    </w:lvl>
    <w:lvl w:ilvl="2" w:tplc="D30C083A" w:tentative="1">
      <w:start w:val="1"/>
      <w:numFmt w:val="bullet"/>
      <w:lvlText w:val=""/>
      <w:lvlJc w:val="left"/>
      <w:pPr>
        <w:tabs>
          <w:tab w:val="num" w:pos="2160"/>
        </w:tabs>
        <w:ind w:left="2160" w:hanging="360"/>
      </w:pPr>
      <w:rPr>
        <w:rFonts w:ascii="Symbol" w:hAnsi="Symbol" w:hint="default"/>
      </w:rPr>
    </w:lvl>
    <w:lvl w:ilvl="3" w:tplc="02223036" w:tentative="1">
      <w:start w:val="1"/>
      <w:numFmt w:val="bullet"/>
      <w:lvlText w:val=""/>
      <w:lvlJc w:val="left"/>
      <w:pPr>
        <w:tabs>
          <w:tab w:val="num" w:pos="2880"/>
        </w:tabs>
        <w:ind w:left="2880" w:hanging="360"/>
      </w:pPr>
      <w:rPr>
        <w:rFonts w:ascii="Symbol" w:hAnsi="Symbol" w:hint="default"/>
      </w:rPr>
    </w:lvl>
    <w:lvl w:ilvl="4" w:tplc="E7FC4076" w:tentative="1">
      <w:start w:val="1"/>
      <w:numFmt w:val="bullet"/>
      <w:lvlText w:val=""/>
      <w:lvlJc w:val="left"/>
      <w:pPr>
        <w:tabs>
          <w:tab w:val="num" w:pos="3600"/>
        </w:tabs>
        <w:ind w:left="3600" w:hanging="360"/>
      </w:pPr>
      <w:rPr>
        <w:rFonts w:ascii="Symbol" w:hAnsi="Symbol" w:hint="default"/>
      </w:rPr>
    </w:lvl>
    <w:lvl w:ilvl="5" w:tplc="819EFF5A" w:tentative="1">
      <w:start w:val="1"/>
      <w:numFmt w:val="bullet"/>
      <w:lvlText w:val=""/>
      <w:lvlJc w:val="left"/>
      <w:pPr>
        <w:tabs>
          <w:tab w:val="num" w:pos="4320"/>
        </w:tabs>
        <w:ind w:left="4320" w:hanging="360"/>
      </w:pPr>
      <w:rPr>
        <w:rFonts w:ascii="Symbol" w:hAnsi="Symbol" w:hint="default"/>
      </w:rPr>
    </w:lvl>
    <w:lvl w:ilvl="6" w:tplc="ABC074C0" w:tentative="1">
      <w:start w:val="1"/>
      <w:numFmt w:val="bullet"/>
      <w:lvlText w:val=""/>
      <w:lvlJc w:val="left"/>
      <w:pPr>
        <w:tabs>
          <w:tab w:val="num" w:pos="5040"/>
        </w:tabs>
        <w:ind w:left="5040" w:hanging="360"/>
      </w:pPr>
      <w:rPr>
        <w:rFonts w:ascii="Symbol" w:hAnsi="Symbol" w:hint="default"/>
      </w:rPr>
    </w:lvl>
    <w:lvl w:ilvl="7" w:tplc="8E583D36" w:tentative="1">
      <w:start w:val="1"/>
      <w:numFmt w:val="bullet"/>
      <w:lvlText w:val=""/>
      <w:lvlJc w:val="left"/>
      <w:pPr>
        <w:tabs>
          <w:tab w:val="num" w:pos="5760"/>
        </w:tabs>
        <w:ind w:left="5760" w:hanging="360"/>
      </w:pPr>
      <w:rPr>
        <w:rFonts w:ascii="Symbol" w:hAnsi="Symbol" w:hint="default"/>
      </w:rPr>
    </w:lvl>
    <w:lvl w:ilvl="8" w:tplc="B1D602D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7435406"/>
    <w:multiLevelType w:val="hybridMultilevel"/>
    <w:tmpl w:val="670A7400"/>
    <w:lvl w:ilvl="0" w:tplc="6BCE577A">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8BF3BFF"/>
    <w:multiLevelType w:val="hybridMultilevel"/>
    <w:tmpl w:val="FDD2E72E"/>
    <w:lvl w:ilvl="0" w:tplc="5F0E29A6">
      <w:start w:val="1"/>
      <w:numFmt w:val="bullet"/>
      <w:lvlText w:val=""/>
      <w:lvlPicBulletId w:val="0"/>
      <w:lvlJc w:val="left"/>
      <w:pPr>
        <w:ind w:left="2534" w:hanging="360"/>
      </w:pPr>
      <w:rPr>
        <w:rFonts w:ascii="Symbol" w:hAnsi="Symbol" w:hint="default"/>
        <w:color w:val="E426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8" w15:restartNumberingAfterBreak="0">
    <w:nsid w:val="09B04BFB"/>
    <w:multiLevelType w:val="hybridMultilevel"/>
    <w:tmpl w:val="C52A7568"/>
    <w:lvl w:ilvl="0" w:tplc="82C8BDA8">
      <w:start w:val="1"/>
      <w:numFmt w:val="bullet"/>
      <w:lvlText w:val=""/>
      <w:lvlJc w:val="left"/>
      <w:pPr>
        <w:ind w:left="360" w:hanging="360"/>
      </w:pPr>
      <w:rPr>
        <w:rFonts w:ascii="Wingdings" w:hAnsi="Wingdings" w:hint="default"/>
        <w:color w:val="E42618"/>
        <w:sz w:val="18"/>
        <w:szCs w:val="18"/>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A272349"/>
    <w:multiLevelType w:val="hybridMultilevel"/>
    <w:tmpl w:val="B596EB7A"/>
    <w:lvl w:ilvl="0" w:tplc="04100019">
      <w:start w:val="1"/>
      <w:numFmt w:val="lowerLetter"/>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0" w15:restartNumberingAfterBreak="0">
    <w:nsid w:val="0AB86367"/>
    <w:multiLevelType w:val="hybridMultilevel"/>
    <w:tmpl w:val="4FFCC8FE"/>
    <w:lvl w:ilvl="0" w:tplc="723CD9BA">
      <w:start w:val="1"/>
      <w:numFmt w:val="bullet"/>
      <w:lvlText w:val=""/>
      <w:lvlPicBulletId w:val="0"/>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1" w15:restartNumberingAfterBreak="0">
    <w:nsid w:val="0CE739D6"/>
    <w:multiLevelType w:val="hybridMultilevel"/>
    <w:tmpl w:val="2C004114"/>
    <w:lvl w:ilvl="0" w:tplc="FFFFFFFF">
      <w:start w:val="1"/>
      <w:numFmt w:val="bullet"/>
      <w:lvlText w:val=""/>
      <w:lvlJc w:val="left"/>
      <w:pPr>
        <w:tabs>
          <w:tab w:val="num" w:pos="340"/>
        </w:tabs>
        <w:ind w:left="0" w:firstLine="0"/>
      </w:pPr>
      <w:rPr>
        <w:rFonts w:ascii="Wingdings" w:hAnsi="Wingdings" w:hint="default"/>
        <w:b w:val="0"/>
        <w:i w:val="0"/>
        <w:color w:val="FF0000"/>
        <w:spacing w:val="0"/>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172E02"/>
    <w:multiLevelType w:val="hybridMultilevel"/>
    <w:tmpl w:val="98E2AEF0"/>
    <w:lvl w:ilvl="0" w:tplc="A8762A92">
      <w:start w:val="1"/>
      <w:numFmt w:val="bullet"/>
      <w:lvlText w:val=""/>
      <w:lvlPicBulletId w:val="1"/>
      <w:lvlJc w:val="left"/>
      <w:pPr>
        <w:tabs>
          <w:tab w:val="num" w:pos="720"/>
        </w:tabs>
        <w:ind w:left="720" w:hanging="360"/>
      </w:pPr>
      <w:rPr>
        <w:rFonts w:ascii="Symbol" w:hAnsi="Symbol" w:hint="default"/>
      </w:rPr>
    </w:lvl>
    <w:lvl w:ilvl="1" w:tplc="6D6EAF6E">
      <w:start w:val="1"/>
      <w:numFmt w:val="bullet"/>
      <w:lvlText w:val=""/>
      <w:lvlJc w:val="left"/>
      <w:pPr>
        <w:tabs>
          <w:tab w:val="num" w:pos="1440"/>
        </w:tabs>
        <w:ind w:left="1440" w:hanging="360"/>
      </w:pPr>
      <w:rPr>
        <w:rFonts w:ascii="Symbol" w:hAnsi="Symbol" w:hint="default"/>
      </w:rPr>
    </w:lvl>
    <w:lvl w:ilvl="2" w:tplc="7A64CB7E" w:tentative="1">
      <w:start w:val="1"/>
      <w:numFmt w:val="bullet"/>
      <w:lvlText w:val=""/>
      <w:lvlJc w:val="left"/>
      <w:pPr>
        <w:tabs>
          <w:tab w:val="num" w:pos="2160"/>
        </w:tabs>
        <w:ind w:left="2160" w:hanging="360"/>
      </w:pPr>
      <w:rPr>
        <w:rFonts w:ascii="Symbol" w:hAnsi="Symbol" w:hint="default"/>
      </w:rPr>
    </w:lvl>
    <w:lvl w:ilvl="3" w:tplc="19A2BEA6" w:tentative="1">
      <w:start w:val="1"/>
      <w:numFmt w:val="bullet"/>
      <w:lvlText w:val=""/>
      <w:lvlJc w:val="left"/>
      <w:pPr>
        <w:tabs>
          <w:tab w:val="num" w:pos="2880"/>
        </w:tabs>
        <w:ind w:left="2880" w:hanging="360"/>
      </w:pPr>
      <w:rPr>
        <w:rFonts w:ascii="Symbol" w:hAnsi="Symbol" w:hint="default"/>
      </w:rPr>
    </w:lvl>
    <w:lvl w:ilvl="4" w:tplc="7A906554" w:tentative="1">
      <w:start w:val="1"/>
      <w:numFmt w:val="bullet"/>
      <w:lvlText w:val=""/>
      <w:lvlJc w:val="left"/>
      <w:pPr>
        <w:tabs>
          <w:tab w:val="num" w:pos="3600"/>
        </w:tabs>
        <w:ind w:left="3600" w:hanging="360"/>
      </w:pPr>
      <w:rPr>
        <w:rFonts w:ascii="Symbol" w:hAnsi="Symbol" w:hint="default"/>
      </w:rPr>
    </w:lvl>
    <w:lvl w:ilvl="5" w:tplc="DF94CC1E" w:tentative="1">
      <w:start w:val="1"/>
      <w:numFmt w:val="bullet"/>
      <w:lvlText w:val=""/>
      <w:lvlJc w:val="left"/>
      <w:pPr>
        <w:tabs>
          <w:tab w:val="num" w:pos="4320"/>
        </w:tabs>
        <w:ind w:left="4320" w:hanging="360"/>
      </w:pPr>
      <w:rPr>
        <w:rFonts w:ascii="Symbol" w:hAnsi="Symbol" w:hint="default"/>
      </w:rPr>
    </w:lvl>
    <w:lvl w:ilvl="6" w:tplc="10AAB236" w:tentative="1">
      <w:start w:val="1"/>
      <w:numFmt w:val="bullet"/>
      <w:lvlText w:val=""/>
      <w:lvlJc w:val="left"/>
      <w:pPr>
        <w:tabs>
          <w:tab w:val="num" w:pos="5040"/>
        </w:tabs>
        <w:ind w:left="5040" w:hanging="360"/>
      </w:pPr>
      <w:rPr>
        <w:rFonts w:ascii="Symbol" w:hAnsi="Symbol" w:hint="default"/>
      </w:rPr>
    </w:lvl>
    <w:lvl w:ilvl="7" w:tplc="387E825A" w:tentative="1">
      <w:start w:val="1"/>
      <w:numFmt w:val="bullet"/>
      <w:lvlText w:val=""/>
      <w:lvlJc w:val="left"/>
      <w:pPr>
        <w:tabs>
          <w:tab w:val="num" w:pos="5760"/>
        </w:tabs>
        <w:ind w:left="5760" w:hanging="360"/>
      </w:pPr>
      <w:rPr>
        <w:rFonts w:ascii="Symbol" w:hAnsi="Symbol" w:hint="default"/>
      </w:rPr>
    </w:lvl>
    <w:lvl w:ilvl="8" w:tplc="4A64336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2474EB0"/>
    <w:multiLevelType w:val="hybridMultilevel"/>
    <w:tmpl w:val="D556ECE8"/>
    <w:lvl w:ilvl="0" w:tplc="0410000D">
      <w:start w:val="1"/>
      <w:numFmt w:val="bullet"/>
      <w:lvlText w:val=""/>
      <w:lvlJc w:val="left"/>
      <w:pPr>
        <w:tabs>
          <w:tab w:val="num" w:pos="2156"/>
        </w:tabs>
        <w:ind w:left="2156" w:hanging="284"/>
      </w:pPr>
      <w:rPr>
        <w:rFonts w:ascii="Wingdings" w:hAnsi="Wingdings" w:hint="default"/>
        <w:b/>
        <w:i w:val="0"/>
        <w:color w:val="808080"/>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14" w15:restartNumberingAfterBreak="0">
    <w:nsid w:val="15B33207"/>
    <w:multiLevelType w:val="hybridMultilevel"/>
    <w:tmpl w:val="0D7A83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6EC23CD"/>
    <w:multiLevelType w:val="hybridMultilevel"/>
    <w:tmpl w:val="515230EE"/>
    <w:lvl w:ilvl="0" w:tplc="A8762A92">
      <w:start w:val="1"/>
      <w:numFmt w:val="bullet"/>
      <w:lvlText w:val=""/>
      <w:lvlPicBulletId w:val="1"/>
      <w:lvlJc w:val="left"/>
      <w:pPr>
        <w:ind w:left="36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27D531E"/>
    <w:multiLevelType w:val="hybridMultilevel"/>
    <w:tmpl w:val="73003C7A"/>
    <w:lvl w:ilvl="0" w:tplc="7FE041A6">
      <w:start w:val="1"/>
      <w:numFmt w:val="bullet"/>
      <w:lvlText w:val=""/>
      <w:lvlJc w:val="left"/>
      <w:pPr>
        <w:ind w:left="2534" w:hanging="360"/>
      </w:pPr>
      <w:rPr>
        <w:rFonts w:ascii="Wingdings" w:hAnsi="Wingdings" w:hint="default"/>
        <w:b/>
        <w:i w:val="0"/>
        <w:color w:val="FF0000"/>
        <w:sz w:val="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17" w15:restartNumberingAfterBreak="0">
    <w:nsid w:val="27400167"/>
    <w:multiLevelType w:val="hybridMultilevel"/>
    <w:tmpl w:val="71D0AC6A"/>
    <w:lvl w:ilvl="0" w:tplc="48A08B96">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8" w15:restartNumberingAfterBreak="0">
    <w:nsid w:val="29FC5E71"/>
    <w:multiLevelType w:val="multilevel"/>
    <w:tmpl w:val="98E2AEF0"/>
    <w:lvl w:ilvl="0">
      <w:start w:val="1"/>
      <w:numFmt w:val="bullet"/>
      <w:lvlText w:val=""/>
      <w:lvlPicBulletId w:val="1"/>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A8D1546"/>
    <w:multiLevelType w:val="hybridMultilevel"/>
    <w:tmpl w:val="8D50C4BA"/>
    <w:lvl w:ilvl="0" w:tplc="BEB84E40">
      <w:start w:val="1"/>
      <w:numFmt w:val="bullet"/>
      <w:lvlText w:val=""/>
      <w:lvlPicBulletId w:val="0"/>
      <w:lvlJc w:val="left"/>
      <w:pPr>
        <w:tabs>
          <w:tab w:val="num" w:pos="720"/>
        </w:tabs>
        <w:ind w:left="720" w:hanging="360"/>
      </w:pPr>
      <w:rPr>
        <w:rFonts w:ascii="Symbol" w:hAnsi="Symbol" w:hint="default"/>
      </w:rPr>
    </w:lvl>
    <w:lvl w:ilvl="1" w:tplc="842E4F52" w:tentative="1">
      <w:start w:val="1"/>
      <w:numFmt w:val="bullet"/>
      <w:lvlText w:val=""/>
      <w:lvlJc w:val="left"/>
      <w:pPr>
        <w:tabs>
          <w:tab w:val="num" w:pos="1440"/>
        </w:tabs>
        <w:ind w:left="1440" w:hanging="360"/>
      </w:pPr>
      <w:rPr>
        <w:rFonts w:ascii="Symbol" w:hAnsi="Symbol" w:hint="default"/>
      </w:rPr>
    </w:lvl>
    <w:lvl w:ilvl="2" w:tplc="96ACCD0A" w:tentative="1">
      <w:start w:val="1"/>
      <w:numFmt w:val="bullet"/>
      <w:lvlText w:val=""/>
      <w:lvlJc w:val="left"/>
      <w:pPr>
        <w:tabs>
          <w:tab w:val="num" w:pos="2160"/>
        </w:tabs>
        <w:ind w:left="2160" w:hanging="360"/>
      </w:pPr>
      <w:rPr>
        <w:rFonts w:ascii="Symbol" w:hAnsi="Symbol" w:hint="default"/>
      </w:rPr>
    </w:lvl>
    <w:lvl w:ilvl="3" w:tplc="8C622964" w:tentative="1">
      <w:start w:val="1"/>
      <w:numFmt w:val="bullet"/>
      <w:lvlText w:val=""/>
      <w:lvlJc w:val="left"/>
      <w:pPr>
        <w:tabs>
          <w:tab w:val="num" w:pos="2880"/>
        </w:tabs>
        <w:ind w:left="2880" w:hanging="360"/>
      </w:pPr>
      <w:rPr>
        <w:rFonts w:ascii="Symbol" w:hAnsi="Symbol" w:hint="default"/>
      </w:rPr>
    </w:lvl>
    <w:lvl w:ilvl="4" w:tplc="3614E794" w:tentative="1">
      <w:start w:val="1"/>
      <w:numFmt w:val="bullet"/>
      <w:lvlText w:val=""/>
      <w:lvlJc w:val="left"/>
      <w:pPr>
        <w:tabs>
          <w:tab w:val="num" w:pos="3600"/>
        </w:tabs>
        <w:ind w:left="3600" w:hanging="360"/>
      </w:pPr>
      <w:rPr>
        <w:rFonts w:ascii="Symbol" w:hAnsi="Symbol" w:hint="default"/>
      </w:rPr>
    </w:lvl>
    <w:lvl w:ilvl="5" w:tplc="BE5EC1D8" w:tentative="1">
      <w:start w:val="1"/>
      <w:numFmt w:val="bullet"/>
      <w:lvlText w:val=""/>
      <w:lvlJc w:val="left"/>
      <w:pPr>
        <w:tabs>
          <w:tab w:val="num" w:pos="4320"/>
        </w:tabs>
        <w:ind w:left="4320" w:hanging="360"/>
      </w:pPr>
      <w:rPr>
        <w:rFonts w:ascii="Symbol" w:hAnsi="Symbol" w:hint="default"/>
      </w:rPr>
    </w:lvl>
    <w:lvl w:ilvl="6" w:tplc="F0A6AC2E" w:tentative="1">
      <w:start w:val="1"/>
      <w:numFmt w:val="bullet"/>
      <w:lvlText w:val=""/>
      <w:lvlJc w:val="left"/>
      <w:pPr>
        <w:tabs>
          <w:tab w:val="num" w:pos="5040"/>
        </w:tabs>
        <w:ind w:left="5040" w:hanging="360"/>
      </w:pPr>
      <w:rPr>
        <w:rFonts w:ascii="Symbol" w:hAnsi="Symbol" w:hint="default"/>
      </w:rPr>
    </w:lvl>
    <w:lvl w:ilvl="7" w:tplc="0AD273DE" w:tentative="1">
      <w:start w:val="1"/>
      <w:numFmt w:val="bullet"/>
      <w:lvlText w:val=""/>
      <w:lvlJc w:val="left"/>
      <w:pPr>
        <w:tabs>
          <w:tab w:val="num" w:pos="5760"/>
        </w:tabs>
        <w:ind w:left="5760" w:hanging="360"/>
      </w:pPr>
      <w:rPr>
        <w:rFonts w:ascii="Symbol" w:hAnsi="Symbol" w:hint="default"/>
      </w:rPr>
    </w:lvl>
    <w:lvl w:ilvl="8" w:tplc="8F40203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E9263E3"/>
    <w:multiLevelType w:val="hybridMultilevel"/>
    <w:tmpl w:val="B4363020"/>
    <w:lvl w:ilvl="0" w:tplc="86A00B88">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1361525"/>
    <w:multiLevelType w:val="hybridMultilevel"/>
    <w:tmpl w:val="C6F64AD6"/>
    <w:lvl w:ilvl="0" w:tplc="723CD9BA">
      <w:start w:val="1"/>
      <w:numFmt w:val="bullet"/>
      <w:lvlText w:val=""/>
      <w:lvlPicBulletId w:val="0"/>
      <w:lvlJc w:val="left"/>
      <w:pPr>
        <w:tabs>
          <w:tab w:val="num" w:pos="2156"/>
        </w:tabs>
        <w:ind w:left="2156" w:hanging="284"/>
      </w:pPr>
      <w:rPr>
        <w:rFonts w:ascii="Symbol" w:hAnsi="Symbol" w:hint="default"/>
        <w:b/>
        <w:i w:val="0"/>
        <w:color w:val="FF0000"/>
        <w:sz w:val="18"/>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22" w15:restartNumberingAfterBreak="0">
    <w:nsid w:val="313F7E03"/>
    <w:multiLevelType w:val="hybridMultilevel"/>
    <w:tmpl w:val="EF88D464"/>
    <w:lvl w:ilvl="0" w:tplc="DC6831E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2534E50"/>
    <w:multiLevelType w:val="hybridMultilevel"/>
    <w:tmpl w:val="143823E6"/>
    <w:lvl w:ilvl="0" w:tplc="D72441C4">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34CC2B15"/>
    <w:multiLevelType w:val="hybridMultilevel"/>
    <w:tmpl w:val="968862AE"/>
    <w:lvl w:ilvl="0" w:tplc="723CD9BA">
      <w:start w:val="1"/>
      <w:numFmt w:val="bullet"/>
      <w:lvlText w:val=""/>
      <w:lvlPicBulletId w:val="0"/>
      <w:lvlJc w:val="left"/>
      <w:pPr>
        <w:ind w:left="2534" w:hanging="360"/>
      </w:pPr>
      <w:rPr>
        <w:rFonts w:ascii="Symbol" w:hAnsi="Symbol" w:hint="default"/>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25" w15:restartNumberingAfterBreak="0">
    <w:nsid w:val="3B126581"/>
    <w:multiLevelType w:val="hybridMultilevel"/>
    <w:tmpl w:val="3EDCEA5C"/>
    <w:lvl w:ilvl="0" w:tplc="723CD9BA">
      <w:start w:val="1"/>
      <w:numFmt w:val="bullet"/>
      <w:lvlText w:val=""/>
      <w:lvlPicBulletId w:val="0"/>
      <w:lvlJc w:val="left"/>
      <w:pPr>
        <w:tabs>
          <w:tab w:val="num" w:pos="720"/>
        </w:tabs>
        <w:ind w:left="720" w:hanging="360"/>
      </w:pPr>
      <w:rPr>
        <w:rFonts w:ascii="Symbol" w:hAnsi="Symbol" w:hint="default"/>
      </w:rPr>
    </w:lvl>
    <w:lvl w:ilvl="1" w:tplc="F08261B2" w:tentative="1">
      <w:start w:val="1"/>
      <w:numFmt w:val="bullet"/>
      <w:lvlText w:val=""/>
      <w:lvlJc w:val="left"/>
      <w:pPr>
        <w:tabs>
          <w:tab w:val="num" w:pos="1440"/>
        </w:tabs>
        <w:ind w:left="1440" w:hanging="360"/>
      </w:pPr>
      <w:rPr>
        <w:rFonts w:ascii="Symbol" w:hAnsi="Symbol" w:hint="default"/>
      </w:rPr>
    </w:lvl>
    <w:lvl w:ilvl="2" w:tplc="6414E90C" w:tentative="1">
      <w:start w:val="1"/>
      <w:numFmt w:val="bullet"/>
      <w:lvlText w:val=""/>
      <w:lvlJc w:val="left"/>
      <w:pPr>
        <w:tabs>
          <w:tab w:val="num" w:pos="2160"/>
        </w:tabs>
        <w:ind w:left="2160" w:hanging="360"/>
      </w:pPr>
      <w:rPr>
        <w:rFonts w:ascii="Symbol" w:hAnsi="Symbol" w:hint="default"/>
      </w:rPr>
    </w:lvl>
    <w:lvl w:ilvl="3" w:tplc="35F41C48" w:tentative="1">
      <w:start w:val="1"/>
      <w:numFmt w:val="bullet"/>
      <w:lvlText w:val=""/>
      <w:lvlJc w:val="left"/>
      <w:pPr>
        <w:tabs>
          <w:tab w:val="num" w:pos="2880"/>
        </w:tabs>
        <w:ind w:left="2880" w:hanging="360"/>
      </w:pPr>
      <w:rPr>
        <w:rFonts w:ascii="Symbol" w:hAnsi="Symbol" w:hint="default"/>
      </w:rPr>
    </w:lvl>
    <w:lvl w:ilvl="4" w:tplc="76DC5C08" w:tentative="1">
      <w:start w:val="1"/>
      <w:numFmt w:val="bullet"/>
      <w:lvlText w:val=""/>
      <w:lvlJc w:val="left"/>
      <w:pPr>
        <w:tabs>
          <w:tab w:val="num" w:pos="3600"/>
        </w:tabs>
        <w:ind w:left="3600" w:hanging="360"/>
      </w:pPr>
      <w:rPr>
        <w:rFonts w:ascii="Symbol" w:hAnsi="Symbol" w:hint="default"/>
      </w:rPr>
    </w:lvl>
    <w:lvl w:ilvl="5" w:tplc="078CC066" w:tentative="1">
      <w:start w:val="1"/>
      <w:numFmt w:val="bullet"/>
      <w:lvlText w:val=""/>
      <w:lvlJc w:val="left"/>
      <w:pPr>
        <w:tabs>
          <w:tab w:val="num" w:pos="4320"/>
        </w:tabs>
        <w:ind w:left="4320" w:hanging="360"/>
      </w:pPr>
      <w:rPr>
        <w:rFonts w:ascii="Symbol" w:hAnsi="Symbol" w:hint="default"/>
      </w:rPr>
    </w:lvl>
    <w:lvl w:ilvl="6" w:tplc="993C39C0" w:tentative="1">
      <w:start w:val="1"/>
      <w:numFmt w:val="bullet"/>
      <w:lvlText w:val=""/>
      <w:lvlJc w:val="left"/>
      <w:pPr>
        <w:tabs>
          <w:tab w:val="num" w:pos="5040"/>
        </w:tabs>
        <w:ind w:left="5040" w:hanging="360"/>
      </w:pPr>
      <w:rPr>
        <w:rFonts w:ascii="Symbol" w:hAnsi="Symbol" w:hint="default"/>
      </w:rPr>
    </w:lvl>
    <w:lvl w:ilvl="7" w:tplc="0EB0D25C" w:tentative="1">
      <w:start w:val="1"/>
      <w:numFmt w:val="bullet"/>
      <w:lvlText w:val=""/>
      <w:lvlJc w:val="left"/>
      <w:pPr>
        <w:tabs>
          <w:tab w:val="num" w:pos="5760"/>
        </w:tabs>
        <w:ind w:left="5760" w:hanging="360"/>
      </w:pPr>
      <w:rPr>
        <w:rFonts w:ascii="Symbol" w:hAnsi="Symbol" w:hint="default"/>
      </w:rPr>
    </w:lvl>
    <w:lvl w:ilvl="8" w:tplc="B874B23E"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3F8F0948"/>
    <w:multiLevelType w:val="multilevel"/>
    <w:tmpl w:val="98E2AEF0"/>
    <w:lvl w:ilvl="0">
      <w:start w:val="1"/>
      <w:numFmt w:val="bullet"/>
      <w:lvlText w:val=""/>
      <w:lvlPicBulletId w:val="1"/>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0037B4E"/>
    <w:multiLevelType w:val="hybridMultilevel"/>
    <w:tmpl w:val="2EE8FC76"/>
    <w:lvl w:ilvl="0" w:tplc="53A204B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02B69B0"/>
    <w:multiLevelType w:val="hybridMultilevel"/>
    <w:tmpl w:val="DDA46440"/>
    <w:lvl w:ilvl="0" w:tplc="980A3E20">
      <w:start w:val="2"/>
      <w:numFmt w:val="lowerLetter"/>
      <w:lvlText w:val="%1)"/>
      <w:lvlJc w:val="left"/>
      <w:pPr>
        <w:ind w:left="1004"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9" w15:restartNumberingAfterBreak="0">
    <w:nsid w:val="43DB5AF6"/>
    <w:multiLevelType w:val="hybridMultilevel"/>
    <w:tmpl w:val="1F1CF902"/>
    <w:lvl w:ilvl="0" w:tplc="812022A2">
      <w:start w:val="1"/>
      <w:numFmt w:val="lowerLetter"/>
      <w:lvlText w:val="(%1)"/>
      <w:lvlJc w:val="left"/>
      <w:pPr>
        <w:ind w:left="990" w:hanging="63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B7641BD"/>
    <w:multiLevelType w:val="hybridMultilevel"/>
    <w:tmpl w:val="6ADE222C"/>
    <w:lvl w:ilvl="0" w:tplc="723CD9BA">
      <w:start w:val="1"/>
      <w:numFmt w:val="bullet"/>
      <w:lvlText w:val=""/>
      <w:lvlPicBulletId w:val="0"/>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31" w15:restartNumberingAfterBreak="0">
    <w:nsid w:val="4C7E4CE7"/>
    <w:multiLevelType w:val="hybridMultilevel"/>
    <w:tmpl w:val="24682D9E"/>
    <w:lvl w:ilvl="0" w:tplc="7FE041A6">
      <w:start w:val="1"/>
      <w:numFmt w:val="bullet"/>
      <w:lvlText w:val=""/>
      <w:lvlJc w:val="left"/>
      <w:pPr>
        <w:tabs>
          <w:tab w:val="num" w:pos="2156"/>
        </w:tabs>
        <w:ind w:left="2156" w:hanging="284"/>
      </w:pPr>
      <w:rPr>
        <w:rFonts w:ascii="Wingdings" w:hAnsi="Wingdings" w:hint="default"/>
        <w:b/>
        <w:i w:val="0"/>
        <w:color w:val="FF0000"/>
        <w:sz w:val="18"/>
      </w:rPr>
    </w:lvl>
    <w:lvl w:ilvl="1" w:tplc="FFFFFFFF">
      <w:start w:val="1"/>
      <w:numFmt w:val="bullet"/>
      <w:lvlText w:val="o"/>
      <w:lvlJc w:val="left"/>
      <w:pPr>
        <w:tabs>
          <w:tab w:val="num" w:pos="3312"/>
        </w:tabs>
        <w:ind w:left="3312" w:hanging="360"/>
      </w:pPr>
      <w:rPr>
        <w:rFonts w:ascii="Courier New" w:hAnsi="Courier New" w:cs="Courier New" w:hint="default"/>
      </w:rPr>
    </w:lvl>
    <w:lvl w:ilvl="2" w:tplc="FFFFFFFF">
      <w:start w:val="1"/>
      <w:numFmt w:val="bullet"/>
      <w:lvlText w:val=""/>
      <w:lvlJc w:val="left"/>
      <w:pPr>
        <w:tabs>
          <w:tab w:val="num" w:pos="4032"/>
        </w:tabs>
        <w:ind w:left="4032" w:hanging="360"/>
      </w:pPr>
      <w:rPr>
        <w:rFonts w:ascii="Wingdings" w:hAnsi="Wingdings" w:hint="default"/>
      </w:rPr>
    </w:lvl>
    <w:lvl w:ilvl="3" w:tplc="FFFFFFFF">
      <w:start w:val="1"/>
      <w:numFmt w:val="bullet"/>
      <w:lvlText w:val=""/>
      <w:lvlJc w:val="left"/>
      <w:pPr>
        <w:tabs>
          <w:tab w:val="num" w:pos="4752"/>
        </w:tabs>
        <w:ind w:left="4752" w:hanging="360"/>
      </w:pPr>
      <w:rPr>
        <w:rFonts w:ascii="Symbol" w:hAnsi="Symbol" w:hint="default"/>
      </w:rPr>
    </w:lvl>
    <w:lvl w:ilvl="4" w:tplc="FFFFFFFF">
      <w:start w:val="1"/>
      <w:numFmt w:val="bullet"/>
      <w:lvlText w:val="o"/>
      <w:lvlJc w:val="left"/>
      <w:pPr>
        <w:tabs>
          <w:tab w:val="num" w:pos="5472"/>
        </w:tabs>
        <w:ind w:left="5472" w:hanging="360"/>
      </w:pPr>
      <w:rPr>
        <w:rFonts w:ascii="Courier New" w:hAnsi="Courier New" w:cs="Courier New" w:hint="default"/>
      </w:rPr>
    </w:lvl>
    <w:lvl w:ilvl="5" w:tplc="FFFFFFFF">
      <w:start w:val="1"/>
      <w:numFmt w:val="bullet"/>
      <w:lvlText w:val=""/>
      <w:lvlJc w:val="left"/>
      <w:pPr>
        <w:tabs>
          <w:tab w:val="num" w:pos="6192"/>
        </w:tabs>
        <w:ind w:left="6192" w:hanging="360"/>
      </w:pPr>
      <w:rPr>
        <w:rFonts w:ascii="Wingdings" w:hAnsi="Wingdings" w:hint="default"/>
      </w:rPr>
    </w:lvl>
    <w:lvl w:ilvl="6" w:tplc="FFFFFFFF">
      <w:start w:val="1"/>
      <w:numFmt w:val="bullet"/>
      <w:lvlText w:val=""/>
      <w:lvlJc w:val="left"/>
      <w:pPr>
        <w:tabs>
          <w:tab w:val="num" w:pos="6912"/>
        </w:tabs>
        <w:ind w:left="6912" w:hanging="360"/>
      </w:pPr>
      <w:rPr>
        <w:rFonts w:ascii="Symbol" w:hAnsi="Symbol" w:hint="default"/>
      </w:rPr>
    </w:lvl>
    <w:lvl w:ilvl="7" w:tplc="FFFFFFFF">
      <w:start w:val="1"/>
      <w:numFmt w:val="bullet"/>
      <w:lvlText w:val="o"/>
      <w:lvlJc w:val="left"/>
      <w:pPr>
        <w:tabs>
          <w:tab w:val="num" w:pos="7632"/>
        </w:tabs>
        <w:ind w:left="7632" w:hanging="360"/>
      </w:pPr>
      <w:rPr>
        <w:rFonts w:ascii="Courier New" w:hAnsi="Courier New" w:cs="Courier New" w:hint="default"/>
      </w:rPr>
    </w:lvl>
    <w:lvl w:ilvl="8" w:tplc="FFFFFFFF">
      <w:start w:val="1"/>
      <w:numFmt w:val="bullet"/>
      <w:lvlText w:val=""/>
      <w:lvlJc w:val="left"/>
      <w:pPr>
        <w:tabs>
          <w:tab w:val="num" w:pos="8352"/>
        </w:tabs>
        <w:ind w:left="8352" w:hanging="360"/>
      </w:pPr>
      <w:rPr>
        <w:rFonts w:ascii="Wingdings" w:hAnsi="Wingdings" w:hint="default"/>
      </w:rPr>
    </w:lvl>
  </w:abstractNum>
  <w:abstractNum w:abstractNumId="32" w15:restartNumberingAfterBreak="0">
    <w:nsid w:val="53AC3738"/>
    <w:multiLevelType w:val="hybridMultilevel"/>
    <w:tmpl w:val="7F00C2E6"/>
    <w:lvl w:ilvl="0" w:tplc="3C143362">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56D208CF"/>
    <w:multiLevelType w:val="hybridMultilevel"/>
    <w:tmpl w:val="3364CF3C"/>
    <w:lvl w:ilvl="0" w:tplc="DFE4B1A6">
      <w:start w:val="1"/>
      <w:numFmt w:val="bullet"/>
      <w:lvlText w:val=""/>
      <w:lvlPicBulletId w:val="0"/>
      <w:lvlJc w:val="left"/>
      <w:pPr>
        <w:tabs>
          <w:tab w:val="num" w:pos="720"/>
        </w:tabs>
        <w:ind w:left="720" w:hanging="360"/>
      </w:pPr>
      <w:rPr>
        <w:rFonts w:ascii="Symbol" w:hAnsi="Symbol" w:hint="default"/>
      </w:rPr>
    </w:lvl>
    <w:lvl w:ilvl="1" w:tplc="A6883440" w:tentative="1">
      <w:start w:val="1"/>
      <w:numFmt w:val="bullet"/>
      <w:lvlText w:val=""/>
      <w:lvlJc w:val="left"/>
      <w:pPr>
        <w:tabs>
          <w:tab w:val="num" w:pos="1440"/>
        </w:tabs>
        <w:ind w:left="1440" w:hanging="360"/>
      </w:pPr>
      <w:rPr>
        <w:rFonts w:ascii="Symbol" w:hAnsi="Symbol" w:hint="default"/>
      </w:rPr>
    </w:lvl>
    <w:lvl w:ilvl="2" w:tplc="CB68053C" w:tentative="1">
      <w:start w:val="1"/>
      <w:numFmt w:val="bullet"/>
      <w:lvlText w:val=""/>
      <w:lvlJc w:val="left"/>
      <w:pPr>
        <w:tabs>
          <w:tab w:val="num" w:pos="2160"/>
        </w:tabs>
        <w:ind w:left="2160" w:hanging="360"/>
      </w:pPr>
      <w:rPr>
        <w:rFonts w:ascii="Symbol" w:hAnsi="Symbol" w:hint="default"/>
      </w:rPr>
    </w:lvl>
    <w:lvl w:ilvl="3" w:tplc="3800A33E" w:tentative="1">
      <w:start w:val="1"/>
      <w:numFmt w:val="bullet"/>
      <w:lvlText w:val=""/>
      <w:lvlJc w:val="left"/>
      <w:pPr>
        <w:tabs>
          <w:tab w:val="num" w:pos="2880"/>
        </w:tabs>
        <w:ind w:left="2880" w:hanging="360"/>
      </w:pPr>
      <w:rPr>
        <w:rFonts w:ascii="Symbol" w:hAnsi="Symbol" w:hint="default"/>
      </w:rPr>
    </w:lvl>
    <w:lvl w:ilvl="4" w:tplc="0FFEE34C" w:tentative="1">
      <w:start w:val="1"/>
      <w:numFmt w:val="bullet"/>
      <w:lvlText w:val=""/>
      <w:lvlJc w:val="left"/>
      <w:pPr>
        <w:tabs>
          <w:tab w:val="num" w:pos="3600"/>
        </w:tabs>
        <w:ind w:left="3600" w:hanging="360"/>
      </w:pPr>
      <w:rPr>
        <w:rFonts w:ascii="Symbol" w:hAnsi="Symbol" w:hint="default"/>
      </w:rPr>
    </w:lvl>
    <w:lvl w:ilvl="5" w:tplc="6228356A" w:tentative="1">
      <w:start w:val="1"/>
      <w:numFmt w:val="bullet"/>
      <w:lvlText w:val=""/>
      <w:lvlJc w:val="left"/>
      <w:pPr>
        <w:tabs>
          <w:tab w:val="num" w:pos="4320"/>
        </w:tabs>
        <w:ind w:left="4320" w:hanging="360"/>
      </w:pPr>
      <w:rPr>
        <w:rFonts w:ascii="Symbol" w:hAnsi="Symbol" w:hint="default"/>
      </w:rPr>
    </w:lvl>
    <w:lvl w:ilvl="6" w:tplc="8D5A4C08" w:tentative="1">
      <w:start w:val="1"/>
      <w:numFmt w:val="bullet"/>
      <w:lvlText w:val=""/>
      <w:lvlJc w:val="left"/>
      <w:pPr>
        <w:tabs>
          <w:tab w:val="num" w:pos="5040"/>
        </w:tabs>
        <w:ind w:left="5040" w:hanging="360"/>
      </w:pPr>
      <w:rPr>
        <w:rFonts w:ascii="Symbol" w:hAnsi="Symbol" w:hint="default"/>
      </w:rPr>
    </w:lvl>
    <w:lvl w:ilvl="7" w:tplc="42D69AF4" w:tentative="1">
      <w:start w:val="1"/>
      <w:numFmt w:val="bullet"/>
      <w:lvlText w:val=""/>
      <w:lvlJc w:val="left"/>
      <w:pPr>
        <w:tabs>
          <w:tab w:val="num" w:pos="5760"/>
        </w:tabs>
        <w:ind w:left="5760" w:hanging="360"/>
      </w:pPr>
      <w:rPr>
        <w:rFonts w:ascii="Symbol" w:hAnsi="Symbol" w:hint="default"/>
      </w:rPr>
    </w:lvl>
    <w:lvl w:ilvl="8" w:tplc="2876B1C8"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8592657"/>
    <w:multiLevelType w:val="hybridMultilevel"/>
    <w:tmpl w:val="62108AAE"/>
    <w:lvl w:ilvl="0" w:tplc="E51E4F1C">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C660AF1"/>
    <w:multiLevelType w:val="hybridMultilevel"/>
    <w:tmpl w:val="F8FEE642"/>
    <w:lvl w:ilvl="0" w:tplc="04100017">
      <w:start w:val="1"/>
      <w:numFmt w:val="lowerLetter"/>
      <w:lvlText w:val="%1)"/>
      <w:lvlJc w:val="left"/>
      <w:pPr>
        <w:ind w:left="1004"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6" w15:restartNumberingAfterBreak="0">
    <w:nsid w:val="5F61623A"/>
    <w:multiLevelType w:val="hybridMultilevel"/>
    <w:tmpl w:val="7F00C2E6"/>
    <w:lvl w:ilvl="0" w:tplc="3C143362">
      <w:start w:val="1"/>
      <w:numFmt w:val="lowerLetter"/>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5F6A2BB5"/>
    <w:multiLevelType w:val="hybridMultilevel"/>
    <w:tmpl w:val="02FA6F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6A10E50"/>
    <w:multiLevelType w:val="hybridMultilevel"/>
    <w:tmpl w:val="F8DE1BF8"/>
    <w:lvl w:ilvl="0" w:tplc="37C26DD4">
      <w:start w:val="1"/>
      <w:numFmt w:val="lowerLetter"/>
      <w:lvlText w:val="(%1)"/>
      <w:lvlJc w:val="left"/>
      <w:pPr>
        <w:ind w:left="717" w:hanging="360"/>
      </w:pPr>
      <w:rPr>
        <w:rFont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9" w15:restartNumberingAfterBreak="0">
    <w:nsid w:val="66D53A64"/>
    <w:multiLevelType w:val="hybridMultilevel"/>
    <w:tmpl w:val="E73EDCB6"/>
    <w:lvl w:ilvl="0" w:tplc="723CD9BA">
      <w:start w:val="1"/>
      <w:numFmt w:val="bullet"/>
      <w:lvlText w:val=""/>
      <w:lvlPicBulletId w:val="0"/>
      <w:lvlJc w:val="left"/>
      <w:pPr>
        <w:tabs>
          <w:tab w:val="num" w:pos="720"/>
        </w:tabs>
        <w:ind w:left="720" w:hanging="360"/>
      </w:pPr>
      <w:rPr>
        <w:rFonts w:ascii="Symbol" w:hAnsi="Symbol" w:hint="default"/>
      </w:rPr>
    </w:lvl>
    <w:lvl w:ilvl="1" w:tplc="58A4F34A" w:tentative="1">
      <w:start w:val="1"/>
      <w:numFmt w:val="bullet"/>
      <w:lvlText w:val=""/>
      <w:lvlJc w:val="left"/>
      <w:pPr>
        <w:tabs>
          <w:tab w:val="num" w:pos="1440"/>
        </w:tabs>
        <w:ind w:left="1440" w:hanging="360"/>
      </w:pPr>
      <w:rPr>
        <w:rFonts w:ascii="Symbol" w:hAnsi="Symbol" w:hint="default"/>
      </w:rPr>
    </w:lvl>
    <w:lvl w:ilvl="2" w:tplc="10282158" w:tentative="1">
      <w:start w:val="1"/>
      <w:numFmt w:val="bullet"/>
      <w:lvlText w:val=""/>
      <w:lvlJc w:val="left"/>
      <w:pPr>
        <w:tabs>
          <w:tab w:val="num" w:pos="2160"/>
        </w:tabs>
        <w:ind w:left="2160" w:hanging="360"/>
      </w:pPr>
      <w:rPr>
        <w:rFonts w:ascii="Symbol" w:hAnsi="Symbol" w:hint="default"/>
      </w:rPr>
    </w:lvl>
    <w:lvl w:ilvl="3" w:tplc="9C6C8776" w:tentative="1">
      <w:start w:val="1"/>
      <w:numFmt w:val="bullet"/>
      <w:lvlText w:val=""/>
      <w:lvlJc w:val="left"/>
      <w:pPr>
        <w:tabs>
          <w:tab w:val="num" w:pos="2880"/>
        </w:tabs>
        <w:ind w:left="2880" w:hanging="360"/>
      </w:pPr>
      <w:rPr>
        <w:rFonts w:ascii="Symbol" w:hAnsi="Symbol" w:hint="default"/>
      </w:rPr>
    </w:lvl>
    <w:lvl w:ilvl="4" w:tplc="539C2334" w:tentative="1">
      <w:start w:val="1"/>
      <w:numFmt w:val="bullet"/>
      <w:lvlText w:val=""/>
      <w:lvlJc w:val="left"/>
      <w:pPr>
        <w:tabs>
          <w:tab w:val="num" w:pos="3600"/>
        </w:tabs>
        <w:ind w:left="3600" w:hanging="360"/>
      </w:pPr>
      <w:rPr>
        <w:rFonts w:ascii="Symbol" w:hAnsi="Symbol" w:hint="default"/>
      </w:rPr>
    </w:lvl>
    <w:lvl w:ilvl="5" w:tplc="E6ECA502" w:tentative="1">
      <w:start w:val="1"/>
      <w:numFmt w:val="bullet"/>
      <w:lvlText w:val=""/>
      <w:lvlJc w:val="left"/>
      <w:pPr>
        <w:tabs>
          <w:tab w:val="num" w:pos="4320"/>
        </w:tabs>
        <w:ind w:left="4320" w:hanging="360"/>
      </w:pPr>
      <w:rPr>
        <w:rFonts w:ascii="Symbol" w:hAnsi="Symbol" w:hint="default"/>
      </w:rPr>
    </w:lvl>
    <w:lvl w:ilvl="6" w:tplc="BF40799E" w:tentative="1">
      <w:start w:val="1"/>
      <w:numFmt w:val="bullet"/>
      <w:lvlText w:val=""/>
      <w:lvlJc w:val="left"/>
      <w:pPr>
        <w:tabs>
          <w:tab w:val="num" w:pos="5040"/>
        </w:tabs>
        <w:ind w:left="5040" w:hanging="360"/>
      </w:pPr>
      <w:rPr>
        <w:rFonts w:ascii="Symbol" w:hAnsi="Symbol" w:hint="default"/>
      </w:rPr>
    </w:lvl>
    <w:lvl w:ilvl="7" w:tplc="3502FF1A" w:tentative="1">
      <w:start w:val="1"/>
      <w:numFmt w:val="bullet"/>
      <w:lvlText w:val=""/>
      <w:lvlJc w:val="left"/>
      <w:pPr>
        <w:tabs>
          <w:tab w:val="num" w:pos="5760"/>
        </w:tabs>
        <w:ind w:left="5760" w:hanging="360"/>
      </w:pPr>
      <w:rPr>
        <w:rFonts w:ascii="Symbol" w:hAnsi="Symbol" w:hint="default"/>
      </w:rPr>
    </w:lvl>
    <w:lvl w:ilvl="8" w:tplc="3312820E"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67BB2EB1"/>
    <w:multiLevelType w:val="hybridMultilevel"/>
    <w:tmpl w:val="E3FA6C7E"/>
    <w:lvl w:ilvl="0" w:tplc="82C8BDA8">
      <w:start w:val="1"/>
      <w:numFmt w:val="bullet"/>
      <w:lvlText w:val=""/>
      <w:lvlJc w:val="left"/>
      <w:pPr>
        <w:ind w:left="720" w:hanging="360"/>
      </w:pPr>
      <w:rPr>
        <w:rFonts w:ascii="Wingdings" w:hAnsi="Wingdings" w:hint="default"/>
        <w:color w:val="E42618"/>
        <w:sz w:val="18"/>
        <w:szCs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DF23C05"/>
    <w:multiLevelType w:val="hybridMultilevel"/>
    <w:tmpl w:val="743481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2F1680C"/>
    <w:multiLevelType w:val="hybridMultilevel"/>
    <w:tmpl w:val="7ADAA040"/>
    <w:lvl w:ilvl="0" w:tplc="3274E4F6">
      <w:start w:val="1"/>
      <w:numFmt w:val="bullet"/>
      <w:lvlText w:val=""/>
      <w:lvlPicBulletId w:val="0"/>
      <w:lvlJc w:val="left"/>
      <w:pPr>
        <w:ind w:left="2534" w:hanging="360"/>
      </w:pPr>
      <w:rPr>
        <w:rFonts w:ascii="Symbol" w:hAnsi="Symbol" w:hint="default"/>
        <w:color w:val="E42618"/>
      </w:rPr>
    </w:lvl>
    <w:lvl w:ilvl="1" w:tplc="04100003" w:tentative="1">
      <w:start w:val="1"/>
      <w:numFmt w:val="bullet"/>
      <w:lvlText w:val="o"/>
      <w:lvlJc w:val="left"/>
      <w:pPr>
        <w:ind w:left="3254" w:hanging="360"/>
      </w:pPr>
      <w:rPr>
        <w:rFonts w:ascii="Courier New" w:hAnsi="Courier New" w:cs="Courier New" w:hint="default"/>
      </w:rPr>
    </w:lvl>
    <w:lvl w:ilvl="2" w:tplc="04100005" w:tentative="1">
      <w:start w:val="1"/>
      <w:numFmt w:val="bullet"/>
      <w:lvlText w:val=""/>
      <w:lvlJc w:val="left"/>
      <w:pPr>
        <w:ind w:left="3974" w:hanging="360"/>
      </w:pPr>
      <w:rPr>
        <w:rFonts w:ascii="Wingdings" w:hAnsi="Wingdings" w:hint="default"/>
      </w:rPr>
    </w:lvl>
    <w:lvl w:ilvl="3" w:tplc="04100001" w:tentative="1">
      <w:start w:val="1"/>
      <w:numFmt w:val="bullet"/>
      <w:lvlText w:val=""/>
      <w:lvlJc w:val="left"/>
      <w:pPr>
        <w:ind w:left="4694" w:hanging="360"/>
      </w:pPr>
      <w:rPr>
        <w:rFonts w:ascii="Symbol" w:hAnsi="Symbol" w:hint="default"/>
      </w:rPr>
    </w:lvl>
    <w:lvl w:ilvl="4" w:tplc="04100003" w:tentative="1">
      <w:start w:val="1"/>
      <w:numFmt w:val="bullet"/>
      <w:lvlText w:val="o"/>
      <w:lvlJc w:val="left"/>
      <w:pPr>
        <w:ind w:left="5414" w:hanging="360"/>
      </w:pPr>
      <w:rPr>
        <w:rFonts w:ascii="Courier New" w:hAnsi="Courier New" w:cs="Courier New" w:hint="default"/>
      </w:rPr>
    </w:lvl>
    <w:lvl w:ilvl="5" w:tplc="04100005" w:tentative="1">
      <w:start w:val="1"/>
      <w:numFmt w:val="bullet"/>
      <w:lvlText w:val=""/>
      <w:lvlJc w:val="left"/>
      <w:pPr>
        <w:ind w:left="6134" w:hanging="360"/>
      </w:pPr>
      <w:rPr>
        <w:rFonts w:ascii="Wingdings" w:hAnsi="Wingdings" w:hint="default"/>
      </w:rPr>
    </w:lvl>
    <w:lvl w:ilvl="6" w:tplc="04100001" w:tentative="1">
      <w:start w:val="1"/>
      <w:numFmt w:val="bullet"/>
      <w:lvlText w:val=""/>
      <w:lvlJc w:val="left"/>
      <w:pPr>
        <w:ind w:left="6854" w:hanging="360"/>
      </w:pPr>
      <w:rPr>
        <w:rFonts w:ascii="Symbol" w:hAnsi="Symbol" w:hint="default"/>
      </w:rPr>
    </w:lvl>
    <w:lvl w:ilvl="7" w:tplc="04100003" w:tentative="1">
      <w:start w:val="1"/>
      <w:numFmt w:val="bullet"/>
      <w:lvlText w:val="o"/>
      <w:lvlJc w:val="left"/>
      <w:pPr>
        <w:ind w:left="7574" w:hanging="360"/>
      </w:pPr>
      <w:rPr>
        <w:rFonts w:ascii="Courier New" w:hAnsi="Courier New" w:cs="Courier New" w:hint="default"/>
      </w:rPr>
    </w:lvl>
    <w:lvl w:ilvl="8" w:tplc="04100005" w:tentative="1">
      <w:start w:val="1"/>
      <w:numFmt w:val="bullet"/>
      <w:lvlText w:val=""/>
      <w:lvlJc w:val="left"/>
      <w:pPr>
        <w:ind w:left="8294" w:hanging="360"/>
      </w:pPr>
      <w:rPr>
        <w:rFonts w:ascii="Wingdings" w:hAnsi="Wingdings" w:hint="default"/>
      </w:rPr>
    </w:lvl>
  </w:abstractNum>
  <w:abstractNum w:abstractNumId="43" w15:restartNumberingAfterBreak="0">
    <w:nsid w:val="7F331D91"/>
    <w:multiLevelType w:val="hybridMultilevel"/>
    <w:tmpl w:val="E0E0959C"/>
    <w:lvl w:ilvl="0" w:tplc="28BE514C">
      <w:start w:val="1"/>
      <w:numFmt w:val="bullet"/>
      <w:lvlText w:val=""/>
      <w:lvlPicBulletId w:val="1"/>
      <w:lvlJc w:val="left"/>
      <w:pPr>
        <w:tabs>
          <w:tab w:val="num" w:pos="360"/>
        </w:tabs>
        <w:ind w:left="360" w:hanging="360"/>
      </w:pPr>
      <w:rPr>
        <w:rFonts w:ascii="Symbol" w:hAnsi="Symbol" w:hint="default"/>
      </w:rPr>
    </w:lvl>
    <w:lvl w:ilvl="1" w:tplc="372E4104" w:tentative="1">
      <w:start w:val="1"/>
      <w:numFmt w:val="bullet"/>
      <w:lvlText w:val=""/>
      <w:lvlJc w:val="left"/>
      <w:pPr>
        <w:tabs>
          <w:tab w:val="num" w:pos="1440"/>
        </w:tabs>
        <w:ind w:left="1440" w:hanging="360"/>
      </w:pPr>
      <w:rPr>
        <w:rFonts w:ascii="Symbol" w:hAnsi="Symbol" w:hint="default"/>
      </w:rPr>
    </w:lvl>
    <w:lvl w:ilvl="2" w:tplc="AB266C9A" w:tentative="1">
      <w:start w:val="1"/>
      <w:numFmt w:val="bullet"/>
      <w:lvlText w:val=""/>
      <w:lvlJc w:val="left"/>
      <w:pPr>
        <w:tabs>
          <w:tab w:val="num" w:pos="2160"/>
        </w:tabs>
        <w:ind w:left="2160" w:hanging="360"/>
      </w:pPr>
      <w:rPr>
        <w:rFonts w:ascii="Symbol" w:hAnsi="Symbol" w:hint="default"/>
      </w:rPr>
    </w:lvl>
    <w:lvl w:ilvl="3" w:tplc="B7F6CE70" w:tentative="1">
      <w:start w:val="1"/>
      <w:numFmt w:val="bullet"/>
      <w:lvlText w:val=""/>
      <w:lvlJc w:val="left"/>
      <w:pPr>
        <w:tabs>
          <w:tab w:val="num" w:pos="2880"/>
        </w:tabs>
        <w:ind w:left="2880" w:hanging="360"/>
      </w:pPr>
      <w:rPr>
        <w:rFonts w:ascii="Symbol" w:hAnsi="Symbol" w:hint="default"/>
      </w:rPr>
    </w:lvl>
    <w:lvl w:ilvl="4" w:tplc="4AE81FFA" w:tentative="1">
      <w:start w:val="1"/>
      <w:numFmt w:val="bullet"/>
      <w:lvlText w:val=""/>
      <w:lvlJc w:val="left"/>
      <w:pPr>
        <w:tabs>
          <w:tab w:val="num" w:pos="3600"/>
        </w:tabs>
        <w:ind w:left="3600" w:hanging="360"/>
      </w:pPr>
      <w:rPr>
        <w:rFonts w:ascii="Symbol" w:hAnsi="Symbol" w:hint="default"/>
      </w:rPr>
    </w:lvl>
    <w:lvl w:ilvl="5" w:tplc="04908836" w:tentative="1">
      <w:start w:val="1"/>
      <w:numFmt w:val="bullet"/>
      <w:lvlText w:val=""/>
      <w:lvlJc w:val="left"/>
      <w:pPr>
        <w:tabs>
          <w:tab w:val="num" w:pos="4320"/>
        </w:tabs>
        <w:ind w:left="4320" w:hanging="360"/>
      </w:pPr>
      <w:rPr>
        <w:rFonts w:ascii="Symbol" w:hAnsi="Symbol" w:hint="default"/>
      </w:rPr>
    </w:lvl>
    <w:lvl w:ilvl="6" w:tplc="0BE003B2" w:tentative="1">
      <w:start w:val="1"/>
      <w:numFmt w:val="bullet"/>
      <w:lvlText w:val=""/>
      <w:lvlJc w:val="left"/>
      <w:pPr>
        <w:tabs>
          <w:tab w:val="num" w:pos="5040"/>
        </w:tabs>
        <w:ind w:left="5040" w:hanging="360"/>
      </w:pPr>
      <w:rPr>
        <w:rFonts w:ascii="Symbol" w:hAnsi="Symbol" w:hint="default"/>
      </w:rPr>
    </w:lvl>
    <w:lvl w:ilvl="7" w:tplc="FD8810A4" w:tentative="1">
      <w:start w:val="1"/>
      <w:numFmt w:val="bullet"/>
      <w:lvlText w:val=""/>
      <w:lvlJc w:val="left"/>
      <w:pPr>
        <w:tabs>
          <w:tab w:val="num" w:pos="5760"/>
        </w:tabs>
        <w:ind w:left="5760" w:hanging="360"/>
      </w:pPr>
      <w:rPr>
        <w:rFonts w:ascii="Symbol" w:hAnsi="Symbol" w:hint="default"/>
      </w:rPr>
    </w:lvl>
    <w:lvl w:ilvl="8" w:tplc="B1E65C1A" w:tentative="1">
      <w:start w:val="1"/>
      <w:numFmt w:val="bullet"/>
      <w:lvlText w:val=""/>
      <w:lvlJc w:val="left"/>
      <w:pPr>
        <w:tabs>
          <w:tab w:val="num" w:pos="6480"/>
        </w:tabs>
        <w:ind w:left="6480" w:hanging="360"/>
      </w:pPr>
      <w:rPr>
        <w:rFonts w:ascii="Symbol" w:hAnsi="Symbol" w:hint="default"/>
      </w:rPr>
    </w:lvl>
  </w:abstractNum>
  <w:num w:numId="1">
    <w:abstractNumId w:val="24"/>
  </w:num>
  <w:num w:numId="2">
    <w:abstractNumId w:val="2"/>
  </w:num>
  <w:num w:numId="3">
    <w:abstractNumId w:val="39"/>
  </w:num>
  <w:num w:numId="4">
    <w:abstractNumId w:val="8"/>
  </w:num>
  <w:num w:numId="5">
    <w:abstractNumId w:val="14"/>
  </w:num>
  <w:num w:numId="6">
    <w:abstractNumId w:val="5"/>
  </w:num>
  <w:num w:numId="7">
    <w:abstractNumId w:val="40"/>
  </w:num>
  <w:num w:numId="8">
    <w:abstractNumId w:val="6"/>
  </w:num>
  <w:num w:numId="9">
    <w:abstractNumId w:val="9"/>
  </w:num>
  <w:num w:numId="10">
    <w:abstractNumId w:val="28"/>
  </w:num>
  <w:num w:numId="11">
    <w:abstractNumId w:val="38"/>
  </w:num>
  <w:num w:numId="12">
    <w:abstractNumId w:val="29"/>
  </w:num>
  <w:num w:numId="13">
    <w:abstractNumId w:val="22"/>
  </w:num>
  <w:num w:numId="14">
    <w:abstractNumId w:val="12"/>
  </w:num>
  <w:num w:numId="15">
    <w:abstractNumId w:val="25"/>
  </w:num>
  <w:num w:numId="16">
    <w:abstractNumId w:val="30"/>
  </w:num>
  <w:num w:numId="17">
    <w:abstractNumId w:val="4"/>
  </w:num>
  <w:num w:numId="18">
    <w:abstractNumId w:val="16"/>
  </w:num>
  <w:num w:numId="19">
    <w:abstractNumId w:val="3"/>
  </w:num>
  <w:num w:numId="20">
    <w:abstractNumId w:val="0"/>
  </w:num>
  <w:num w:numId="21">
    <w:abstractNumId w:val="18"/>
  </w:num>
  <w:num w:numId="22">
    <w:abstractNumId w:val="26"/>
  </w:num>
  <w:num w:numId="23">
    <w:abstractNumId w:val="10"/>
  </w:num>
  <w:num w:numId="24">
    <w:abstractNumId w:val="7"/>
  </w:num>
  <w:num w:numId="25">
    <w:abstractNumId w:val="42"/>
  </w:num>
  <w:num w:numId="26">
    <w:abstractNumId w:val="11"/>
  </w:num>
  <w:num w:numId="27">
    <w:abstractNumId w:val="23"/>
  </w:num>
  <w:num w:numId="28">
    <w:abstractNumId w:val="1"/>
  </w:num>
  <w:num w:numId="29">
    <w:abstractNumId w:val="43"/>
  </w:num>
  <w:num w:numId="30">
    <w:abstractNumId w:val="19"/>
  </w:num>
  <w:num w:numId="31">
    <w:abstractNumId w:val="33"/>
  </w:num>
  <w:num w:numId="32">
    <w:abstractNumId w:val="13"/>
  </w:num>
  <w:num w:numId="33">
    <w:abstractNumId w:val="31"/>
  </w:num>
  <w:num w:numId="34">
    <w:abstractNumId w:val="21"/>
  </w:num>
  <w:num w:numId="35">
    <w:abstractNumId w:val="20"/>
  </w:num>
  <w:num w:numId="36">
    <w:abstractNumId w:val="15"/>
  </w:num>
  <w:num w:numId="37">
    <w:abstractNumId w:val="27"/>
  </w:num>
  <w:num w:numId="38">
    <w:abstractNumId w:val="32"/>
  </w:num>
  <w:num w:numId="39">
    <w:abstractNumId w:val="36"/>
  </w:num>
  <w:num w:numId="40">
    <w:abstractNumId w:val="17"/>
  </w:num>
  <w:num w:numId="41">
    <w:abstractNumId w:val="35"/>
  </w:num>
  <w:num w:numId="42">
    <w:abstractNumId w:val="41"/>
  </w:num>
  <w:num w:numId="43">
    <w:abstractNumId w:val="37"/>
  </w:num>
  <w:num w:numId="44">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style="mso-position-vertical-relative:line" fill="f" fillcolor="white" stroke="f">
      <v:fill color="white" on="f"/>
      <v:stroke on="f"/>
      <o:colormru v:ext="edit" colors="#bd1f2b,#cf1e24,#d90b13,#e31c1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C7E"/>
    <w:rsid w:val="00000148"/>
    <w:rsid w:val="000013A9"/>
    <w:rsid w:val="00001C85"/>
    <w:rsid w:val="000020B2"/>
    <w:rsid w:val="000020B7"/>
    <w:rsid w:val="0000212A"/>
    <w:rsid w:val="0000242C"/>
    <w:rsid w:val="000026DF"/>
    <w:rsid w:val="00002F2D"/>
    <w:rsid w:val="000034C8"/>
    <w:rsid w:val="00003834"/>
    <w:rsid w:val="00003AAA"/>
    <w:rsid w:val="00003AB5"/>
    <w:rsid w:val="00003AD9"/>
    <w:rsid w:val="00003D59"/>
    <w:rsid w:val="00003F46"/>
    <w:rsid w:val="0000402D"/>
    <w:rsid w:val="000041BD"/>
    <w:rsid w:val="000043D5"/>
    <w:rsid w:val="00004794"/>
    <w:rsid w:val="000049DD"/>
    <w:rsid w:val="00004DDD"/>
    <w:rsid w:val="00004DF3"/>
    <w:rsid w:val="00004E0A"/>
    <w:rsid w:val="00004E38"/>
    <w:rsid w:val="00005A6B"/>
    <w:rsid w:val="0000683C"/>
    <w:rsid w:val="00006DB7"/>
    <w:rsid w:val="00007042"/>
    <w:rsid w:val="00007235"/>
    <w:rsid w:val="0000740E"/>
    <w:rsid w:val="00007E47"/>
    <w:rsid w:val="00010041"/>
    <w:rsid w:val="000101B6"/>
    <w:rsid w:val="000102D5"/>
    <w:rsid w:val="00010573"/>
    <w:rsid w:val="0001089C"/>
    <w:rsid w:val="000108ED"/>
    <w:rsid w:val="00010957"/>
    <w:rsid w:val="000109E3"/>
    <w:rsid w:val="00010A46"/>
    <w:rsid w:val="00010B15"/>
    <w:rsid w:val="00010B3C"/>
    <w:rsid w:val="000113F8"/>
    <w:rsid w:val="00011610"/>
    <w:rsid w:val="0001171C"/>
    <w:rsid w:val="000119A0"/>
    <w:rsid w:val="00011A51"/>
    <w:rsid w:val="00011C5E"/>
    <w:rsid w:val="00011C85"/>
    <w:rsid w:val="00011F76"/>
    <w:rsid w:val="00012101"/>
    <w:rsid w:val="00012364"/>
    <w:rsid w:val="0001283C"/>
    <w:rsid w:val="00012A11"/>
    <w:rsid w:val="000134A3"/>
    <w:rsid w:val="000135AB"/>
    <w:rsid w:val="00013751"/>
    <w:rsid w:val="00013995"/>
    <w:rsid w:val="00013A1E"/>
    <w:rsid w:val="00013B35"/>
    <w:rsid w:val="00013ED5"/>
    <w:rsid w:val="00013F41"/>
    <w:rsid w:val="00014927"/>
    <w:rsid w:val="00014AF9"/>
    <w:rsid w:val="00015D22"/>
    <w:rsid w:val="00015EAD"/>
    <w:rsid w:val="000161B7"/>
    <w:rsid w:val="000163BB"/>
    <w:rsid w:val="00016B13"/>
    <w:rsid w:val="000172C7"/>
    <w:rsid w:val="00017353"/>
    <w:rsid w:val="000205CA"/>
    <w:rsid w:val="0002065A"/>
    <w:rsid w:val="00020F37"/>
    <w:rsid w:val="000210E6"/>
    <w:rsid w:val="000211AD"/>
    <w:rsid w:val="000213E2"/>
    <w:rsid w:val="00021652"/>
    <w:rsid w:val="0002181D"/>
    <w:rsid w:val="000218EE"/>
    <w:rsid w:val="00021A79"/>
    <w:rsid w:val="00021B34"/>
    <w:rsid w:val="00022197"/>
    <w:rsid w:val="00022763"/>
    <w:rsid w:val="000228CB"/>
    <w:rsid w:val="000229D6"/>
    <w:rsid w:val="00022CBD"/>
    <w:rsid w:val="00022E60"/>
    <w:rsid w:val="00023424"/>
    <w:rsid w:val="00023452"/>
    <w:rsid w:val="000241B7"/>
    <w:rsid w:val="00024BDA"/>
    <w:rsid w:val="00024DC2"/>
    <w:rsid w:val="000250BE"/>
    <w:rsid w:val="000250D2"/>
    <w:rsid w:val="00025294"/>
    <w:rsid w:val="000252DB"/>
    <w:rsid w:val="000254AC"/>
    <w:rsid w:val="0002574E"/>
    <w:rsid w:val="000257C6"/>
    <w:rsid w:val="00025822"/>
    <w:rsid w:val="00025A3E"/>
    <w:rsid w:val="00025A73"/>
    <w:rsid w:val="00025AA7"/>
    <w:rsid w:val="00025EA7"/>
    <w:rsid w:val="000266A7"/>
    <w:rsid w:val="00026B72"/>
    <w:rsid w:val="00027CFD"/>
    <w:rsid w:val="00027FBC"/>
    <w:rsid w:val="00030BEE"/>
    <w:rsid w:val="0003114F"/>
    <w:rsid w:val="00031258"/>
    <w:rsid w:val="000317F8"/>
    <w:rsid w:val="00031864"/>
    <w:rsid w:val="00031934"/>
    <w:rsid w:val="00031C2E"/>
    <w:rsid w:val="000320B7"/>
    <w:rsid w:val="00032A4E"/>
    <w:rsid w:val="00033432"/>
    <w:rsid w:val="000350E3"/>
    <w:rsid w:val="00035164"/>
    <w:rsid w:val="00035837"/>
    <w:rsid w:val="000358DD"/>
    <w:rsid w:val="0003629C"/>
    <w:rsid w:val="000363D3"/>
    <w:rsid w:val="00036989"/>
    <w:rsid w:val="00036E38"/>
    <w:rsid w:val="0003704B"/>
    <w:rsid w:val="0003751C"/>
    <w:rsid w:val="00037CBF"/>
    <w:rsid w:val="0004002D"/>
    <w:rsid w:val="00040033"/>
    <w:rsid w:val="000402DE"/>
    <w:rsid w:val="00041081"/>
    <w:rsid w:val="000417CF"/>
    <w:rsid w:val="00041A9D"/>
    <w:rsid w:val="00041DD2"/>
    <w:rsid w:val="00041DDD"/>
    <w:rsid w:val="00041DEF"/>
    <w:rsid w:val="00041FC1"/>
    <w:rsid w:val="0004257E"/>
    <w:rsid w:val="00042B16"/>
    <w:rsid w:val="00042D21"/>
    <w:rsid w:val="00042F77"/>
    <w:rsid w:val="00042F7E"/>
    <w:rsid w:val="000433C2"/>
    <w:rsid w:val="000433FC"/>
    <w:rsid w:val="0004346C"/>
    <w:rsid w:val="00043B31"/>
    <w:rsid w:val="00043C67"/>
    <w:rsid w:val="0004400B"/>
    <w:rsid w:val="0004439E"/>
    <w:rsid w:val="00044806"/>
    <w:rsid w:val="00044BA2"/>
    <w:rsid w:val="00044DCD"/>
    <w:rsid w:val="0004536C"/>
    <w:rsid w:val="000455A6"/>
    <w:rsid w:val="00045623"/>
    <w:rsid w:val="000457A7"/>
    <w:rsid w:val="00045BC9"/>
    <w:rsid w:val="00045CF0"/>
    <w:rsid w:val="000462ED"/>
    <w:rsid w:val="00046668"/>
    <w:rsid w:val="00046669"/>
    <w:rsid w:val="00046881"/>
    <w:rsid w:val="00046950"/>
    <w:rsid w:val="00046AF5"/>
    <w:rsid w:val="00046C33"/>
    <w:rsid w:val="000474A3"/>
    <w:rsid w:val="000478E6"/>
    <w:rsid w:val="00047908"/>
    <w:rsid w:val="000479D4"/>
    <w:rsid w:val="00047CCE"/>
    <w:rsid w:val="00047E42"/>
    <w:rsid w:val="00050117"/>
    <w:rsid w:val="00050204"/>
    <w:rsid w:val="00050441"/>
    <w:rsid w:val="00050489"/>
    <w:rsid w:val="00050496"/>
    <w:rsid w:val="0005073C"/>
    <w:rsid w:val="000508D1"/>
    <w:rsid w:val="000510DA"/>
    <w:rsid w:val="000512D1"/>
    <w:rsid w:val="0005182E"/>
    <w:rsid w:val="00051D92"/>
    <w:rsid w:val="00051E6A"/>
    <w:rsid w:val="00051FC2"/>
    <w:rsid w:val="0005240F"/>
    <w:rsid w:val="00053471"/>
    <w:rsid w:val="000537BB"/>
    <w:rsid w:val="000538A1"/>
    <w:rsid w:val="000541C7"/>
    <w:rsid w:val="00054645"/>
    <w:rsid w:val="0005548D"/>
    <w:rsid w:val="000557ED"/>
    <w:rsid w:val="00055B6A"/>
    <w:rsid w:val="00055BA0"/>
    <w:rsid w:val="00055E26"/>
    <w:rsid w:val="000565A3"/>
    <w:rsid w:val="00056612"/>
    <w:rsid w:val="00056635"/>
    <w:rsid w:val="000567BC"/>
    <w:rsid w:val="000569E0"/>
    <w:rsid w:val="00056A54"/>
    <w:rsid w:val="00057588"/>
    <w:rsid w:val="00057640"/>
    <w:rsid w:val="000578A2"/>
    <w:rsid w:val="00057A61"/>
    <w:rsid w:val="00060194"/>
    <w:rsid w:val="0006065E"/>
    <w:rsid w:val="00060769"/>
    <w:rsid w:val="000607A6"/>
    <w:rsid w:val="0006094A"/>
    <w:rsid w:val="00060ABD"/>
    <w:rsid w:val="0006148E"/>
    <w:rsid w:val="00061607"/>
    <w:rsid w:val="000617FF"/>
    <w:rsid w:val="00061BEA"/>
    <w:rsid w:val="00061D60"/>
    <w:rsid w:val="00061DC7"/>
    <w:rsid w:val="00061E48"/>
    <w:rsid w:val="00061E67"/>
    <w:rsid w:val="000620FB"/>
    <w:rsid w:val="000621DF"/>
    <w:rsid w:val="00062437"/>
    <w:rsid w:val="0006292D"/>
    <w:rsid w:val="000629AB"/>
    <w:rsid w:val="00062C7C"/>
    <w:rsid w:val="00062E45"/>
    <w:rsid w:val="00062FA3"/>
    <w:rsid w:val="000635F7"/>
    <w:rsid w:val="00063D28"/>
    <w:rsid w:val="000643F7"/>
    <w:rsid w:val="00064404"/>
    <w:rsid w:val="000648FE"/>
    <w:rsid w:val="00064E2A"/>
    <w:rsid w:val="00064E77"/>
    <w:rsid w:val="0006537C"/>
    <w:rsid w:val="00065467"/>
    <w:rsid w:val="000657E2"/>
    <w:rsid w:val="000660E2"/>
    <w:rsid w:val="000662FB"/>
    <w:rsid w:val="0006665B"/>
    <w:rsid w:val="000673EB"/>
    <w:rsid w:val="00067AB5"/>
    <w:rsid w:val="00067F81"/>
    <w:rsid w:val="00070718"/>
    <w:rsid w:val="0007076D"/>
    <w:rsid w:val="000708D3"/>
    <w:rsid w:val="0007129D"/>
    <w:rsid w:val="000715F4"/>
    <w:rsid w:val="00071EFA"/>
    <w:rsid w:val="000720F5"/>
    <w:rsid w:val="000720F8"/>
    <w:rsid w:val="00072142"/>
    <w:rsid w:val="00072711"/>
    <w:rsid w:val="00072728"/>
    <w:rsid w:val="00072B3F"/>
    <w:rsid w:val="00072BE2"/>
    <w:rsid w:val="000732DF"/>
    <w:rsid w:val="0007358E"/>
    <w:rsid w:val="00073872"/>
    <w:rsid w:val="00073F42"/>
    <w:rsid w:val="0007412C"/>
    <w:rsid w:val="00074152"/>
    <w:rsid w:val="00074665"/>
    <w:rsid w:val="000746D5"/>
    <w:rsid w:val="00074709"/>
    <w:rsid w:val="000747B8"/>
    <w:rsid w:val="000749B9"/>
    <w:rsid w:val="00074DC4"/>
    <w:rsid w:val="00075446"/>
    <w:rsid w:val="000755F9"/>
    <w:rsid w:val="00075941"/>
    <w:rsid w:val="00075CC6"/>
    <w:rsid w:val="0007650D"/>
    <w:rsid w:val="00076C27"/>
    <w:rsid w:val="0007722A"/>
    <w:rsid w:val="00077534"/>
    <w:rsid w:val="0007754A"/>
    <w:rsid w:val="00077592"/>
    <w:rsid w:val="00077E7D"/>
    <w:rsid w:val="00080263"/>
    <w:rsid w:val="000803AD"/>
    <w:rsid w:val="00080F2D"/>
    <w:rsid w:val="00080F62"/>
    <w:rsid w:val="000811D8"/>
    <w:rsid w:val="0008166F"/>
    <w:rsid w:val="000817F5"/>
    <w:rsid w:val="000818DD"/>
    <w:rsid w:val="000818F6"/>
    <w:rsid w:val="000819D4"/>
    <w:rsid w:val="00081D1E"/>
    <w:rsid w:val="000823D7"/>
    <w:rsid w:val="000828E6"/>
    <w:rsid w:val="000829B6"/>
    <w:rsid w:val="00082A62"/>
    <w:rsid w:val="00082B49"/>
    <w:rsid w:val="00082E1E"/>
    <w:rsid w:val="00083173"/>
    <w:rsid w:val="00083429"/>
    <w:rsid w:val="00083FE3"/>
    <w:rsid w:val="000840F4"/>
    <w:rsid w:val="00084387"/>
    <w:rsid w:val="00084533"/>
    <w:rsid w:val="00084761"/>
    <w:rsid w:val="00084AF6"/>
    <w:rsid w:val="00084E02"/>
    <w:rsid w:val="00084EE6"/>
    <w:rsid w:val="0008506C"/>
    <w:rsid w:val="000850B6"/>
    <w:rsid w:val="0008527C"/>
    <w:rsid w:val="0008545A"/>
    <w:rsid w:val="00085AC2"/>
    <w:rsid w:val="00085AFD"/>
    <w:rsid w:val="00085BC7"/>
    <w:rsid w:val="00085C22"/>
    <w:rsid w:val="00085C51"/>
    <w:rsid w:val="00085E26"/>
    <w:rsid w:val="0008600B"/>
    <w:rsid w:val="00086154"/>
    <w:rsid w:val="000863FA"/>
    <w:rsid w:val="000867FF"/>
    <w:rsid w:val="000868F5"/>
    <w:rsid w:val="00086C83"/>
    <w:rsid w:val="00087018"/>
    <w:rsid w:val="000873CD"/>
    <w:rsid w:val="000876FA"/>
    <w:rsid w:val="00087774"/>
    <w:rsid w:val="00087BB3"/>
    <w:rsid w:val="0009016A"/>
    <w:rsid w:val="000909B9"/>
    <w:rsid w:val="00090A07"/>
    <w:rsid w:val="00090B9F"/>
    <w:rsid w:val="00090CF8"/>
    <w:rsid w:val="00090D41"/>
    <w:rsid w:val="00090DE6"/>
    <w:rsid w:val="0009127D"/>
    <w:rsid w:val="00091327"/>
    <w:rsid w:val="000924D4"/>
    <w:rsid w:val="00092C29"/>
    <w:rsid w:val="00094B3C"/>
    <w:rsid w:val="00094CB4"/>
    <w:rsid w:val="00095213"/>
    <w:rsid w:val="00095ABF"/>
    <w:rsid w:val="00096313"/>
    <w:rsid w:val="00096371"/>
    <w:rsid w:val="0009657B"/>
    <w:rsid w:val="00096954"/>
    <w:rsid w:val="00096C13"/>
    <w:rsid w:val="00096DB8"/>
    <w:rsid w:val="000972EF"/>
    <w:rsid w:val="000977C6"/>
    <w:rsid w:val="000A0378"/>
    <w:rsid w:val="000A04F7"/>
    <w:rsid w:val="000A0936"/>
    <w:rsid w:val="000A09E7"/>
    <w:rsid w:val="000A0AC7"/>
    <w:rsid w:val="000A0D76"/>
    <w:rsid w:val="000A0E6E"/>
    <w:rsid w:val="000A1070"/>
    <w:rsid w:val="000A123E"/>
    <w:rsid w:val="000A169F"/>
    <w:rsid w:val="000A2640"/>
    <w:rsid w:val="000A27BB"/>
    <w:rsid w:val="000A32BD"/>
    <w:rsid w:val="000A38B6"/>
    <w:rsid w:val="000A3E31"/>
    <w:rsid w:val="000A3EBA"/>
    <w:rsid w:val="000A4087"/>
    <w:rsid w:val="000A40FD"/>
    <w:rsid w:val="000A4E9A"/>
    <w:rsid w:val="000A5161"/>
    <w:rsid w:val="000A5314"/>
    <w:rsid w:val="000A5D8F"/>
    <w:rsid w:val="000A5D99"/>
    <w:rsid w:val="000A6080"/>
    <w:rsid w:val="000A63AD"/>
    <w:rsid w:val="000A6591"/>
    <w:rsid w:val="000A677A"/>
    <w:rsid w:val="000A69D2"/>
    <w:rsid w:val="000A77D6"/>
    <w:rsid w:val="000A78EC"/>
    <w:rsid w:val="000A7B77"/>
    <w:rsid w:val="000A7CF9"/>
    <w:rsid w:val="000B01FA"/>
    <w:rsid w:val="000B022B"/>
    <w:rsid w:val="000B02ED"/>
    <w:rsid w:val="000B04F3"/>
    <w:rsid w:val="000B0AE7"/>
    <w:rsid w:val="000B0DCE"/>
    <w:rsid w:val="000B1BA4"/>
    <w:rsid w:val="000B1F20"/>
    <w:rsid w:val="000B1F2B"/>
    <w:rsid w:val="000B27E0"/>
    <w:rsid w:val="000B2A82"/>
    <w:rsid w:val="000B2AAC"/>
    <w:rsid w:val="000B32C5"/>
    <w:rsid w:val="000B32E4"/>
    <w:rsid w:val="000B3304"/>
    <w:rsid w:val="000B3365"/>
    <w:rsid w:val="000B38EA"/>
    <w:rsid w:val="000B3F89"/>
    <w:rsid w:val="000B48D8"/>
    <w:rsid w:val="000B51E7"/>
    <w:rsid w:val="000B563F"/>
    <w:rsid w:val="000B56C0"/>
    <w:rsid w:val="000B5A90"/>
    <w:rsid w:val="000B5B83"/>
    <w:rsid w:val="000B5DC1"/>
    <w:rsid w:val="000B6575"/>
    <w:rsid w:val="000B6A87"/>
    <w:rsid w:val="000B6C60"/>
    <w:rsid w:val="000B6C6C"/>
    <w:rsid w:val="000B6D0F"/>
    <w:rsid w:val="000B6E6D"/>
    <w:rsid w:val="000B72E0"/>
    <w:rsid w:val="000B7714"/>
    <w:rsid w:val="000B7989"/>
    <w:rsid w:val="000C0226"/>
    <w:rsid w:val="000C076E"/>
    <w:rsid w:val="000C08C6"/>
    <w:rsid w:val="000C099C"/>
    <w:rsid w:val="000C0F55"/>
    <w:rsid w:val="000C1097"/>
    <w:rsid w:val="000C1335"/>
    <w:rsid w:val="000C1545"/>
    <w:rsid w:val="000C1C3E"/>
    <w:rsid w:val="000C233C"/>
    <w:rsid w:val="000C25D8"/>
    <w:rsid w:val="000C267B"/>
    <w:rsid w:val="000C2980"/>
    <w:rsid w:val="000C2FB7"/>
    <w:rsid w:val="000C3199"/>
    <w:rsid w:val="000C319B"/>
    <w:rsid w:val="000C3279"/>
    <w:rsid w:val="000C35FB"/>
    <w:rsid w:val="000C3630"/>
    <w:rsid w:val="000C3830"/>
    <w:rsid w:val="000C39B4"/>
    <w:rsid w:val="000C3DA5"/>
    <w:rsid w:val="000C4457"/>
    <w:rsid w:val="000C4689"/>
    <w:rsid w:val="000C4D5C"/>
    <w:rsid w:val="000C5202"/>
    <w:rsid w:val="000C53F5"/>
    <w:rsid w:val="000C5564"/>
    <w:rsid w:val="000C5602"/>
    <w:rsid w:val="000C59C4"/>
    <w:rsid w:val="000C5B36"/>
    <w:rsid w:val="000C627A"/>
    <w:rsid w:val="000C6F05"/>
    <w:rsid w:val="000C71C5"/>
    <w:rsid w:val="000C727A"/>
    <w:rsid w:val="000C7697"/>
    <w:rsid w:val="000C789E"/>
    <w:rsid w:val="000C7B4C"/>
    <w:rsid w:val="000C7EF4"/>
    <w:rsid w:val="000D072A"/>
    <w:rsid w:val="000D0BF7"/>
    <w:rsid w:val="000D0CC9"/>
    <w:rsid w:val="000D0F51"/>
    <w:rsid w:val="000D0FAD"/>
    <w:rsid w:val="000D1221"/>
    <w:rsid w:val="000D122B"/>
    <w:rsid w:val="000D1B06"/>
    <w:rsid w:val="000D1E54"/>
    <w:rsid w:val="000D24E2"/>
    <w:rsid w:val="000D2BA7"/>
    <w:rsid w:val="000D3A7C"/>
    <w:rsid w:val="000D3CAE"/>
    <w:rsid w:val="000D4568"/>
    <w:rsid w:val="000D4EE8"/>
    <w:rsid w:val="000D4F36"/>
    <w:rsid w:val="000D4FE9"/>
    <w:rsid w:val="000D5383"/>
    <w:rsid w:val="000D53B8"/>
    <w:rsid w:val="000D68E4"/>
    <w:rsid w:val="000D70FA"/>
    <w:rsid w:val="000D715D"/>
    <w:rsid w:val="000D71F3"/>
    <w:rsid w:val="000D7279"/>
    <w:rsid w:val="000D7447"/>
    <w:rsid w:val="000D7679"/>
    <w:rsid w:val="000E0D71"/>
    <w:rsid w:val="000E0FC9"/>
    <w:rsid w:val="000E1054"/>
    <w:rsid w:val="000E1473"/>
    <w:rsid w:val="000E162A"/>
    <w:rsid w:val="000E1722"/>
    <w:rsid w:val="000E177D"/>
    <w:rsid w:val="000E19F0"/>
    <w:rsid w:val="000E1DE0"/>
    <w:rsid w:val="000E1E6F"/>
    <w:rsid w:val="000E2098"/>
    <w:rsid w:val="000E237E"/>
    <w:rsid w:val="000E23BF"/>
    <w:rsid w:val="000E23EF"/>
    <w:rsid w:val="000E25C3"/>
    <w:rsid w:val="000E26B6"/>
    <w:rsid w:val="000E2BE0"/>
    <w:rsid w:val="000E2E1B"/>
    <w:rsid w:val="000E327D"/>
    <w:rsid w:val="000E32BE"/>
    <w:rsid w:val="000E32CD"/>
    <w:rsid w:val="000E33C5"/>
    <w:rsid w:val="000E3886"/>
    <w:rsid w:val="000E3CFC"/>
    <w:rsid w:val="000E40CB"/>
    <w:rsid w:val="000E420F"/>
    <w:rsid w:val="000E44A9"/>
    <w:rsid w:val="000E4A6D"/>
    <w:rsid w:val="000E4A78"/>
    <w:rsid w:val="000E5429"/>
    <w:rsid w:val="000E62CE"/>
    <w:rsid w:val="000E63BC"/>
    <w:rsid w:val="000E649F"/>
    <w:rsid w:val="000E66DF"/>
    <w:rsid w:val="000E6B08"/>
    <w:rsid w:val="000E6B42"/>
    <w:rsid w:val="000E6D30"/>
    <w:rsid w:val="000E70A5"/>
    <w:rsid w:val="000E7523"/>
    <w:rsid w:val="000E78BC"/>
    <w:rsid w:val="000E7D1F"/>
    <w:rsid w:val="000E7F42"/>
    <w:rsid w:val="000F039B"/>
    <w:rsid w:val="000F0888"/>
    <w:rsid w:val="000F0DEA"/>
    <w:rsid w:val="000F0DFE"/>
    <w:rsid w:val="000F10FF"/>
    <w:rsid w:val="000F1394"/>
    <w:rsid w:val="000F1519"/>
    <w:rsid w:val="000F18A3"/>
    <w:rsid w:val="000F19CA"/>
    <w:rsid w:val="000F1A51"/>
    <w:rsid w:val="000F1CEF"/>
    <w:rsid w:val="000F25EE"/>
    <w:rsid w:val="000F269A"/>
    <w:rsid w:val="000F26C0"/>
    <w:rsid w:val="000F2873"/>
    <w:rsid w:val="000F2BE7"/>
    <w:rsid w:val="000F2E67"/>
    <w:rsid w:val="000F2FB2"/>
    <w:rsid w:val="000F32AC"/>
    <w:rsid w:val="000F370D"/>
    <w:rsid w:val="000F374B"/>
    <w:rsid w:val="000F3E1E"/>
    <w:rsid w:val="000F43D3"/>
    <w:rsid w:val="000F4698"/>
    <w:rsid w:val="000F4D00"/>
    <w:rsid w:val="000F4FE7"/>
    <w:rsid w:val="000F585A"/>
    <w:rsid w:val="000F5E41"/>
    <w:rsid w:val="000F5EC4"/>
    <w:rsid w:val="000F6161"/>
    <w:rsid w:val="000F7396"/>
    <w:rsid w:val="000F7AD5"/>
    <w:rsid w:val="000F7CB4"/>
    <w:rsid w:val="000F7F64"/>
    <w:rsid w:val="000F7FAE"/>
    <w:rsid w:val="00100058"/>
    <w:rsid w:val="00100268"/>
    <w:rsid w:val="00100374"/>
    <w:rsid w:val="00100472"/>
    <w:rsid w:val="00100B0C"/>
    <w:rsid w:val="00100C96"/>
    <w:rsid w:val="00101A55"/>
    <w:rsid w:val="00101BDE"/>
    <w:rsid w:val="00101D77"/>
    <w:rsid w:val="00101F21"/>
    <w:rsid w:val="0010203F"/>
    <w:rsid w:val="001028DF"/>
    <w:rsid w:val="00102B37"/>
    <w:rsid w:val="00102E12"/>
    <w:rsid w:val="001030AE"/>
    <w:rsid w:val="00103270"/>
    <w:rsid w:val="0010327A"/>
    <w:rsid w:val="0010332C"/>
    <w:rsid w:val="00103356"/>
    <w:rsid w:val="001033EA"/>
    <w:rsid w:val="00103433"/>
    <w:rsid w:val="001035FC"/>
    <w:rsid w:val="00103A48"/>
    <w:rsid w:val="00104168"/>
    <w:rsid w:val="00104E68"/>
    <w:rsid w:val="00104EC6"/>
    <w:rsid w:val="00105434"/>
    <w:rsid w:val="00105774"/>
    <w:rsid w:val="00105B08"/>
    <w:rsid w:val="00105DF5"/>
    <w:rsid w:val="0010607E"/>
    <w:rsid w:val="0010637F"/>
    <w:rsid w:val="0010642A"/>
    <w:rsid w:val="00106758"/>
    <w:rsid w:val="0010687A"/>
    <w:rsid w:val="00106AA3"/>
    <w:rsid w:val="00107057"/>
    <w:rsid w:val="00107126"/>
    <w:rsid w:val="001075A8"/>
    <w:rsid w:val="001079C3"/>
    <w:rsid w:val="00107B24"/>
    <w:rsid w:val="0011015B"/>
    <w:rsid w:val="00110856"/>
    <w:rsid w:val="001112CB"/>
    <w:rsid w:val="00111347"/>
    <w:rsid w:val="00111823"/>
    <w:rsid w:val="00111D49"/>
    <w:rsid w:val="001124E6"/>
    <w:rsid w:val="00112A83"/>
    <w:rsid w:val="00112FD6"/>
    <w:rsid w:val="00113969"/>
    <w:rsid w:val="00113BA8"/>
    <w:rsid w:val="00113BDB"/>
    <w:rsid w:val="00113E20"/>
    <w:rsid w:val="00113E61"/>
    <w:rsid w:val="00113F0D"/>
    <w:rsid w:val="00114045"/>
    <w:rsid w:val="001143AE"/>
    <w:rsid w:val="001143D0"/>
    <w:rsid w:val="00114590"/>
    <w:rsid w:val="001146BF"/>
    <w:rsid w:val="001148C3"/>
    <w:rsid w:val="00115007"/>
    <w:rsid w:val="0011562D"/>
    <w:rsid w:val="001156D5"/>
    <w:rsid w:val="00115FA8"/>
    <w:rsid w:val="00116416"/>
    <w:rsid w:val="00116DD5"/>
    <w:rsid w:val="00117309"/>
    <w:rsid w:val="00117AF1"/>
    <w:rsid w:val="00117BB0"/>
    <w:rsid w:val="0012011D"/>
    <w:rsid w:val="00120457"/>
    <w:rsid w:val="00120884"/>
    <w:rsid w:val="00120D7F"/>
    <w:rsid w:val="00120F89"/>
    <w:rsid w:val="00121177"/>
    <w:rsid w:val="001216FA"/>
    <w:rsid w:val="00121F1E"/>
    <w:rsid w:val="001224C8"/>
    <w:rsid w:val="00122912"/>
    <w:rsid w:val="00122976"/>
    <w:rsid w:val="00122DAF"/>
    <w:rsid w:val="0012380F"/>
    <w:rsid w:val="00123A77"/>
    <w:rsid w:val="00124675"/>
    <w:rsid w:val="00124734"/>
    <w:rsid w:val="001248B9"/>
    <w:rsid w:val="001249B2"/>
    <w:rsid w:val="001254C6"/>
    <w:rsid w:val="0012560D"/>
    <w:rsid w:val="00125651"/>
    <w:rsid w:val="00125958"/>
    <w:rsid w:val="00125AC1"/>
    <w:rsid w:val="00125C51"/>
    <w:rsid w:val="00125D56"/>
    <w:rsid w:val="00125FC1"/>
    <w:rsid w:val="001261E2"/>
    <w:rsid w:val="00126235"/>
    <w:rsid w:val="001267F9"/>
    <w:rsid w:val="00126876"/>
    <w:rsid w:val="00126C93"/>
    <w:rsid w:val="001273DA"/>
    <w:rsid w:val="00127802"/>
    <w:rsid w:val="00127A4D"/>
    <w:rsid w:val="00127CCE"/>
    <w:rsid w:val="00130159"/>
    <w:rsid w:val="00130161"/>
    <w:rsid w:val="0013060B"/>
    <w:rsid w:val="001306A7"/>
    <w:rsid w:val="00131084"/>
    <w:rsid w:val="0013114E"/>
    <w:rsid w:val="001315D4"/>
    <w:rsid w:val="001315EA"/>
    <w:rsid w:val="0013171C"/>
    <w:rsid w:val="001319AE"/>
    <w:rsid w:val="00131C97"/>
    <w:rsid w:val="00132098"/>
    <w:rsid w:val="0013239A"/>
    <w:rsid w:val="00132674"/>
    <w:rsid w:val="00132A09"/>
    <w:rsid w:val="00132B0D"/>
    <w:rsid w:val="00132D0E"/>
    <w:rsid w:val="00132F27"/>
    <w:rsid w:val="001334D9"/>
    <w:rsid w:val="001335FA"/>
    <w:rsid w:val="0013399B"/>
    <w:rsid w:val="00133C5F"/>
    <w:rsid w:val="00134167"/>
    <w:rsid w:val="0013455F"/>
    <w:rsid w:val="00135207"/>
    <w:rsid w:val="00135722"/>
    <w:rsid w:val="001358CD"/>
    <w:rsid w:val="00135D93"/>
    <w:rsid w:val="00135EC9"/>
    <w:rsid w:val="00136B3B"/>
    <w:rsid w:val="001370C1"/>
    <w:rsid w:val="001376AE"/>
    <w:rsid w:val="00137940"/>
    <w:rsid w:val="00137B50"/>
    <w:rsid w:val="00137FEB"/>
    <w:rsid w:val="0014041C"/>
    <w:rsid w:val="00140552"/>
    <w:rsid w:val="001405F7"/>
    <w:rsid w:val="0014144B"/>
    <w:rsid w:val="00141780"/>
    <w:rsid w:val="001419EF"/>
    <w:rsid w:val="00141A37"/>
    <w:rsid w:val="00141B4A"/>
    <w:rsid w:val="00141BD5"/>
    <w:rsid w:val="00141C42"/>
    <w:rsid w:val="001421E4"/>
    <w:rsid w:val="00142F44"/>
    <w:rsid w:val="00143151"/>
    <w:rsid w:val="001431DB"/>
    <w:rsid w:val="001432CD"/>
    <w:rsid w:val="00143799"/>
    <w:rsid w:val="001439E8"/>
    <w:rsid w:val="00143A49"/>
    <w:rsid w:val="00143C18"/>
    <w:rsid w:val="001440DD"/>
    <w:rsid w:val="00144DF8"/>
    <w:rsid w:val="00145A1D"/>
    <w:rsid w:val="001460DB"/>
    <w:rsid w:val="001463B3"/>
    <w:rsid w:val="00147253"/>
    <w:rsid w:val="0014748A"/>
    <w:rsid w:val="00147559"/>
    <w:rsid w:val="001478BA"/>
    <w:rsid w:val="00147C81"/>
    <w:rsid w:val="00147CF6"/>
    <w:rsid w:val="001504F9"/>
    <w:rsid w:val="00150FA3"/>
    <w:rsid w:val="001511A4"/>
    <w:rsid w:val="0015128D"/>
    <w:rsid w:val="00151335"/>
    <w:rsid w:val="00151343"/>
    <w:rsid w:val="001516DB"/>
    <w:rsid w:val="00151757"/>
    <w:rsid w:val="001518E6"/>
    <w:rsid w:val="00151BB3"/>
    <w:rsid w:val="00152081"/>
    <w:rsid w:val="00152E56"/>
    <w:rsid w:val="001532E5"/>
    <w:rsid w:val="001538D3"/>
    <w:rsid w:val="00153A3C"/>
    <w:rsid w:val="00154850"/>
    <w:rsid w:val="0015485C"/>
    <w:rsid w:val="00154B63"/>
    <w:rsid w:val="00154BB5"/>
    <w:rsid w:val="00154CB3"/>
    <w:rsid w:val="00155117"/>
    <w:rsid w:val="0015544E"/>
    <w:rsid w:val="0015558A"/>
    <w:rsid w:val="001555D0"/>
    <w:rsid w:val="001559AA"/>
    <w:rsid w:val="00155F9A"/>
    <w:rsid w:val="00156390"/>
    <w:rsid w:val="00156C7D"/>
    <w:rsid w:val="00156D13"/>
    <w:rsid w:val="00156ECA"/>
    <w:rsid w:val="00157260"/>
    <w:rsid w:val="001575D8"/>
    <w:rsid w:val="00157664"/>
    <w:rsid w:val="001600DF"/>
    <w:rsid w:val="00160180"/>
    <w:rsid w:val="00160503"/>
    <w:rsid w:val="00160640"/>
    <w:rsid w:val="001607C5"/>
    <w:rsid w:val="00161148"/>
    <w:rsid w:val="001611C8"/>
    <w:rsid w:val="00161230"/>
    <w:rsid w:val="00161444"/>
    <w:rsid w:val="0016149C"/>
    <w:rsid w:val="001614D8"/>
    <w:rsid w:val="00161A69"/>
    <w:rsid w:val="00161AEE"/>
    <w:rsid w:val="00161BFF"/>
    <w:rsid w:val="00162056"/>
    <w:rsid w:val="001622D3"/>
    <w:rsid w:val="00162C0B"/>
    <w:rsid w:val="001630C6"/>
    <w:rsid w:val="0016323D"/>
    <w:rsid w:val="001632FB"/>
    <w:rsid w:val="0016343C"/>
    <w:rsid w:val="00163540"/>
    <w:rsid w:val="00163B9C"/>
    <w:rsid w:val="00164292"/>
    <w:rsid w:val="0016436C"/>
    <w:rsid w:val="001645B6"/>
    <w:rsid w:val="00164938"/>
    <w:rsid w:val="00164DAA"/>
    <w:rsid w:val="001652F4"/>
    <w:rsid w:val="00165947"/>
    <w:rsid w:val="00165C76"/>
    <w:rsid w:val="00165D5A"/>
    <w:rsid w:val="00165E0A"/>
    <w:rsid w:val="001661D3"/>
    <w:rsid w:val="00166288"/>
    <w:rsid w:val="00166316"/>
    <w:rsid w:val="00166319"/>
    <w:rsid w:val="001664CA"/>
    <w:rsid w:val="001671CF"/>
    <w:rsid w:val="00167687"/>
    <w:rsid w:val="00167757"/>
    <w:rsid w:val="00167891"/>
    <w:rsid w:val="00167A7F"/>
    <w:rsid w:val="00167A99"/>
    <w:rsid w:val="00167F92"/>
    <w:rsid w:val="00167FAA"/>
    <w:rsid w:val="00167FBE"/>
    <w:rsid w:val="00167FDD"/>
    <w:rsid w:val="001703A0"/>
    <w:rsid w:val="00170967"/>
    <w:rsid w:val="00170991"/>
    <w:rsid w:val="00170A4B"/>
    <w:rsid w:val="00170E15"/>
    <w:rsid w:val="00170E46"/>
    <w:rsid w:val="00170E70"/>
    <w:rsid w:val="00171359"/>
    <w:rsid w:val="0017188E"/>
    <w:rsid w:val="00172055"/>
    <w:rsid w:val="001725A8"/>
    <w:rsid w:val="0017266A"/>
    <w:rsid w:val="00172E48"/>
    <w:rsid w:val="00173151"/>
    <w:rsid w:val="001747FB"/>
    <w:rsid w:val="00174879"/>
    <w:rsid w:val="0017489B"/>
    <w:rsid w:val="00174B36"/>
    <w:rsid w:val="00174D35"/>
    <w:rsid w:val="0017508C"/>
    <w:rsid w:val="00175120"/>
    <w:rsid w:val="00175364"/>
    <w:rsid w:val="00175897"/>
    <w:rsid w:val="00175B59"/>
    <w:rsid w:val="00175DBA"/>
    <w:rsid w:val="00175FBA"/>
    <w:rsid w:val="0017600F"/>
    <w:rsid w:val="00176C70"/>
    <w:rsid w:val="00176F23"/>
    <w:rsid w:val="001770F1"/>
    <w:rsid w:val="001772A7"/>
    <w:rsid w:val="0018016F"/>
    <w:rsid w:val="00180464"/>
    <w:rsid w:val="0018068D"/>
    <w:rsid w:val="00180A46"/>
    <w:rsid w:val="00180B2A"/>
    <w:rsid w:val="00180B4B"/>
    <w:rsid w:val="00180F58"/>
    <w:rsid w:val="00181180"/>
    <w:rsid w:val="0018133F"/>
    <w:rsid w:val="00181410"/>
    <w:rsid w:val="00181555"/>
    <w:rsid w:val="00181A1C"/>
    <w:rsid w:val="00182103"/>
    <w:rsid w:val="001823B9"/>
    <w:rsid w:val="00182A18"/>
    <w:rsid w:val="00182B9D"/>
    <w:rsid w:val="00182CF7"/>
    <w:rsid w:val="00182EA7"/>
    <w:rsid w:val="00182FFE"/>
    <w:rsid w:val="001834C4"/>
    <w:rsid w:val="001836BE"/>
    <w:rsid w:val="00183ACA"/>
    <w:rsid w:val="00184368"/>
    <w:rsid w:val="00184632"/>
    <w:rsid w:val="00184694"/>
    <w:rsid w:val="00184B06"/>
    <w:rsid w:val="00185048"/>
    <w:rsid w:val="00185391"/>
    <w:rsid w:val="001857BC"/>
    <w:rsid w:val="00185DEC"/>
    <w:rsid w:val="00185F1A"/>
    <w:rsid w:val="00186029"/>
    <w:rsid w:val="0018615D"/>
    <w:rsid w:val="00186274"/>
    <w:rsid w:val="00186B93"/>
    <w:rsid w:val="001871F1"/>
    <w:rsid w:val="0018768D"/>
    <w:rsid w:val="00187799"/>
    <w:rsid w:val="00187F03"/>
    <w:rsid w:val="00190077"/>
    <w:rsid w:val="00190333"/>
    <w:rsid w:val="001906DB"/>
    <w:rsid w:val="0019079B"/>
    <w:rsid w:val="00190806"/>
    <w:rsid w:val="00190939"/>
    <w:rsid w:val="00190AF4"/>
    <w:rsid w:val="001910F4"/>
    <w:rsid w:val="00191237"/>
    <w:rsid w:val="0019150C"/>
    <w:rsid w:val="00191515"/>
    <w:rsid w:val="001918DC"/>
    <w:rsid w:val="00192293"/>
    <w:rsid w:val="001927F0"/>
    <w:rsid w:val="00192880"/>
    <w:rsid w:val="00192C16"/>
    <w:rsid w:val="00192E96"/>
    <w:rsid w:val="00192F98"/>
    <w:rsid w:val="00193A14"/>
    <w:rsid w:val="00193A4B"/>
    <w:rsid w:val="00193CF7"/>
    <w:rsid w:val="00193D54"/>
    <w:rsid w:val="00194220"/>
    <w:rsid w:val="00194384"/>
    <w:rsid w:val="001946A7"/>
    <w:rsid w:val="001949C7"/>
    <w:rsid w:val="00194DAF"/>
    <w:rsid w:val="00195940"/>
    <w:rsid w:val="001959E9"/>
    <w:rsid w:val="001967B2"/>
    <w:rsid w:val="00196C94"/>
    <w:rsid w:val="00196D70"/>
    <w:rsid w:val="001971CB"/>
    <w:rsid w:val="0019720C"/>
    <w:rsid w:val="001977AD"/>
    <w:rsid w:val="00197AD3"/>
    <w:rsid w:val="00197EDB"/>
    <w:rsid w:val="001A047F"/>
    <w:rsid w:val="001A0668"/>
    <w:rsid w:val="001A0973"/>
    <w:rsid w:val="001A0AF9"/>
    <w:rsid w:val="001A0D3B"/>
    <w:rsid w:val="001A11E5"/>
    <w:rsid w:val="001A13B6"/>
    <w:rsid w:val="001A14D5"/>
    <w:rsid w:val="001A19E6"/>
    <w:rsid w:val="001A20C6"/>
    <w:rsid w:val="001A22C1"/>
    <w:rsid w:val="001A2616"/>
    <w:rsid w:val="001A28FB"/>
    <w:rsid w:val="001A2902"/>
    <w:rsid w:val="001A3344"/>
    <w:rsid w:val="001A34D7"/>
    <w:rsid w:val="001A35F3"/>
    <w:rsid w:val="001A3A0A"/>
    <w:rsid w:val="001A3F3F"/>
    <w:rsid w:val="001A41BF"/>
    <w:rsid w:val="001A4D76"/>
    <w:rsid w:val="001A5199"/>
    <w:rsid w:val="001A535E"/>
    <w:rsid w:val="001A57C1"/>
    <w:rsid w:val="001A5AF8"/>
    <w:rsid w:val="001A5AFA"/>
    <w:rsid w:val="001A7A55"/>
    <w:rsid w:val="001A7AAD"/>
    <w:rsid w:val="001A7EAE"/>
    <w:rsid w:val="001B000F"/>
    <w:rsid w:val="001B0139"/>
    <w:rsid w:val="001B01CB"/>
    <w:rsid w:val="001B0549"/>
    <w:rsid w:val="001B07B9"/>
    <w:rsid w:val="001B0ADE"/>
    <w:rsid w:val="001B10B4"/>
    <w:rsid w:val="001B12FD"/>
    <w:rsid w:val="001B1426"/>
    <w:rsid w:val="001B15BA"/>
    <w:rsid w:val="001B16C5"/>
    <w:rsid w:val="001B1981"/>
    <w:rsid w:val="001B1A43"/>
    <w:rsid w:val="001B1D0B"/>
    <w:rsid w:val="001B1EF2"/>
    <w:rsid w:val="001B20F5"/>
    <w:rsid w:val="001B28C7"/>
    <w:rsid w:val="001B2A8B"/>
    <w:rsid w:val="001B30BD"/>
    <w:rsid w:val="001B3221"/>
    <w:rsid w:val="001B3775"/>
    <w:rsid w:val="001B3AD8"/>
    <w:rsid w:val="001B3C8F"/>
    <w:rsid w:val="001B3F06"/>
    <w:rsid w:val="001B4695"/>
    <w:rsid w:val="001B4A39"/>
    <w:rsid w:val="001B4D89"/>
    <w:rsid w:val="001B52C9"/>
    <w:rsid w:val="001B5337"/>
    <w:rsid w:val="001B53BC"/>
    <w:rsid w:val="001B57BC"/>
    <w:rsid w:val="001B599E"/>
    <w:rsid w:val="001B5A78"/>
    <w:rsid w:val="001B5CAF"/>
    <w:rsid w:val="001B5D2D"/>
    <w:rsid w:val="001B6B0B"/>
    <w:rsid w:val="001B7625"/>
    <w:rsid w:val="001B7735"/>
    <w:rsid w:val="001B7B68"/>
    <w:rsid w:val="001B7DF0"/>
    <w:rsid w:val="001C061E"/>
    <w:rsid w:val="001C0F4B"/>
    <w:rsid w:val="001C0FBC"/>
    <w:rsid w:val="001C129F"/>
    <w:rsid w:val="001C1456"/>
    <w:rsid w:val="001C1C33"/>
    <w:rsid w:val="001C1F72"/>
    <w:rsid w:val="001C218A"/>
    <w:rsid w:val="001C2213"/>
    <w:rsid w:val="001C2C8A"/>
    <w:rsid w:val="001C2E71"/>
    <w:rsid w:val="001C3681"/>
    <w:rsid w:val="001C37D7"/>
    <w:rsid w:val="001C3E0E"/>
    <w:rsid w:val="001C3E5B"/>
    <w:rsid w:val="001C4C37"/>
    <w:rsid w:val="001C5044"/>
    <w:rsid w:val="001C51E1"/>
    <w:rsid w:val="001C5236"/>
    <w:rsid w:val="001C531F"/>
    <w:rsid w:val="001C5946"/>
    <w:rsid w:val="001C5B6D"/>
    <w:rsid w:val="001C5F64"/>
    <w:rsid w:val="001C6181"/>
    <w:rsid w:val="001C6347"/>
    <w:rsid w:val="001C640B"/>
    <w:rsid w:val="001C66F6"/>
    <w:rsid w:val="001C736C"/>
    <w:rsid w:val="001C78BB"/>
    <w:rsid w:val="001D0175"/>
    <w:rsid w:val="001D07C1"/>
    <w:rsid w:val="001D0A15"/>
    <w:rsid w:val="001D0D4A"/>
    <w:rsid w:val="001D0DC3"/>
    <w:rsid w:val="001D1045"/>
    <w:rsid w:val="001D1334"/>
    <w:rsid w:val="001D2416"/>
    <w:rsid w:val="001D2592"/>
    <w:rsid w:val="001D26FF"/>
    <w:rsid w:val="001D29FC"/>
    <w:rsid w:val="001D2C5F"/>
    <w:rsid w:val="001D3155"/>
    <w:rsid w:val="001D35C0"/>
    <w:rsid w:val="001D3A08"/>
    <w:rsid w:val="001D4279"/>
    <w:rsid w:val="001D447C"/>
    <w:rsid w:val="001D4AD4"/>
    <w:rsid w:val="001D4E3C"/>
    <w:rsid w:val="001D5006"/>
    <w:rsid w:val="001D58AB"/>
    <w:rsid w:val="001D5E51"/>
    <w:rsid w:val="001D658F"/>
    <w:rsid w:val="001D6772"/>
    <w:rsid w:val="001D6B45"/>
    <w:rsid w:val="001D7348"/>
    <w:rsid w:val="001D744B"/>
    <w:rsid w:val="001E0205"/>
    <w:rsid w:val="001E079A"/>
    <w:rsid w:val="001E081F"/>
    <w:rsid w:val="001E08DA"/>
    <w:rsid w:val="001E0EDB"/>
    <w:rsid w:val="001E15E8"/>
    <w:rsid w:val="001E178A"/>
    <w:rsid w:val="001E1B40"/>
    <w:rsid w:val="001E204F"/>
    <w:rsid w:val="001E24EA"/>
    <w:rsid w:val="001E2F57"/>
    <w:rsid w:val="001E40AF"/>
    <w:rsid w:val="001E40EC"/>
    <w:rsid w:val="001E4528"/>
    <w:rsid w:val="001E4755"/>
    <w:rsid w:val="001E4804"/>
    <w:rsid w:val="001E4F73"/>
    <w:rsid w:val="001E51F7"/>
    <w:rsid w:val="001E531B"/>
    <w:rsid w:val="001E54C0"/>
    <w:rsid w:val="001E551F"/>
    <w:rsid w:val="001E5D07"/>
    <w:rsid w:val="001E5DAC"/>
    <w:rsid w:val="001E6089"/>
    <w:rsid w:val="001E67C4"/>
    <w:rsid w:val="001E6C58"/>
    <w:rsid w:val="001E71F0"/>
    <w:rsid w:val="001E7779"/>
    <w:rsid w:val="001E779F"/>
    <w:rsid w:val="001E79F6"/>
    <w:rsid w:val="001F0235"/>
    <w:rsid w:val="001F0698"/>
    <w:rsid w:val="001F1019"/>
    <w:rsid w:val="001F142B"/>
    <w:rsid w:val="001F1597"/>
    <w:rsid w:val="001F18EF"/>
    <w:rsid w:val="001F1ABF"/>
    <w:rsid w:val="001F1DAA"/>
    <w:rsid w:val="001F21EC"/>
    <w:rsid w:val="001F2D9C"/>
    <w:rsid w:val="001F3366"/>
    <w:rsid w:val="001F352E"/>
    <w:rsid w:val="001F38D3"/>
    <w:rsid w:val="001F3E90"/>
    <w:rsid w:val="001F3EF9"/>
    <w:rsid w:val="001F53EF"/>
    <w:rsid w:val="001F5476"/>
    <w:rsid w:val="001F5534"/>
    <w:rsid w:val="001F573B"/>
    <w:rsid w:val="001F5AC9"/>
    <w:rsid w:val="001F5C37"/>
    <w:rsid w:val="001F5EA0"/>
    <w:rsid w:val="001F60A2"/>
    <w:rsid w:val="001F6302"/>
    <w:rsid w:val="001F64D7"/>
    <w:rsid w:val="001F66D3"/>
    <w:rsid w:val="001F69B8"/>
    <w:rsid w:val="001F6ADA"/>
    <w:rsid w:val="001F7077"/>
    <w:rsid w:val="001F70B7"/>
    <w:rsid w:val="001F7282"/>
    <w:rsid w:val="001F7C26"/>
    <w:rsid w:val="001F7D1B"/>
    <w:rsid w:val="001F7F23"/>
    <w:rsid w:val="002000EB"/>
    <w:rsid w:val="00200208"/>
    <w:rsid w:val="002005D8"/>
    <w:rsid w:val="002005F7"/>
    <w:rsid w:val="00200660"/>
    <w:rsid w:val="0020090F"/>
    <w:rsid w:val="00200A45"/>
    <w:rsid w:val="00200C03"/>
    <w:rsid w:val="00200EAC"/>
    <w:rsid w:val="0020169C"/>
    <w:rsid w:val="0020172C"/>
    <w:rsid w:val="00201938"/>
    <w:rsid w:val="00201B49"/>
    <w:rsid w:val="00201D2E"/>
    <w:rsid w:val="002023EE"/>
    <w:rsid w:val="00202CA6"/>
    <w:rsid w:val="00202FBE"/>
    <w:rsid w:val="00203494"/>
    <w:rsid w:val="002034BA"/>
    <w:rsid w:val="0020368C"/>
    <w:rsid w:val="002039D7"/>
    <w:rsid w:val="00203B8B"/>
    <w:rsid w:val="00203C61"/>
    <w:rsid w:val="00203FD3"/>
    <w:rsid w:val="00204871"/>
    <w:rsid w:val="00204C24"/>
    <w:rsid w:val="00204C6A"/>
    <w:rsid w:val="00205454"/>
    <w:rsid w:val="002057AA"/>
    <w:rsid w:val="00205C76"/>
    <w:rsid w:val="002068C9"/>
    <w:rsid w:val="00206BBF"/>
    <w:rsid w:val="00206E6F"/>
    <w:rsid w:val="00207188"/>
    <w:rsid w:val="002073C2"/>
    <w:rsid w:val="0020766F"/>
    <w:rsid w:val="00207EF4"/>
    <w:rsid w:val="00210DD3"/>
    <w:rsid w:val="00211045"/>
    <w:rsid w:val="00211448"/>
    <w:rsid w:val="00211886"/>
    <w:rsid w:val="00211D9A"/>
    <w:rsid w:val="00211EC0"/>
    <w:rsid w:val="00211EF1"/>
    <w:rsid w:val="002123A2"/>
    <w:rsid w:val="00212661"/>
    <w:rsid w:val="0021274C"/>
    <w:rsid w:val="0021357B"/>
    <w:rsid w:val="0021398D"/>
    <w:rsid w:val="002142A5"/>
    <w:rsid w:val="0021442F"/>
    <w:rsid w:val="00214777"/>
    <w:rsid w:val="00214911"/>
    <w:rsid w:val="00215050"/>
    <w:rsid w:val="002150D5"/>
    <w:rsid w:val="00215176"/>
    <w:rsid w:val="00215554"/>
    <w:rsid w:val="00215733"/>
    <w:rsid w:val="0021595C"/>
    <w:rsid w:val="00215FC4"/>
    <w:rsid w:val="002161F6"/>
    <w:rsid w:val="002165F4"/>
    <w:rsid w:val="00217777"/>
    <w:rsid w:val="00217C10"/>
    <w:rsid w:val="00217F9A"/>
    <w:rsid w:val="002210D5"/>
    <w:rsid w:val="00221BAA"/>
    <w:rsid w:val="00221EF9"/>
    <w:rsid w:val="002222B9"/>
    <w:rsid w:val="002222C0"/>
    <w:rsid w:val="002227FF"/>
    <w:rsid w:val="0022293C"/>
    <w:rsid w:val="00222B53"/>
    <w:rsid w:val="002230A9"/>
    <w:rsid w:val="00223A96"/>
    <w:rsid w:val="00223EEC"/>
    <w:rsid w:val="0022404C"/>
    <w:rsid w:val="002244F6"/>
    <w:rsid w:val="002244FD"/>
    <w:rsid w:val="0022476B"/>
    <w:rsid w:val="00224A5E"/>
    <w:rsid w:val="00224BE7"/>
    <w:rsid w:val="00224DC1"/>
    <w:rsid w:val="00224E8B"/>
    <w:rsid w:val="00225129"/>
    <w:rsid w:val="0022535F"/>
    <w:rsid w:val="00225704"/>
    <w:rsid w:val="00225B5B"/>
    <w:rsid w:val="00225F61"/>
    <w:rsid w:val="00226403"/>
    <w:rsid w:val="00226461"/>
    <w:rsid w:val="00226679"/>
    <w:rsid w:val="00226782"/>
    <w:rsid w:val="00226932"/>
    <w:rsid w:val="0022699B"/>
    <w:rsid w:val="002272AB"/>
    <w:rsid w:val="002274CB"/>
    <w:rsid w:val="00227555"/>
    <w:rsid w:val="002300AE"/>
    <w:rsid w:val="002301D6"/>
    <w:rsid w:val="00230515"/>
    <w:rsid w:val="00230ABF"/>
    <w:rsid w:val="00230E55"/>
    <w:rsid w:val="002311C5"/>
    <w:rsid w:val="0023127F"/>
    <w:rsid w:val="00231891"/>
    <w:rsid w:val="00231899"/>
    <w:rsid w:val="00231E46"/>
    <w:rsid w:val="002320ED"/>
    <w:rsid w:val="0023214C"/>
    <w:rsid w:val="002328F7"/>
    <w:rsid w:val="0023361F"/>
    <w:rsid w:val="002338C4"/>
    <w:rsid w:val="00233B11"/>
    <w:rsid w:val="002344A7"/>
    <w:rsid w:val="00234568"/>
    <w:rsid w:val="00234611"/>
    <w:rsid w:val="00234ABD"/>
    <w:rsid w:val="00234B37"/>
    <w:rsid w:val="00234D9F"/>
    <w:rsid w:val="00234F0E"/>
    <w:rsid w:val="00234F0F"/>
    <w:rsid w:val="00235A66"/>
    <w:rsid w:val="00235C7C"/>
    <w:rsid w:val="00235EFE"/>
    <w:rsid w:val="0023612D"/>
    <w:rsid w:val="0023622A"/>
    <w:rsid w:val="002363B1"/>
    <w:rsid w:val="00236618"/>
    <w:rsid w:val="00236BC2"/>
    <w:rsid w:val="00236BCA"/>
    <w:rsid w:val="00236FF2"/>
    <w:rsid w:val="0023707F"/>
    <w:rsid w:val="00237230"/>
    <w:rsid w:val="00237263"/>
    <w:rsid w:val="00237837"/>
    <w:rsid w:val="00240C21"/>
    <w:rsid w:val="00240F22"/>
    <w:rsid w:val="002417D6"/>
    <w:rsid w:val="002417EC"/>
    <w:rsid w:val="002417F9"/>
    <w:rsid w:val="00241BE0"/>
    <w:rsid w:val="00242210"/>
    <w:rsid w:val="00242B7C"/>
    <w:rsid w:val="00242CF9"/>
    <w:rsid w:val="00243133"/>
    <w:rsid w:val="00243660"/>
    <w:rsid w:val="00243A79"/>
    <w:rsid w:val="00243B1E"/>
    <w:rsid w:val="00244133"/>
    <w:rsid w:val="002442E8"/>
    <w:rsid w:val="002443A9"/>
    <w:rsid w:val="00244441"/>
    <w:rsid w:val="002447BE"/>
    <w:rsid w:val="00244C69"/>
    <w:rsid w:val="00244C8D"/>
    <w:rsid w:val="002450DB"/>
    <w:rsid w:val="00245281"/>
    <w:rsid w:val="00245E94"/>
    <w:rsid w:val="00245ECC"/>
    <w:rsid w:val="00246CF4"/>
    <w:rsid w:val="002471C5"/>
    <w:rsid w:val="002472DF"/>
    <w:rsid w:val="002473BB"/>
    <w:rsid w:val="00247522"/>
    <w:rsid w:val="0024768D"/>
    <w:rsid w:val="00247D0F"/>
    <w:rsid w:val="00247E0D"/>
    <w:rsid w:val="002500FB"/>
    <w:rsid w:val="00250697"/>
    <w:rsid w:val="00250829"/>
    <w:rsid w:val="00251722"/>
    <w:rsid w:val="00251B16"/>
    <w:rsid w:val="0025254B"/>
    <w:rsid w:val="00252594"/>
    <w:rsid w:val="00252F1D"/>
    <w:rsid w:val="002534FD"/>
    <w:rsid w:val="002538CC"/>
    <w:rsid w:val="00253E7F"/>
    <w:rsid w:val="002546FF"/>
    <w:rsid w:val="00254781"/>
    <w:rsid w:val="002548DD"/>
    <w:rsid w:val="00254B78"/>
    <w:rsid w:val="00255B2E"/>
    <w:rsid w:val="0025636A"/>
    <w:rsid w:val="00256443"/>
    <w:rsid w:val="002564F9"/>
    <w:rsid w:val="00256A69"/>
    <w:rsid w:val="00256B0A"/>
    <w:rsid w:val="00256C8A"/>
    <w:rsid w:val="00256E1E"/>
    <w:rsid w:val="0025700E"/>
    <w:rsid w:val="0025771E"/>
    <w:rsid w:val="00257EA6"/>
    <w:rsid w:val="00257F9D"/>
    <w:rsid w:val="0026018C"/>
    <w:rsid w:val="00260508"/>
    <w:rsid w:val="0026094B"/>
    <w:rsid w:val="00260A10"/>
    <w:rsid w:val="00260A19"/>
    <w:rsid w:val="00260B0F"/>
    <w:rsid w:val="00260C44"/>
    <w:rsid w:val="00260D39"/>
    <w:rsid w:val="00261067"/>
    <w:rsid w:val="002610AB"/>
    <w:rsid w:val="0026158D"/>
    <w:rsid w:val="00261836"/>
    <w:rsid w:val="00261967"/>
    <w:rsid w:val="0026196A"/>
    <w:rsid w:val="002619F6"/>
    <w:rsid w:val="002621B0"/>
    <w:rsid w:val="0026234A"/>
    <w:rsid w:val="0026240F"/>
    <w:rsid w:val="00262636"/>
    <w:rsid w:val="00262C3B"/>
    <w:rsid w:val="00262EA9"/>
    <w:rsid w:val="002639B6"/>
    <w:rsid w:val="00263B9E"/>
    <w:rsid w:val="00263D23"/>
    <w:rsid w:val="0026417C"/>
    <w:rsid w:val="002645E0"/>
    <w:rsid w:val="002646BC"/>
    <w:rsid w:val="0026479B"/>
    <w:rsid w:val="00264C3C"/>
    <w:rsid w:val="00264D1C"/>
    <w:rsid w:val="002651C4"/>
    <w:rsid w:val="002652E2"/>
    <w:rsid w:val="0026533A"/>
    <w:rsid w:val="00265594"/>
    <w:rsid w:val="00265663"/>
    <w:rsid w:val="002656E7"/>
    <w:rsid w:val="00265A7E"/>
    <w:rsid w:val="002660E7"/>
    <w:rsid w:val="00266105"/>
    <w:rsid w:val="00266427"/>
    <w:rsid w:val="002664AE"/>
    <w:rsid w:val="00266963"/>
    <w:rsid w:val="0026698A"/>
    <w:rsid w:val="00266A37"/>
    <w:rsid w:val="00266A4E"/>
    <w:rsid w:val="00266BF7"/>
    <w:rsid w:val="0026788C"/>
    <w:rsid w:val="00267BA3"/>
    <w:rsid w:val="00270089"/>
    <w:rsid w:val="002703EE"/>
    <w:rsid w:val="00270486"/>
    <w:rsid w:val="00270BA6"/>
    <w:rsid w:val="00271002"/>
    <w:rsid w:val="00271495"/>
    <w:rsid w:val="00271810"/>
    <w:rsid w:val="00271BB0"/>
    <w:rsid w:val="00272239"/>
    <w:rsid w:val="0027254B"/>
    <w:rsid w:val="0027257D"/>
    <w:rsid w:val="0027278D"/>
    <w:rsid w:val="002727A5"/>
    <w:rsid w:val="002727F1"/>
    <w:rsid w:val="0027284A"/>
    <w:rsid w:val="00272976"/>
    <w:rsid w:val="0027309A"/>
    <w:rsid w:val="002733D4"/>
    <w:rsid w:val="0027349E"/>
    <w:rsid w:val="00273798"/>
    <w:rsid w:val="0027381D"/>
    <w:rsid w:val="0027386A"/>
    <w:rsid w:val="002743FA"/>
    <w:rsid w:val="00274620"/>
    <w:rsid w:val="00274BBB"/>
    <w:rsid w:val="0027566E"/>
    <w:rsid w:val="00275A35"/>
    <w:rsid w:val="00275D3C"/>
    <w:rsid w:val="00275D68"/>
    <w:rsid w:val="00276171"/>
    <w:rsid w:val="00276900"/>
    <w:rsid w:val="00276C62"/>
    <w:rsid w:val="0027710B"/>
    <w:rsid w:val="00277324"/>
    <w:rsid w:val="00277448"/>
    <w:rsid w:val="0027752A"/>
    <w:rsid w:val="00277C1C"/>
    <w:rsid w:val="00277D4A"/>
    <w:rsid w:val="00277E37"/>
    <w:rsid w:val="00277E82"/>
    <w:rsid w:val="00280061"/>
    <w:rsid w:val="00280377"/>
    <w:rsid w:val="0028041B"/>
    <w:rsid w:val="002804AC"/>
    <w:rsid w:val="002804EB"/>
    <w:rsid w:val="002808BE"/>
    <w:rsid w:val="00281059"/>
    <w:rsid w:val="00281554"/>
    <w:rsid w:val="0028196F"/>
    <w:rsid w:val="00281A05"/>
    <w:rsid w:val="00281C4A"/>
    <w:rsid w:val="00282236"/>
    <w:rsid w:val="00282268"/>
    <w:rsid w:val="0028247B"/>
    <w:rsid w:val="002828FD"/>
    <w:rsid w:val="00282BF0"/>
    <w:rsid w:val="002832FC"/>
    <w:rsid w:val="00283AE9"/>
    <w:rsid w:val="002840A3"/>
    <w:rsid w:val="00284AB7"/>
    <w:rsid w:val="00284D53"/>
    <w:rsid w:val="002850DB"/>
    <w:rsid w:val="00285D73"/>
    <w:rsid w:val="00285F5C"/>
    <w:rsid w:val="002862AB"/>
    <w:rsid w:val="002862D2"/>
    <w:rsid w:val="002862DE"/>
    <w:rsid w:val="0028632C"/>
    <w:rsid w:val="002865EA"/>
    <w:rsid w:val="00286CFA"/>
    <w:rsid w:val="00286F35"/>
    <w:rsid w:val="00287290"/>
    <w:rsid w:val="0028777D"/>
    <w:rsid w:val="00287F62"/>
    <w:rsid w:val="00290211"/>
    <w:rsid w:val="00290247"/>
    <w:rsid w:val="002908EB"/>
    <w:rsid w:val="00290DD8"/>
    <w:rsid w:val="0029200F"/>
    <w:rsid w:val="00292686"/>
    <w:rsid w:val="00292729"/>
    <w:rsid w:val="00292E42"/>
    <w:rsid w:val="002930F0"/>
    <w:rsid w:val="0029317C"/>
    <w:rsid w:val="00293972"/>
    <w:rsid w:val="002939A1"/>
    <w:rsid w:val="00293E11"/>
    <w:rsid w:val="00294271"/>
    <w:rsid w:val="0029428F"/>
    <w:rsid w:val="002943C8"/>
    <w:rsid w:val="002943D6"/>
    <w:rsid w:val="00294B9E"/>
    <w:rsid w:val="00294CC4"/>
    <w:rsid w:val="00294DB4"/>
    <w:rsid w:val="00294E55"/>
    <w:rsid w:val="00294E58"/>
    <w:rsid w:val="002957D8"/>
    <w:rsid w:val="00295F26"/>
    <w:rsid w:val="00295F72"/>
    <w:rsid w:val="0029619C"/>
    <w:rsid w:val="00296511"/>
    <w:rsid w:val="002965BE"/>
    <w:rsid w:val="0029661E"/>
    <w:rsid w:val="002968B2"/>
    <w:rsid w:val="00296AA9"/>
    <w:rsid w:val="00296BFD"/>
    <w:rsid w:val="00296CA0"/>
    <w:rsid w:val="00296E94"/>
    <w:rsid w:val="00296F54"/>
    <w:rsid w:val="0029700A"/>
    <w:rsid w:val="00297699"/>
    <w:rsid w:val="00297761"/>
    <w:rsid w:val="002978BE"/>
    <w:rsid w:val="002A0347"/>
    <w:rsid w:val="002A0A1D"/>
    <w:rsid w:val="002A12FD"/>
    <w:rsid w:val="002A132D"/>
    <w:rsid w:val="002A1858"/>
    <w:rsid w:val="002A1B8C"/>
    <w:rsid w:val="002A28CE"/>
    <w:rsid w:val="002A2E5E"/>
    <w:rsid w:val="002A373D"/>
    <w:rsid w:val="002A3DE5"/>
    <w:rsid w:val="002A3E42"/>
    <w:rsid w:val="002A3EE0"/>
    <w:rsid w:val="002A44A4"/>
    <w:rsid w:val="002A44B4"/>
    <w:rsid w:val="002A4657"/>
    <w:rsid w:val="002A484E"/>
    <w:rsid w:val="002A59EC"/>
    <w:rsid w:val="002A629A"/>
    <w:rsid w:val="002A63A9"/>
    <w:rsid w:val="002A670F"/>
    <w:rsid w:val="002A6EF8"/>
    <w:rsid w:val="002A7960"/>
    <w:rsid w:val="002A7D91"/>
    <w:rsid w:val="002A7EC9"/>
    <w:rsid w:val="002B0249"/>
    <w:rsid w:val="002B03F7"/>
    <w:rsid w:val="002B049D"/>
    <w:rsid w:val="002B0814"/>
    <w:rsid w:val="002B0CB4"/>
    <w:rsid w:val="002B113A"/>
    <w:rsid w:val="002B130B"/>
    <w:rsid w:val="002B1735"/>
    <w:rsid w:val="002B1812"/>
    <w:rsid w:val="002B1864"/>
    <w:rsid w:val="002B1B82"/>
    <w:rsid w:val="002B2283"/>
    <w:rsid w:val="002B25FB"/>
    <w:rsid w:val="002B2B50"/>
    <w:rsid w:val="002B3064"/>
    <w:rsid w:val="002B323E"/>
    <w:rsid w:val="002B3352"/>
    <w:rsid w:val="002B34FF"/>
    <w:rsid w:val="002B3890"/>
    <w:rsid w:val="002B3C30"/>
    <w:rsid w:val="002B3EB9"/>
    <w:rsid w:val="002B487A"/>
    <w:rsid w:val="002B4B86"/>
    <w:rsid w:val="002B4EA8"/>
    <w:rsid w:val="002B596F"/>
    <w:rsid w:val="002B5A11"/>
    <w:rsid w:val="002B5B1A"/>
    <w:rsid w:val="002B5BCB"/>
    <w:rsid w:val="002B5D06"/>
    <w:rsid w:val="002B5D56"/>
    <w:rsid w:val="002B5EAA"/>
    <w:rsid w:val="002B645E"/>
    <w:rsid w:val="002B6831"/>
    <w:rsid w:val="002B6F8C"/>
    <w:rsid w:val="002B706E"/>
    <w:rsid w:val="002B745C"/>
    <w:rsid w:val="002B7487"/>
    <w:rsid w:val="002B7529"/>
    <w:rsid w:val="002B75CB"/>
    <w:rsid w:val="002B7983"/>
    <w:rsid w:val="002C000E"/>
    <w:rsid w:val="002C0080"/>
    <w:rsid w:val="002C03CE"/>
    <w:rsid w:val="002C0E2C"/>
    <w:rsid w:val="002C0ECE"/>
    <w:rsid w:val="002C112A"/>
    <w:rsid w:val="002C13AE"/>
    <w:rsid w:val="002C17A3"/>
    <w:rsid w:val="002C1BD4"/>
    <w:rsid w:val="002C1C92"/>
    <w:rsid w:val="002C1FF9"/>
    <w:rsid w:val="002C2097"/>
    <w:rsid w:val="002C28FB"/>
    <w:rsid w:val="002C29DD"/>
    <w:rsid w:val="002C2BAC"/>
    <w:rsid w:val="002C2FD9"/>
    <w:rsid w:val="002C3122"/>
    <w:rsid w:val="002C362C"/>
    <w:rsid w:val="002C3714"/>
    <w:rsid w:val="002C3B24"/>
    <w:rsid w:val="002C421F"/>
    <w:rsid w:val="002C44A8"/>
    <w:rsid w:val="002C4BCB"/>
    <w:rsid w:val="002C4F15"/>
    <w:rsid w:val="002C63C4"/>
    <w:rsid w:val="002C64C2"/>
    <w:rsid w:val="002C6AB6"/>
    <w:rsid w:val="002C6C39"/>
    <w:rsid w:val="002C702C"/>
    <w:rsid w:val="002C77D8"/>
    <w:rsid w:val="002C7905"/>
    <w:rsid w:val="002C7A4F"/>
    <w:rsid w:val="002D001A"/>
    <w:rsid w:val="002D0179"/>
    <w:rsid w:val="002D07EA"/>
    <w:rsid w:val="002D2A74"/>
    <w:rsid w:val="002D2D74"/>
    <w:rsid w:val="002D30D9"/>
    <w:rsid w:val="002D3487"/>
    <w:rsid w:val="002D377F"/>
    <w:rsid w:val="002D37B7"/>
    <w:rsid w:val="002D3D34"/>
    <w:rsid w:val="002D40B9"/>
    <w:rsid w:val="002D44D5"/>
    <w:rsid w:val="002D45C1"/>
    <w:rsid w:val="002D45DD"/>
    <w:rsid w:val="002D500B"/>
    <w:rsid w:val="002D557E"/>
    <w:rsid w:val="002D5B2B"/>
    <w:rsid w:val="002D6341"/>
    <w:rsid w:val="002D648A"/>
    <w:rsid w:val="002D6506"/>
    <w:rsid w:val="002D66F4"/>
    <w:rsid w:val="002D76A5"/>
    <w:rsid w:val="002D7A43"/>
    <w:rsid w:val="002D7C26"/>
    <w:rsid w:val="002E0647"/>
    <w:rsid w:val="002E09D6"/>
    <w:rsid w:val="002E0A17"/>
    <w:rsid w:val="002E0A9D"/>
    <w:rsid w:val="002E0BFA"/>
    <w:rsid w:val="002E0E0F"/>
    <w:rsid w:val="002E13F3"/>
    <w:rsid w:val="002E15DD"/>
    <w:rsid w:val="002E167C"/>
    <w:rsid w:val="002E17A7"/>
    <w:rsid w:val="002E1B37"/>
    <w:rsid w:val="002E1E79"/>
    <w:rsid w:val="002E223A"/>
    <w:rsid w:val="002E27E0"/>
    <w:rsid w:val="002E35E0"/>
    <w:rsid w:val="002E403B"/>
    <w:rsid w:val="002E4450"/>
    <w:rsid w:val="002E4761"/>
    <w:rsid w:val="002E478E"/>
    <w:rsid w:val="002E4DA4"/>
    <w:rsid w:val="002E525F"/>
    <w:rsid w:val="002E52A5"/>
    <w:rsid w:val="002E54A7"/>
    <w:rsid w:val="002E5E0C"/>
    <w:rsid w:val="002E60B7"/>
    <w:rsid w:val="002E62E9"/>
    <w:rsid w:val="002E6345"/>
    <w:rsid w:val="002E6375"/>
    <w:rsid w:val="002E6590"/>
    <w:rsid w:val="002E663C"/>
    <w:rsid w:val="002E6B6F"/>
    <w:rsid w:val="002E7E19"/>
    <w:rsid w:val="002F03F0"/>
    <w:rsid w:val="002F0731"/>
    <w:rsid w:val="002F0F72"/>
    <w:rsid w:val="002F1260"/>
    <w:rsid w:val="002F1774"/>
    <w:rsid w:val="002F17CD"/>
    <w:rsid w:val="002F1EC3"/>
    <w:rsid w:val="002F1F01"/>
    <w:rsid w:val="002F204E"/>
    <w:rsid w:val="002F2215"/>
    <w:rsid w:val="002F250B"/>
    <w:rsid w:val="002F2678"/>
    <w:rsid w:val="002F27B8"/>
    <w:rsid w:val="002F2916"/>
    <w:rsid w:val="002F2DB7"/>
    <w:rsid w:val="002F3222"/>
    <w:rsid w:val="002F37DE"/>
    <w:rsid w:val="002F3A71"/>
    <w:rsid w:val="002F3B21"/>
    <w:rsid w:val="002F3C75"/>
    <w:rsid w:val="002F3DA7"/>
    <w:rsid w:val="002F3F0E"/>
    <w:rsid w:val="002F4141"/>
    <w:rsid w:val="002F4305"/>
    <w:rsid w:val="002F4931"/>
    <w:rsid w:val="002F498C"/>
    <w:rsid w:val="002F53DF"/>
    <w:rsid w:val="002F543E"/>
    <w:rsid w:val="002F57F2"/>
    <w:rsid w:val="002F5CD6"/>
    <w:rsid w:val="002F5E1F"/>
    <w:rsid w:val="002F68A4"/>
    <w:rsid w:val="002F6A51"/>
    <w:rsid w:val="002F6A67"/>
    <w:rsid w:val="002F7122"/>
    <w:rsid w:val="002F72FC"/>
    <w:rsid w:val="002F7538"/>
    <w:rsid w:val="002F7BB6"/>
    <w:rsid w:val="002F7D08"/>
    <w:rsid w:val="002F7D8B"/>
    <w:rsid w:val="002F7ED7"/>
    <w:rsid w:val="00300368"/>
    <w:rsid w:val="0030043E"/>
    <w:rsid w:val="0030088A"/>
    <w:rsid w:val="0030190B"/>
    <w:rsid w:val="00301DD8"/>
    <w:rsid w:val="0030234B"/>
    <w:rsid w:val="003026B2"/>
    <w:rsid w:val="00302A3F"/>
    <w:rsid w:val="00302FF0"/>
    <w:rsid w:val="00303350"/>
    <w:rsid w:val="00303393"/>
    <w:rsid w:val="003037E8"/>
    <w:rsid w:val="003039FF"/>
    <w:rsid w:val="00303AD6"/>
    <w:rsid w:val="00303B74"/>
    <w:rsid w:val="00304485"/>
    <w:rsid w:val="003048AB"/>
    <w:rsid w:val="00304B86"/>
    <w:rsid w:val="00304EBC"/>
    <w:rsid w:val="00304EC3"/>
    <w:rsid w:val="0030505B"/>
    <w:rsid w:val="003051F6"/>
    <w:rsid w:val="0030522F"/>
    <w:rsid w:val="003055A0"/>
    <w:rsid w:val="003057A5"/>
    <w:rsid w:val="00305F64"/>
    <w:rsid w:val="00306AC3"/>
    <w:rsid w:val="003075F3"/>
    <w:rsid w:val="00307B6D"/>
    <w:rsid w:val="00307D3C"/>
    <w:rsid w:val="00307EA9"/>
    <w:rsid w:val="00307F9B"/>
    <w:rsid w:val="00310271"/>
    <w:rsid w:val="0031082C"/>
    <w:rsid w:val="0031090A"/>
    <w:rsid w:val="00310C18"/>
    <w:rsid w:val="00310D57"/>
    <w:rsid w:val="00311741"/>
    <w:rsid w:val="00311FF1"/>
    <w:rsid w:val="00312166"/>
    <w:rsid w:val="003122C6"/>
    <w:rsid w:val="00312636"/>
    <w:rsid w:val="0031271D"/>
    <w:rsid w:val="003129B1"/>
    <w:rsid w:val="00312A54"/>
    <w:rsid w:val="003137B8"/>
    <w:rsid w:val="003138A5"/>
    <w:rsid w:val="00313A64"/>
    <w:rsid w:val="00313B75"/>
    <w:rsid w:val="00313E32"/>
    <w:rsid w:val="003143E5"/>
    <w:rsid w:val="00314D69"/>
    <w:rsid w:val="00314DE9"/>
    <w:rsid w:val="00314E9E"/>
    <w:rsid w:val="00315030"/>
    <w:rsid w:val="003155AC"/>
    <w:rsid w:val="00315C41"/>
    <w:rsid w:val="00315EBD"/>
    <w:rsid w:val="00316068"/>
    <w:rsid w:val="003162AD"/>
    <w:rsid w:val="0031765A"/>
    <w:rsid w:val="0031766A"/>
    <w:rsid w:val="003201D6"/>
    <w:rsid w:val="00320550"/>
    <w:rsid w:val="00320DF2"/>
    <w:rsid w:val="00320EE6"/>
    <w:rsid w:val="003213C8"/>
    <w:rsid w:val="00321C52"/>
    <w:rsid w:val="00321E0F"/>
    <w:rsid w:val="003227AE"/>
    <w:rsid w:val="003229D6"/>
    <w:rsid w:val="00322B1B"/>
    <w:rsid w:val="00322B58"/>
    <w:rsid w:val="00322CF8"/>
    <w:rsid w:val="003230EF"/>
    <w:rsid w:val="00323159"/>
    <w:rsid w:val="00323185"/>
    <w:rsid w:val="0032375B"/>
    <w:rsid w:val="0032400C"/>
    <w:rsid w:val="00324153"/>
    <w:rsid w:val="003241B5"/>
    <w:rsid w:val="003247E3"/>
    <w:rsid w:val="00324B8F"/>
    <w:rsid w:val="00326311"/>
    <w:rsid w:val="003266E3"/>
    <w:rsid w:val="003267AB"/>
    <w:rsid w:val="00326ED5"/>
    <w:rsid w:val="0032779B"/>
    <w:rsid w:val="003277C6"/>
    <w:rsid w:val="0032797F"/>
    <w:rsid w:val="003279B1"/>
    <w:rsid w:val="00330860"/>
    <w:rsid w:val="00330CD1"/>
    <w:rsid w:val="00330F96"/>
    <w:rsid w:val="00331402"/>
    <w:rsid w:val="00331564"/>
    <w:rsid w:val="00331C83"/>
    <w:rsid w:val="00331F43"/>
    <w:rsid w:val="00332085"/>
    <w:rsid w:val="00332112"/>
    <w:rsid w:val="00332258"/>
    <w:rsid w:val="00332651"/>
    <w:rsid w:val="00332C71"/>
    <w:rsid w:val="00332E1C"/>
    <w:rsid w:val="00332FE7"/>
    <w:rsid w:val="0033323F"/>
    <w:rsid w:val="0033326F"/>
    <w:rsid w:val="00334216"/>
    <w:rsid w:val="003346B6"/>
    <w:rsid w:val="00334FEC"/>
    <w:rsid w:val="00335234"/>
    <w:rsid w:val="00335454"/>
    <w:rsid w:val="003357A5"/>
    <w:rsid w:val="003358AC"/>
    <w:rsid w:val="00335A67"/>
    <w:rsid w:val="00335ACF"/>
    <w:rsid w:val="00335DFC"/>
    <w:rsid w:val="003369E9"/>
    <w:rsid w:val="00336AF8"/>
    <w:rsid w:val="00336D82"/>
    <w:rsid w:val="00336E00"/>
    <w:rsid w:val="00336FCE"/>
    <w:rsid w:val="003374B9"/>
    <w:rsid w:val="00337599"/>
    <w:rsid w:val="00337AE4"/>
    <w:rsid w:val="00337B87"/>
    <w:rsid w:val="00340943"/>
    <w:rsid w:val="00340D6C"/>
    <w:rsid w:val="00341201"/>
    <w:rsid w:val="0034151E"/>
    <w:rsid w:val="00341652"/>
    <w:rsid w:val="003417A1"/>
    <w:rsid w:val="00341F7B"/>
    <w:rsid w:val="0034221D"/>
    <w:rsid w:val="003428A8"/>
    <w:rsid w:val="00342971"/>
    <w:rsid w:val="00342CDD"/>
    <w:rsid w:val="003433E1"/>
    <w:rsid w:val="0034376F"/>
    <w:rsid w:val="0034379A"/>
    <w:rsid w:val="00343A75"/>
    <w:rsid w:val="00343C4C"/>
    <w:rsid w:val="003444EA"/>
    <w:rsid w:val="00344820"/>
    <w:rsid w:val="00344EC3"/>
    <w:rsid w:val="00344F4E"/>
    <w:rsid w:val="00345DA7"/>
    <w:rsid w:val="00345E28"/>
    <w:rsid w:val="00345F3F"/>
    <w:rsid w:val="003466C2"/>
    <w:rsid w:val="00346AE9"/>
    <w:rsid w:val="00346CD9"/>
    <w:rsid w:val="00346DA6"/>
    <w:rsid w:val="00346DCB"/>
    <w:rsid w:val="0034755D"/>
    <w:rsid w:val="0034781D"/>
    <w:rsid w:val="00347A7B"/>
    <w:rsid w:val="00347C78"/>
    <w:rsid w:val="00347DDA"/>
    <w:rsid w:val="00347DDC"/>
    <w:rsid w:val="0035047A"/>
    <w:rsid w:val="003506A3"/>
    <w:rsid w:val="0035073E"/>
    <w:rsid w:val="003508F5"/>
    <w:rsid w:val="00350C44"/>
    <w:rsid w:val="00350ED6"/>
    <w:rsid w:val="00351508"/>
    <w:rsid w:val="003516AB"/>
    <w:rsid w:val="00351775"/>
    <w:rsid w:val="00351CBC"/>
    <w:rsid w:val="003520F2"/>
    <w:rsid w:val="00352478"/>
    <w:rsid w:val="0035276A"/>
    <w:rsid w:val="00352844"/>
    <w:rsid w:val="00352DD2"/>
    <w:rsid w:val="00352F42"/>
    <w:rsid w:val="00353066"/>
    <w:rsid w:val="003530D0"/>
    <w:rsid w:val="003534F2"/>
    <w:rsid w:val="00353A33"/>
    <w:rsid w:val="00354081"/>
    <w:rsid w:val="00354271"/>
    <w:rsid w:val="00354501"/>
    <w:rsid w:val="0035460B"/>
    <w:rsid w:val="00355165"/>
    <w:rsid w:val="003552DE"/>
    <w:rsid w:val="003552EC"/>
    <w:rsid w:val="00355346"/>
    <w:rsid w:val="0035597C"/>
    <w:rsid w:val="00355E27"/>
    <w:rsid w:val="00356D88"/>
    <w:rsid w:val="0035733C"/>
    <w:rsid w:val="00357450"/>
    <w:rsid w:val="00357726"/>
    <w:rsid w:val="00357DB0"/>
    <w:rsid w:val="0036024D"/>
    <w:rsid w:val="003602E7"/>
    <w:rsid w:val="00360878"/>
    <w:rsid w:val="00360921"/>
    <w:rsid w:val="00361487"/>
    <w:rsid w:val="003617E9"/>
    <w:rsid w:val="00361AD2"/>
    <w:rsid w:val="003623D0"/>
    <w:rsid w:val="003625C9"/>
    <w:rsid w:val="00362655"/>
    <w:rsid w:val="00362B31"/>
    <w:rsid w:val="003630E0"/>
    <w:rsid w:val="003630E3"/>
    <w:rsid w:val="00363320"/>
    <w:rsid w:val="00363362"/>
    <w:rsid w:val="003635D6"/>
    <w:rsid w:val="0036364D"/>
    <w:rsid w:val="00363751"/>
    <w:rsid w:val="00363892"/>
    <w:rsid w:val="00363BA9"/>
    <w:rsid w:val="00363F7A"/>
    <w:rsid w:val="00364295"/>
    <w:rsid w:val="0036447E"/>
    <w:rsid w:val="003645AF"/>
    <w:rsid w:val="003646B0"/>
    <w:rsid w:val="00364B65"/>
    <w:rsid w:val="00364C67"/>
    <w:rsid w:val="0036510A"/>
    <w:rsid w:val="003656F1"/>
    <w:rsid w:val="003659B6"/>
    <w:rsid w:val="003662D4"/>
    <w:rsid w:val="0036650E"/>
    <w:rsid w:val="0036682B"/>
    <w:rsid w:val="0036699E"/>
    <w:rsid w:val="00366D2A"/>
    <w:rsid w:val="00366D35"/>
    <w:rsid w:val="003672B7"/>
    <w:rsid w:val="00367842"/>
    <w:rsid w:val="00370778"/>
    <w:rsid w:val="00370DCA"/>
    <w:rsid w:val="00370EB6"/>
    <w:rsid w:val="003714E8"/>
    <w:rsid w:val="003715A2"/>
    <w:rsid w:val="0037202E"/>
    <w:rsid w:val="00372319"/>
    <w:rsid w:val="00372368"/>
    <w:rsid w:val="003739FC"/>
    <w:rsid w:val="00373ED7"/>
    <w:rsid w:val="00373F6B"/>
    <w:rsid w:val="003742E8"/>
    <w:rsid w:val="0037471D"/>
    <w:rsid w:val="003749B0"/>
    <w:rsid w:val="00374C56"/>
    <w:rsid w:val="00375811"/>
    <w:rsid w:val="0037600D"/>
    <w:rsid w:val="003760B4"/>
    <w:rsid w:val="00376716"/>
    <w:rsid w:val="0037686F"/>
    <w:rsid w:val="00376C06"/>
    <w:rsid w:val="00376CE0"/>
    <w:rsid w:val="00376D17"/>
    <w:rsid w:val="00377031"/>
    <w:rsid w:val="00377691"/>
    <w:rsid w:val="003779B7"/>
    <w:rsid w:val="00377ACB"/>
    <w:rsid w:val="00377B2E"/>
    <w:rsid w:val="00377BBF"/>
    <w:rsid w:val="00377D23"/>
    <w:rsid w:val="0038003F"/>
    <w:rsid w:val="00380240"/>
    <w:rsid w:val="00380684"/>
    <w:rsid w:val="003812C2"/>
    <w:rsid w:val="0038131C"/>
    <w:rsid w:val="00381419"/>
    <w:rsid w:val="00381550"/>
    <w:rsid w:val="00381751"/>
    <w:rsid w:val="003825B1"/>
    <w:rsid w:val="00382674"/>
    <w:rsid w:val="00382C4F"/>
    <w:rsid w:val="00382DFD"/>
    <w:rsid w:val="003830F2"/>
    <w:rsid w:val="003831BB"/>
    <w:rsid w:val="00383416"/>
    <w:rsid w:val="0038342A"/>
    <w:rsid w:val="0038386C"/>
    <w:rsid w:val="00383932"/>
    <w:rsid w:val="00383AEB"/>
    <w:rsid w:val="00384595"/>
    <w:rsid w:val="003847F8"/>
    <w:rsid w:val="00384DCF"/>
    <w:rsid w:val="003851B8"/>
    <w:rsid w:val="0038543F"/>
    <w:rsid w:val="0038587C"/>
    <w:rsid w:val="003858E3"/>
    <w:rsid w:val="00385B90"/>
    <w:rsid w:val="00386C51"/>
    <w:rsid w:val="00386D0F"/>
    <w:rsid w:val="003870C7"/>
    <w:rsid w:val="00387279"/>
    <w:rsid w:val="003873EC"/>
    <w:rsid w:val="0038758C"/>
    <w:rsid w:val="003877FA"/>
    <w:rsid w:val="00387B14"/>
    <w:rsid w:val="0039050A"/>
    <w:rsid w:val="003907B7"/>
    <w:rsid w:val="00390A71"/>
    <w:rsid w:val="00390BBB"/>
    <w:rsid w:val="00391051"/>
    <w:rsid w:val="00391722"/>
    <w:rsid w:val="003918C2"/>
    <w:rsid w:val="00391D3E"/>
    <w:rsid w:val="003923C9"/>
    <w:rsid w:val="003929B9"/>
    <w:rsid w:val="0039302C"/>
    <w:rsid w:val="003930E4"/>
    <w:rsid w:val="00393B51"/>
    <w:rsid w:val="00393D3F"/>
    <w:rsid w:val="00393D4D"/>
    <w:rsid w:val="00394791"/>
    <w:rsid w:val="0039486E"/>
    <w:rsid w:val="00394C0D"/>
    <w:rsid w:val="00395136"/>
    <w:rsid w:val="00395D05"/>
    <w:rsid w:val="00395D07"/>
    <w:rsid w:val="003961E3"/>
    <w:rsid w:val="0039625A"/>
    <w:rsid w:val="00396DE8"/>
    <w:rsid w:val="00396E03"/>
    <w:rsid w:val="003970CA"/>
    <w:rsid w:val="00397213"/>
    <w:rsid w:val="003974F3"/>
    <w:rsid w:val="003977A3"/>
    <w:rsid w:val="00397B3F"/>
    <w:rsid w:val="00397E52"/>
    <w:rsid w:val="003A050D"/>
    <w:rsid w:val="003A0C00"/>
    <w:rsid w:val="003A0E36"/>
    <w:rsid w:val="003A1006"/>
    <w:rsid w:val="003A117A"/>
    <w:rsid w:val="003A1251"/>
    <w:rsid w:val="003A13A2"/>
    <w:rsid w:val="003A14E4"/>
    <w:rsid w:val="003A17C9"/>
    <w:rsid w:val="003A1870"/>
    <w:rsid w:val="003A2151"/>
    <w:rsid w:val="003A2214"/>
    <w:rsid w:val="003A2282"/>
    <w:rsid w:val="003A2290"/>
    <w:rsid w:val="003A2350"/>
    <w:rsid w:val="003A265D"/>
    <w:rsid w:val="003A36FC"/>
    <w:rsid w:val="003A3841"/>
    <w:rsid w:val="003A3DF1"/>
    <w:rsid w:val="003A3EA7"/>
    <w:rsid w:val="003A3F2C"/>
    <w:rsid w:val="003A3F86"/>
    <w:rsid w:val="003A3FE5"/>
    <w:rsid w:val="003A4BAE"/>
    <w:rsid w:val="003A518A"/>
    <w:rsid w:val="003A5674"/>
    <w:rsid w:val="003A577F"/>
    <w:rsid w:val="003A5977"/>
    <w:rsid w:val="003A61A8"/>
    <w:rsid w:val="003A6CD3"/>
    <w:rsid w:val="003A7944"/>
    <w:rsid w:val="003A7D08"/>
    <w:rsid w:val="003A7FE6"/>
    <w:rsid w:val="003B030F"/>
    <w:rsid w:val="003B0761"/>
    <w:rsid w:val="003B076F"/>
    <w:rsid w:val="003B0AB5"/>
    <w:rsid w:val="003B0C3B"/>
    <w:rsid w:val="003B0E7D"/>
    <w:rsid w:val="003B1520"/>
    <w:rsid w:val="003B1525"/>
    <w:rsid w:val="003B1AFF"/>
    <w:rsid w:val="003B1CD3"/>
    <w:rsid w:val="003B1D02"/>
    <w:rsid w:val="003B1D7D"/>
    <w:rsid w:val="003B1EF7"/>
    <w:rsid w:val="003B220C"/>
    <w:rsid w:val="003B2492"/>
    <w:rsid w:val="003B2805"/>
    <w:rsid w:val="003B2C01"/>
    <w:rsid w:val="003B2C2C"/>
    <w:rsid w:val="003B2F20"/>
    <w:rsid w:val="003B2F26"/>
    <w:rsid w:val="003B36AC"/>
    <w:rsid w:val="003B384A"/>
    <w:rsid w:val="003B3E1E"/>
    <w:rsid w:val="003B3F7F"/>
    <w:rsid w:val="003B40B4"/>
    <w:rsid w:val="003B4338"/>
    <w:rsid w:val="003B4529"/>
    <w:rsid w:val="003B45B0"/>
    <w:rsid w:val="003B4643"/>
    <w:rsid w:val="003B4962"/>
    <w:rsid w:val="003B4C8E"/>
    <w:rsid w:val="003B53D3"/>
    <w:rsid w:val="003B573B"/>
    <w:rsid w:val="003B574D"/>
    <w:rsid w:val="003B5B18"/>
    <w:rsid w:val="003B5E91"/>
    <w:rsid w:val="003B635A"/>
    <w:rsid w:val="003B6BED"/>
    <w:rsid w:val="003B6C70"/>
    <w:rsid w:val="003B6EA9"/>
    <w:rsid w:val="003B7026"/>
    <w:rsid w:val="003B7C67"/>
    <w:rsid w:val="003B7D50"/>
    <w:rsid w:val="003B7E52"/>
    <w:rsid w:val="003C017E"/>
    <w:rsid w:val="003C06C4"/>
    <w:rsid w:val="003C08FC"/>
    <w:rsid w:val="003C097F"/>
    <w:rsid w:val="003C1208"/>
    <w:rsid w:val="003C1441"/>
    <w:rsid w:val="003C14F9"/>
    <w:rsid w:val="003C1B9D"/>
    <w:rsid w:val="003C1BBD"/>
    <w:rsid w:val="003C1CC5"/>
    <w:rsid w:val="003C25CD"/>
    <w:rsid w:val="003C292B"/>
    <w:rsid w:val="003C2F54"/>
    <w:rsid w:val="003C3836"/>
    <w:rsid w:val="003C3A33"/>
    <w:rsid w:val="003C3B3F"/>
    <w:rsid w:val="003C44CC"/>
    <w:rsid w:val="003C47CE"/>
    <w:rsid w:val="003C48A9"/>
    <w:rsid w:val="003C48AB"/>
    <w:rsid w:val="003C4BDA"/>
    <w:rsid w:val="003C4DED"/>
    <w:rsid w:val="003C4EEE"/>
    <w:rsid w:val="003C56AF"/>
    <w:rsid w:val="003C5803"/>
    <w:rsid w:val="003C6B1B"/>
    <w:rsid w:val="003C6D66"/>
    <w:rsid w:val="003C7630"/>
    <w:rsid w:val="003C7A67"/>
    <w:rsid w:val="003C7D1B"/>
    <w:rsid w:val="003D0ACE"/>
    <w:rsid w:val="003D161B"/>
    <w:rsid w:val="003D17D8"/>
    <w:rsid w:val="003D1848"/>
    <w:rsid w:val="003D19F9"/>
    <w:rsid w:val="003D1C2B"/>
    <w:rsid w:val="003D21BE"/>
    <w:rsid w:val="003D25ED"/>
    <w:rsid w:val="003D28BD"/>
    <w:rsid w:val="003D2CD5"/>
    <w:rsid w:val="003D2D9F"/>
    <w:rsid w:val="003D2E1C"/>
    <w:rsid w:val="003D30AC"/>
    <w:rsid w:val="003D33F5"/>
    <w:rsid w:val="003D4770"/>
    <w:rsid w:val="003D513E"/>
    <w:rsid w:val="003D52BE"/>
    <w:rsid w:val="003D560D"/>
    <w:rsid w:val="003D615C"/>
    <w:rsid w:val="003D64AC"/>
    <w:rsid w:val="003D6539"/>
    <w:rsid w:val="003D6F1B"/>
    <w:rsid w:val="003D7233"/>
    <w:rsid w:val="003D770B"/>
    <w:rsid w:val="003D773B"/>
    <w:rsid w:val="003D77A5"/>
    <w:rsid w:val="003D78BB"/>
    <w:rsid w:val="003E02DD"/>
    <w:rsid w:val="003E05F3"/>
    <w:rsid w:val="003E06FC"/>
    <w:rsid w:val="003E0CD5"/>
    <w:rsid w:val="003E14E7"/>
    <w:rsid w:val="003E17C2"/>
    <w:rsid w:val="003E18FD"/>
    <w:rsid w:val="003E1A37"/>
    <w:rsid w:val="003E2081"/>
    <w:rsid w:val="003E2087"/>
    <w:rsid w:val="003E22BD"/>
    <w:rsid w:val="003E2A9A"/>
    <w:rsid w:val="003E2BD1"/>
    <w:rsid w:val="003E399B"/>
    <w:rsid w:val="003E3B7C"/>
    <w:rsid w:val="003E3B8B"/>
    <w:rsid w:val="003E42DF"/>
    <w:rsid w:val="003E457C"/>
    <w:rsid w:val="003E477B"/>
    <w:rsid w:val="003E4A85"/>
    <w:rsid w:val="003E50B6"/>
    <w:rsid w:val="003E5238"/>
    <w:rsid w:val="003E5560"/>
    <w:rsid w:val="003E5695"/>
    <w:rsid w:val="003E57B1"/>
    <w:rsid w:val="003E584F"/>
    <w:rsid w:val="003E5B51"/>
    <w:rsid w:val="003E5D1D"/>
    <w:rsid w:val="003E5D2A"/>
    <w:rsid w:val="003E5E29"/>
    <w:rsid w:val="003E6417"/>
    <w:rsid w:val="003E6717"/>
    <w:rsid w:val="003E6E80"/>
    <w:rsid w:val="003E7764"/>
    <w:rsid w:val="003E7F5A"/>
    <w:rsid w:val="003F0B3C"/>
    <w:rsid w:val="003F0C5A"/>
    <w:rsid w:val="003F0DEB"/>
    <w:rsid w:val="003F11B5"/>
    <w:rsid w:val="003F14CC"/>
    <w:rsid w:val="003F1B38"/>
    <w:rsid w:val="003F1DD9"/>
    <w:rsid w:val="003F223B"/>
    <w:rsid w:val="003F22A7"/>
    <w:rsid w:val="003F361C"/>
    <w:rsid w:val="003F3A30"/>
    <w:rsid w:val="003F3CEC"/>
    <w:rsid w:val="003F3D11"/>
    <w:rsid w:val="003F3F99"/>
    <w:rsid w:val="003F4863"/>
    <w:rsid w:val="003F4893"/>
    <w:rsid w:val="003F49EB"/>
    <w:rsid w:val="003F4D53"/>
    <w:rsid w:val="003F4E7B"/>
    <w:rsid w:val="003F5639"/>
    <w:rsid w:val="003F56A8"/>
    <w:rsid w:val="003F5E6C"/>
    <w:rsid w:val="003F614A"/>
    <w:rsid w:val="003F6487"/>
    <w:rsid w:val="003F6511"/>
    <w:rsid w:val="003F6BDC"/>
    <w:rsid w:val="003F6CD8"/>
    <w:rsid w:val="003F6D10"/>
    <w:rsid w:val="003F6E7D"/>
    <w:rsid w:val="003F734A"/>
    <w:rsid w:val="003F74A5"/>
    <w:rsid w:val="003F74C8"/>
    <w:rsid w:val="003F7809"/>
    <w:rsid w:val="00400F9C"/>
    <w:rsid w:val="00401505"/>
    <w:rsid w:val="004018F1"/>
    <w:rsid w:val="00401933"/>
    <w:rsid w:val="00401A73"/>
    <w:rsid w:val="00401CBA"/>
    <w:rsid w:val="00401D25"/>
    <w:rsid w:val="00401D27"/>
    <w:rsid w:val="00401ED6"/>
    <w:rsid w:val="004020F3"/>
    <w:rsid w:val="00402141"/>
    <w:rsid w:val="00402420"/>
    <w:rsid w:val="004025BF"/>
    <w:rsid w:val="00402C58"/>
    <w:rsid w:val="0040351E"/>
    <w:rsid w:val="0040359C"/>
    <w:rsid w:val="00403783"/>
    <w:rsid w:val="00404073"/>
    <w:rsid w:val="00404096"/>
    <w:rsid w:val="00404B2C"/>
    <w:rsid w:val="00404BA0"/>
    <w:rsid w:val="0040523B"/>
    <w:rsid w:val="004053AA"/>
    <w:rsid w:val="004058DA"/>
    <w:rsid w:val="00405905"/>
    <w:rsid w:val="00405963"/>
    <w:rsid w:val="00405A4B"/>
    <w:rsid w:val="00405D4C"/>
    <w:rsid w:val="004065D7"/>
    <w:rsid w:val="0040672B"/>
    <w:rsid w:val="00406E02"/>
    <w:rsid w:val="00406F3C"/>
    <w:rsid w:val="004075CE"/>
    <w:rsid w:val="004077BD"/>
    <w:rsid w:val="004078B0"/>
    <w:rsid w:val="00407978"/>
    <w:rsid w:val="00407D29"/>
    <w:rsid w:val="00407E9B"/>
    <w:rsid w:val="00410376"/>
    <w:rsid w:val="004105EC"/>
    <w:rsid w:val="004106ED"/>
    <w:rsid w:val="0041090D"/>
    <w:rsid w:val="00410977"/>
    <w:rsid w:val="00410B07"/>
    <w:rsid w:val="00410BEC"/>
    <w:rsid w:val="0041103D"/>
    <w:rsid w:val="0041201D"/>
    <w:rsid w:val="004120EB"/>
    <w:rsid w:val="004123A4"/>
    <w:rsid w:val="00412449"/>
    <w:rsid w:val="004124B7"/>
    <w:rsid w:val="00412A73"/>
    <w:rsid w:val="00413355"/>
    <w:rsid w:val="004135B3"/>
    <w:rsid w:val="00413BB7"/>
    <w:rsid w:val="00413EE2"/>
    <w:rsid w:val="004141CF"/>
    <w:rsid w:val="004155C8"/>
    <w:rsid w:val="004158A8"/>
    <w:rsid w:val="004159BF"/>
    <w:rsid w:val="00415B87"/>
    <w:rsid w:val="00415C52"/>
    <w:rsid w:val="00415DE2"/>
    <w:rsid w:val="0041602E"/>
    <w:rsid w:val="0041679A"/>
    <w:rsid w:val="004167F6"/>
    <w:rsid w:val="00416911"/>
    <w:rsid w:val="004169B9"/>
    <w:rsid w:val="00416A32"/>
    <w:rsid w:val="004175B6"/>
    <w:rsid w:val="00417714"/>
    <w:rsid w:val="00417BB4"/>
    <w:rsid w:val="00417C33"/>
    <w:rsid w:val="00417D16"/>
    <w:rsid w:val="00417E1D"/>
    <w:rsid w:val="00417ECD"/>
    <w:rsid w:val="00420545"/>
    <w:rsid w:val="00420620"/>
    <w:rsid w:val="00420AA9"/>
    <w:rsid w:val="00420AF5"/>
    <w:rsid w:val="00420CB5"/>
    <w:rsid w:val="00420F56"/>
    <w:rsid w:val="004213C5"/>
    <w:rsid w:val="00421675"/>
    <w:rsid w:val="00421903"/>
    <w:rsid w:val="00421A65"/>
    <w:rsid w:val="00421A7F"/>
    <w:rsid w:val="00421C4D"/>
    <w:rsid w:val="00421D7E"/>
    <w:rsid w:val="00421ED1"/>
    <w:rsid w:val="00422146"/>
    <w:rsid w:val="00422303"/>
    <w:rsid w:val="00422ED6"/>
    <w:rsid w:val="004239FF"/>
    <w:rsid w:val="00423A39"/>
    <w:rsid w:val="00423C08"/>
    <w:rsid w:val="004243F9"/>
    <w:rsid w:val="004244D4"/>
    <w:rsid w:val="00424647"/>
    <w:rsid w:val="00424901"/>
    <w:rsid w:val="00425437"/>
    <w:rsid w:val="004256B4"/>
    <w:rsid w:val="00425724"/>
    <w:rsid w:val="00425ABD"/>
    <w:rsid w:val="00425AC0"/>
    <w:rsid w:val="00425AED"/>
    <w:rsid w:val="00425DA0"/>
    <w:rsid w:val="00425E97"/>
    <w:rsid w:val="0042609B"/>
    <w:rsid w:val="00426210"/>
    <w:rsid w:val="00426B1C"/>
    <w:rsid w:val="00426B82"/>
    <w:rsid w:val="00426F10"/>
    <w:rsid w:val="004279EA"/>
    <w:rsid w:val="00427ED8"/>
    <w:rsid w:val="00427FF2"/>
    <w:rsid w:val="004302A9"/>
    <w:rsid w:val="00430489"/>
    <w:rsid w:val="004309C8"/>
    <w:rsid w:val="00430B6C"/>
    <w:rsid w:val="00430B7F"/>
    <w:rsid w:val="00430EA4"/>
    <w:rsid w:val="00430EE0"/>
    <w:rsid w:val="00430F36"/>
    <w:rsid w:val="00431975"/>
    <w:rsid w:val="00431E4B"/>
    <w:rsid w:val="00431E54"/>
    <w:rsid w:val="00432327"/>
    <w:rsid w:val="004323D0"/>
    <w:rsid w:val="00432932"/>
    <w:rsid w:val="0043296B"/>
    <w:rsid w:val="00432A85"/>
    <w:rsid w:val="00432A8E"/>
    <w:rsid w:val="00432B6E"/>
    <w:rsid w:val="00432E67"/>
    <w:rsid w:val="00432E68"/>
    <w:rsid w:val="00433739"/>
    <w:rsid w:val="00433B94"/>
    <w:rsid w:val="00433F34"/>
    <w:rsid w:val="00434015"/>
    <w:rsid w:val="00434061"/>
    <w:rsid w:val="00434325"/>
    <w:rsid w:val="0043456C"/>
    <w:rsid w:val="00434932"/>
    <w:rsid w:val="004349F7"/>
    <w:rsid w:val="00434D0D"/>
    <w:rsid w:val="00434EDE"/>
    <w:rsid w:val="004350BA"/>
    <w:rsid w:val="00435391"/>
    <w:rsid w:val="004356A8"/>
    <w:rsid w:val="00435802"/>
    <w:rsid w:val="004358FA"/>
    <w:rsid w:val="00435A1B"/>
    <w:rsid w:val="00435D51"/>
    <w:rsid w:val="00436758"/>
    <w:rsid w:val="00436860"/>
    <w:rsid w:val="00436BBA"/>
    <w:rsid w:val="00436D25"/>
    <w:rsid w:val="00437253"/>
    <w:rsid w:val="004375A1"/>
    <w:rsid w:val="00437D17"/>
    <w:rsid w:val="004404A2"/>
    <w:rsid w:val="00440926"/>
    <w:rsid w:val="00440CA4"/>
    <w:rsid w:val="00440F98"/>
    <w:rsid w:val="004416A0"/>
    <w:rsid w:val="00441AF8"/>
    <w:rsid w:val="00441B06"/>
    <w:rsid w:val="00441C7C"/>
    <w:rsid w:val="004423DE"/>
    <w:rsid w:val="004429D3"/>
    <w:rsid w:val="00442A1A"/>
    <w:rsid w:val="00442C1F"/>
    <w:rsid w:val="00442DCC"/>
    <w:rsid w:val="00443AEA"/>
    <w:rsid w:val="00443DAD"/>
    <w:rsid w:val="00443DC1"/>
    <w:rsid w:val="0044408A"/>
    <w:rsid w:val="00444495"/>
    <w:rsid w:val="00444508"/>
    <w:rsid w:val="00444509"/>
    <w:rsid w:val="00445096"/>
    <w:rsid w:val="0044536C"/>
    <w:rsid w:val="00445516"/>
    <w:rsid w:val="004459F5"/>
    <w:rsid w:val="00445DEB"/>
    <w:rsid w:val="00445FBF"/>
    <w:rsid w:val="004461DD"/>
    <w:rsid w:val="0044666B"/>
    <w:rsid w:val="0044694C"/>
    <w:rsid w:val="00446A13"/>
    <w:rsid w:val="00446AD8"/>
    <w:rsid w:val="00446E21"/>
    <w:rsid w:val="004471A2"/>
    <w:rsid w:val="004474D4"/>
    <w:rsid w:val="00447576"/>
    <w:rsid w:val="004476DA"/>
    <w:rsid w:val="00447A29"/>
    <w:rsid w:val="00447C97"/>
    <w:rsid w:val="00447EA3"/>
    <w:rsid w:val="00450DD9"/>
    <w:rsid w:val="00450FD5"/>
    <w:rsid w:val="00451137"/>
    <w:rsid w:val="0045113B"/>
    <w:rsid w:val="004514A2"/>
    <w:rsid w:val="00451FAA"/>
    <w:rsid w:val="00452F7A"/>
    <w:rsid w:val="004535F3"/>
    <w:rsid w:val="00453AA8"/>
    <w:rsid w:val="004541EE"/>
    <w:rsid w:val="004541FD"/>
    <w:rsid w:val="00454712"/>
    <w:rsid w:val="0045489F"/>
    <w:rsid w:val="004549A2"/>
    <w:rsid w:val="00454AF8"/>
    <w:rsid w:val="00454BC1"/>
    <w:rsid w:val="00454D1F"/>
    <w:rsid w:val="00455083"/>
    <w:rsid w:val="0045558E"/>
    <w:rsid w:val="0045580C"/>
    <w:rsid w:val="004559EF"/>
    <w:rsid w:val="00455B62"/>
    <w:rsid w:val="00456748"/>
    <w:rsid w:val="004567AC"/>
    <w:rsid w:val="00457730"/>
    <w:rsid w:val="00457ACC"/>
    <w:rsid w:val="004600F6"/>
    <w:rsid w:val="00460457"/>
    <w:rsid w:val="00460B08"/>
    <w:rsid w:val="00460D19"/>
    <w:rsid w:val="00461421"/>
    <w:rsid w:val="004616B6"/>
    <w:rsid w:val="004617BA"/>
    <w:rsid w:val="00461E39"/>
    <w:rsid w:val="00461E41"/>
    <w:rsid w:val="00462842"/>
    <w:rsid w:val="0046299E"/>
    <w:rsid w:val="00462C08"/>
    <w:rsid w:val="0046332B"/>
    <w:rsid w:val="004639FB"/>
    <w:rsid w:val="00463A00"/>
    <w:rsid w:val="00463A4F"/>
    <w:rsid w:val="00464124"/>
    <w:rsid w:val="004643BC"/>
    <w:rsid w:val="0046482D"/>
    <w:rsid w:val="00464EF5"/>
    <w:rsid w:val="00464F80"/>
    <w:rsid w:val="00464FF5"/>
    <w:rsid w:val="00464FFD"/>
    <w:rsid w:val="004651F3"/>
    <w:rsid w:val="004656C0"/>
    <w:rsid w:val="00465E50"/>
    <w:rsid w:val="00465EB9"/>
    <w:rsid w:val="00465FDA"/>
    <w:rsid w:val="00466BDF"/>
    <w:rsid w:val="004676F6"/>
    <w:rsid w:val="00467A80"/>
    <w:rsid w:val="0047006B"/>
    <w:rsid w:val="0047052B"/>
    <w:rsid w:val="00470817"/>
    <w:rsid w:val="00470865"/>
    <w:rsid w:val="00470A44"/>
    <w:rsid w:val="00470E31"/>
    <w:rsid w:val="00470EB6"/>
    <w:rsid w:val="0047136E"/>
    <w:rsid w:val="004713E7"/>
    <w:rsid w:val="0047143B"/>
    <w:rsid w:val="00471561"/>
    <w:rsid w:val="00471613"/>
    <w:rsid w:val="00471A4D"/>
    <w:rsid w:val="00471AB2"/>
    <w:rsid w:val="00471AB7"/>
    <w:rsid w:val="00471E45"/>
    <w:rsid w:val="00471E6F"/>
    <w:rsid w:val="00472254"/>
    <w:rsid w:val="004723FC"/>
    <w:rsid w:val="00472862"/>
    <w:rsid w:val="004730F6"/>
    <w:rsid w:val="004732E0"/>
    <w:rsid w:val="00473874"/>
    <w:rsid w:val="00474027"/>
    <w:rsid w:val="004742D9"/>
    <w:rsid w:val="00474822"/>
    <w:rsid w:val="004748AB"/>
    <w:rsid w:val="00474945"/>
    <w:rsid w:val="00474DE1"/>
    <w:rsid w:val="00474E36"/>
    <w:rsid w:val="0047567C"/>
    <w:rsid w:val="004756C6"/>
    <w:rsid w:val="00475B31"/>
    <w:rsid w:val="00475EF0"/>
    <w:rsid w:val="00476048"/>
    <w:rsid w:val="0047614F"/>
    <w:rsid w:val="00476711"/>
    <w:rsid w:val="00477A5B"/>
    <w:rsid w:val="004806DB"/>
    <w:rsid w:val="004809D1"/>
    <w:rsid w:val="00480FF9"/>
    <w:rsid w:val="004810CF"/>
    <w:rsid w:val="00481340"/>
    <w:rsid w:val="004814B3"/>
    <w:rsid w:val="004818A1"/>
    <w:rsid w:val="004818D5"/>
    <w:rsid w:val="00482448"/>
    <w:rsid w:val="00482465"/>
    <w:rsid w:val="004826CF"/>
    <w:rsid w:val="004828B2"/>
    <w:rsid w:val="00482C3D"/>
    <w:rsid w:val="00482DD6"/>
    <w:rsid w:val="00482DFE"/>
    <w:rsid w:val="00482FFB"/>
    <w:rsid w:val="004830AA"/>
    <w:rsid w:val="004835A5"/>
    <w:rsid w:val="00483740"/>
    <w:rsid w:val="00483858"/>
    <w:rsid w:val="00483AF3"/>
    <w:rsid w:val="00483B5E"/>
    <w:rsid w:val="00483E9E"/>
    <w:rsid w:val="00484066"/>
    <w:rsid w:val="00484276"/>
    <w:rsid w:val="00484A4E"/>
    <w:rsid w:val="00484ABB"/>
    <w:rsid w:val="00484F00"/>
    <w:rsid w:val="00485453"/>
    <w:rsid w:val="0048546D"/>
    <w:rsid w:val="00485A12"/>
    <w:rsid w:val="00485CF8"/>
    <w:rsid w:val="0048614A"/>
    <w:rsid w:val="00486649"/>
    <w:rsid w:val="0048665A"/>
    <w:rsid w:val="0048666F"/>
    <w:rsid w:val="004868BD"/>
    <w:rsid w:val="00486F36"/>
    <w:rsid w:val="004871D6"/>
    <w:rsid w:val="004902DC"/>
    <w:rsid w:val="004903B1"/>
    <w:rsid w:val="00490A4A"/>
    <w:rsid w:val="00490BD2"/>
    <w:rsid w:val="00491072"/>
    <w:rsid w:val="0049192C"/>
    <w:rsid w:val="00491BE4"/>
    <w:rsid w:val="00491D4B"/>
    <w:rsid w:val="00491F82"/>
    <w:rsid w:val="0049220C"/>
    <w:rsid w:val="00492783"/>
    <w:rsid w:val="0049283C"/>
    <w:rsid w:val="00493428"/>
    <w:rsid w:val="0049365E"/>
    <w:rsid w:val="00493C5A"/>
    <w:rsid w:val="00493FBF"/>
    <w:rsid w:val="004942B5"/>
    <w:rsid w:val="00494DAD"/>
    <w:rsid w:val="004959DC"/>
    <w:rsid w:val="00495A78"/>
    <w:rsid w:val="00495FFC"/>
    <w:rsid w:val="0049623F"/>
    <w:rsid w:val="004964F6"/>
    <w:rsid w:val="0049652D"/>
    <w:rsid w:val="004967C5"/>
    <w:rsid w:val="004973CB"/>
    <w:rsid w:val="004975D3"/>
    <w:rsid w:val="004A13A5"/>
    <w:rsid w:val="004A1ED3"/>
    <w:rsid w:val="004A2072"/>
    <w:rsid w:val="004A211E"/>
    <w:rsid w:val="004A294B"/>
    <w:rsid w:val="004A2E90"/>
    <w:rsid w:val="004A3338"/>
    <w:rsid w:val="004A35C3"/>
    <w:rsid w:val="004A38A4"/>
    <w:rsid w:val="004A3B43"/>
    <w:rsid w:val="004A4236"/>
    <w:rsid w:val="004A42C5"/>
    <w:rsid w:val="004A446A"/>
    <w:rsid w:val="004A52D6"/>
    <w:rsid w:val="004A533E"/>
    <w:rsid w:val="004A5940"/>
    <w:rsid w:val="004A5A79"/>
    <w:rsid w:val="004A627E"/>
    <w:rsid w:val="004A6374"/>
    <w:rsid w:val="004A6626"/>
    <w:rsid w:val="004A6663"/>
    <w:rsid w:val="004A6853"/>
    <w:rsid w:val="004A68A5"/>
    <w:rsid w:val="004A6D0F"/>
    <w:rsid w:val="004A6FC8"/>
    <w:rsid w:val="004A764F"/>
    <w:rsid w:val="004A7B02"/>
    <w:rsid w:val="004A7B47"/>
    <w:rsid w:val="004A7B8D"/>
    <w:rsid w:val="004B0131"/>
    <w:rsid w:val="004B022E"/>
    <w:rsid w:val="004B062D"/>
    <w:rsid w:val="004B07E8"/>
    <w:rsid w:val="004B0CFF"/>
    <w:rsid w:val="004B0EA3"/>
    <w:rsid w:val="004B111F"/>
    <w:rsid w:val="004B2CA3"/>
    <w:rsid w:val="004B33E4"/>
    <w:rsid w:val="004B3538"/>
    <w:rsid w:val="004B35E9"/>
    <w:rsid w:val="004B36DA"/>
    <w:rsid w:val="004B3A98"/>
    <w:rsid w:val="004B3BF8"/>
    <w:rsid w:val="004B4635"/>
    <w:rsid w:val="004B49EC"/>
    <w:rsid w:val="004B5039"/>
    <w:rsid w:val="004B5045"/>
    <w:rsid w:val="004B5573"/>
    <w:rsid w:val="004B561B"/>
    <w:rsid w:val="004B5A8F"/>
    <w:rsid w:val="004B60B9"/>
    <w:rsid w:val="004B6362"/>
    <w:rsid w:val="004B6FB0"/>
    <w:rsid w:val="004B72C1"/>
    <w:rsid w:val="004C02F1"/>
    <w:rsid w:val="004C0362"/>
    <w:rsid w:val="004C0BCE"/>
    <w:rsid w:val="004C0C66"/>
    <w:rsid w:val="004C0D32"/>
    <w:rsid w:val="004C0F9B"/>
    <w:rsid w:val="004C120F"/>
    <w:rsid w:val="004C1282"/>
    <w:rsid w:val="004C1AC5"/>
    <w:rsid w:val="004C1E26"/>
    <w:rsid w:val="004C1FC2"/>
    <w:rsid w:val="004C2078"/>
    <w:rsid w:val="004C2102"/>
    <w:rsid w:val="004C23A0"/>
    <w:rsid w:val="004C2741"/>
    <w:rsid w:val="004C28FA"/>
    <w:rsid w:val="004C30CB"/>
    <w:rsid w:val="004C3A36"/>
    <w:rsid w:val="004C3D63"/>
    <w:rsid w:val="004C412C"/>
    <w:rsid w:val="004C4219"/>
    <w:rsid w:val="004C4C21"/>
    <w:rsid w:val="004C4E18"/>
    <w:rsid w:val="004C525C"/>
    <w:rsid w:val="004C52F9"/>
    <w:rsid w:val="004C5631"/>
    <w:rsid w:val="004C575E"/>
    <w:rsid w:val="004C589A"/>
    <w:rsid w:val="004C5984"/>
    <w:rsid w:val="004C5CE8"/>
    <w:rsid w:val="004C61A1"/>
    <w:rsid w:val="004C6290"/>
    <w:rsid w:val="004C66C7"/>
    <w:rsid w:val="004C6D71"/>
    <w:rsid w:val="004C6E82"/>
    <w:rsid w:val="004C6F2C"/>
    <w:rsid w:val="004C75F5"/>
    <w:rsid w:val="004C77EE"/>
    <w:rsid w:val="004D03D9"/>
    <w:rsid w:val="004D07F6"/>
    <w:rsid w:val="004D0A7F"/>
    <w:rsid w:val="004D11BC"/>
    <w:rsid w:val="004D1ED3"/>
    <w:rsid w:val="004D1F46"/>
    <w:rsid w:val="004D2648"/>
    <w:rsid w:val="004D273F"/>
    <w:rsid w:val="004D291C"/>
    <w:rsid w:val="004D34CA"/>
    <w:rsid w:val="004D3724"/>
    <w:rsid w:val="004D4106"/>
    <w:rsid w:val="004D4529"/>
    <w:rsid w:val="004D487E"/>
    <w:rsid w:val="004D4ACB"/>
    <w:rsid w:val="004D4EE1"/>
    <w:rsid w:val="004D51FA"/>
    <w:rsid w:val="004D55F2"/>
    <w:rsid w:val="004D5867"/>
    <w:rsid w:val="004D587F"/>
    <w:rsid w:val="004D5BB2"/>
    <w:rsid w:val="004D5D1A"/>
    <w:rsid w:val="004D5D79"/>
    <w:rsid w:val="004D600D"/>
    <w:rsid w:val="004D6A6F"/>
    <w:rsid w:val="004D6AEA"/>
    <w:rsid w:val="004D79B1"/>
    <w:rsid w:val="004D7D67"/>
    <w:rsid w:val="004E0357"/>
    <w:rsid w:val="004E0770"/>
    <w:rsid w:val="004E0A8C"/>
    <w:rsid w:val="004E0EA4"/>
    <w:rsid w:val="004E111C"/>
    <w:rsid w:val="004E18AB"/>
    <w:rsid w:val="004E276C"/>
    <w:rsid w:val="004E27A6"/>
    <w:rsid w:val="004E30F7"/>
    <w:rsid w:val="004E33B0"/>
    <w:rsid w:val="004E3690"/>
    <w:rsid w:val="004E427E"/>
    <w:rsid w:val="004E4484"/>
    <w:rsid w:val="004E4626"/>
    <w:rsid w:val="004E46F6"/>
    <w:rsid w:val="004E4733"/>
    <w:rsid w:val="004E4797"/>
    <w:rsid w:val="004E49C7"/>
    <w:rsid w:val="004E4B1D"/>
    <w:rsid w:val="004E50E3"/>
    <w:rsid w:val="004E5180"/>
    <w:rsid w:val="004E5438"/>
    <w:rsid w:val="004E5688"/>
    <w:rsid w:val="004E5B05"/>
    <w:rsid w:val="004E5BE2"/>
    <w:rsid w:val="004E6686"/>
    <w:rsid w:val="004E6C70"/>
    <w:rsid w:val="004E6F1C"/>
    <w:rsid w:val="004E71BF"/>
    <w:rsid w:val="004E71C8"/>
    <w:rsid w:val="004E72BE"/>
    <w:rsid w:val="004E7DDD"/>
    <w:rsid w:val="004E7E80"/>
    <w:rsid w:val="004F0101"/>
    <w:rsid w:val="004F0402"/>
    <w:rsid w:val="004F0475"/>
    <w:rsid w:val="004F08A5"/>
    <w:rsid w:val="004F08BD"/>
    <w:rsid w:val="004F0EA3"/>
    <w:rsid w:val="004F0F5F"/>
    <w:rsid w:val="004F1036"/>
    <w:rsid w:val="004F1721"/>
    <w:rsid w:val="004F17D8"/>
    <w:rsid w:val="004F1952"/>
    <w:rsid w:val="004F1B8E"/>
    <w:rsid w:val="004F206D"/>
    <w:rsid w:val="004F2160"/>
    <w:rsid w:val="004F236E"/>
    <w:rsid w:val="004F26B0"/>
    <w:rsid w:val="004F275E"/>
    <w:rsid w:val="004F2A9A"/>
    <w:rsid w:val="004F2EEE"/>
    <w:rsid w:val="004F398E"/>
    <w:rsid w:val="004F425C"/>
    <w:rsid w:val="004F44F5"/>
    <w:rsid w:val="004F4635"/>
    <w:rsid w:val="004F466B"/>
    <w:rsid w:val="004F47B9"/>
    <w:rsid w:val="004F48D3"/>
    <w:rsid w:val="004F4C5B"/>
    <w:rsid w:val="004F52EC"/>
    <w:rsid w:val="004F5506"/>
    <w:rsid w:val="004F5878"/>
    <w:rsid w:val="004F5B9D"/>
    <w:rsid w:val="004F5F3C"/>
    <w:rsid w:val="004F61B7"/>
    <w:rsid w:val="004F6307"/>
    <w:rsid w:val="004F6C18"/>
    <w:rsid w:val="004F6D60"/>
    <w:rsid w:val="004F6FE6"/>
    <w:rsid w:val="004F7698"/>
    <w:rsid w:val="004F7981"/>
    <w:rsid w:val="004F7AF8"/>
    <w:rsid w:val="004F7F02"/>
    <w:rsid w:val="00500881"/>
    <w:rsid w:val="00500993"/>
    <w:rsid w:val="005009E7"/>
    <w:rsid w:val="00500A9D"/>
    <w:rsid w:val="00500AED"/>
    <w:rsid w:val="00500BCA"/>
    <w:rsid w:val="00500BD9"/>
    <w:rsid w:val="005010CE"/>
    <w:rsid w:val="005019C1"/>
    <w:rsid w:val="00501A5B"/>
    <w:rsid w:val="00501C42"/>
    <w:rsid w:val="00501FAE"/>
    <w:rsid w:val="005029EA"/>
    <w:rsid w:val="00502B83"/>
    <w:rsid w:val="00502C39"/>
    <w:rsid w:val="0050352B"/>
    <w:rsid w:val="00503A96"/>
    <w:rsid w:val="00503C4F"/>
    <w:rsid w:val="00504CBF"/>
    <w:rsid w:val="005052E6"/>
    <w:rsid w:val="005054CE"/>
    <w:rsid w:val="00505513"/>
    <w:rsid w:val="005055AD"/>
    <w:rsid w:val="005056A5"/>
    <w:rsid w:val="00505A02"/>
    <w:rsid w:val="00505A25"/>
    <w:rsid w:val="00505C93"/>
    <w:rsid w:val="005066ED"/>
    <w:rsid w:val="005068DD"/>
    <w:rsid w:val="00506C0D"/>
    <w:rsid w:val="005071B5"/>
    <w:rsid w:val="005073BD"/>
    <w:rsid w:val="005073E6"/>
    <w:rsid w:val="005074A1"/>
    <w:rsid w:val="005078A9"/>
    <w:rsid w:val="0050795B"/>
    <w:rsid w:val="00507D67"/>
    <w:rsid w:val="005100B9"/>
    <w:rsid w:val="0051038F"/>
    <w:rsid w:val="005103BC"/>
    <w:rsid w:val="005104E5"/>
    <w:rsid w:val="005108FD"/>
    <w:rsid w:val="00510E9D"/>
    <w:rsid w:val="00510E9E"/>
    <w:rsid w:val="00511695"/>
    <w:rsid w:val="00511D35"/>
    <w:rsid w:val="00511D69"/>
    <w:rsid w:val="00512064"/>
    <w:rsid w:val="0051213E"/>
    <w:rsid w:val="00512229"/>
    <w:rsid w:val="00512917"/>
    <w:rsid w:val="00512C7E"/>
    <w:rsid w:val="00513571"/>
    <w:rsid w:val="0051426B"/>
    <w:rsid w:val="005144CB"/>
    <w:rsid w:val="005147EC"/>
    <w:rsid w:val="00514DE6"/>
    <w:rsid w:val="005153D7"/>
    <w:rsid w:val="00515AA5"/>
    <w:rsid w:val="00516615"/>
    <w:rsid w:val="00516959"/>
    <w:rsid w:val="005169FE"/>
    <w:rsid w:val="00517372"/>
    <w:rsid w:val="005177D9"/>
    <w:rsid w:val="00517EB6"/>
    <w:rsid w:val="005203BD"/>
    <w:rsid w:val="00520D81"/>
    <w:rsid w:val="00520EA3"/>
    <w:rsid w:val="00521000"/>
    <w:rsid w:val="005211A1"/>
    <w:rsid w:val="00521384"/>
    <w:rsid w:val="00521472"/>
    <w:rsid w:val="00521AA6"/>
    <w:rsid w:val="00521B0C"/>
    <w:rsid w:val="0052214D"/>
    <w:rsid w:val="005226FB"/>
    <w:rsid w:val="00522C57"/>
    <w:rsid w:val="00522C59"/>
    <w:rsid w:val="00522E13"/>
    <w:rsid w:val="00523B67"/>
    <w:rsid w:val="005240D7"/>
    <w:rsid w:val="0052427A"/>
    <w:rsid w:val="005243CA"/>
    <w:rsid w:val="00524881"/>
    <w:rsid w:val="00524D8B"/>
    <w:rsid w:val="00524EF6"/>
    <w:rsid w:val="00526407"/>
    <w:rsid w:val="0052642A"/>
    <w:rsid w:val="005264A6"/>
    <w:rsid w:val="005266AC"/>
    <w:rsid w:val="005266AE"/>
    <w:rsid w:val="00526ACD"/>
    <w:rsid w:val="00526DCA"/>
    <w:rsid w:val="0052731F"/>
    <w:rsid w:val="00527568"/>
    <w:rsid w:val="0053011F"/>
    <w:rsid w:val="0053046D"/>
    <w:rsid w:val="0053075E"/>
    <w:rsid w:val="0053079D"/>
    <w:rsid w:val="00530E63"/>
    <w:rsid w:val="00531B2A"/>
    <w:rsid w:val="00531E8E"/>
    <w:rsid w:val="0053256F"/>
    <w:rsid w:val="00532C0D"/>
    <w:rsid w:val="00533523"/>
    <w:rsid w:val="005335A3"/>
    <w:rsid w:val="005337BB"/>
    <w:rsid w:val="005339F1"/>
    <w:rsid w:val="00533FC9"/>
    <w:rsid w:val="00534409"/>
    <w:rsid w:val="005346DF"/>
    <w:rsid w:val="00534712"/>
    <w:rsid w:val="00534A08"/>
    <w:rsid w:val="0053524F"/>
    <w:rsid w:val="005359C9"/>
    <w:rsid w:val="00536101"/>
    <w:rsid w:val="00536135"/>
    <w:rsid w:val="005362EC"/>
    <w:rsid w:val="00536602"/>
    <w:rsid w:val="00536755"/>
    <w:rsid w:val="00536978"/>
    <w:rsid w:val="005370CE"/>
    <w:rsid w:val="005371DD"/>
    <w:rsid w:val="0053731C"/>
    <w:rsid w:val="0053731D"/>
    <w:rsid w:val="00537340"/>
    <w:rsid w:val="00537574"/>
    <w:rsid w:val="005377E2"/>
    <w:rsid w:val="00537908"/>
    <w:rsid w:val="00540326"/>
    <w:rsid w:val="0054037E"/>
    <w:rsid w:val="00540397"/>
    <w:rsid w:val="00540997"/>
    <w:rsid w:val="00541120"/>
    <w:rsid w:val="00541314"/>
    <w:rsid w:val="005416B0"/>
    <w:rsid w:val="00541C8C"/>
    <w:rsid w:val="00541EE6"/>
    <w:rsid w:val="00542120"/>
    <w:rsid w:val="00542C96"/>
    <w:rsid w:val="00542D7D"/>
    <w:rsid w:val="00543451"/>
    <w:rsid w:val="005436DD"/>
    <w:rsid w:val="00543A24"/>
    <w:rsid w:val="00543A6E"/>
    <w:rsid w:val="005445B1"/>
    <w:rsid w:val="005445FE"/>
    <w:rsid w:val="0054464D"/>
    <w:rsid w:val="00544853"/>
    <w:rsid w:val="00544980"/>
    <w:rsid w:val="00544C51"/>
    <w:rsid w:val="005453D3"/>
    <w:rsid w:val="005455AE"/>
    <w:rsid w:val="00545BC7"/>
    <w:rsid w:val="00545DA7"/>
    <w:rsid w:val="00545FB1"/>
    <w:rsid w:val="005460F4"/>
    <w:rsid w:val="005462CD"/>
    <w:rsid w:val="00546304"/>
    <w:rsid w:val="005466E7"/>
    <w:rsid w:val="00546778"/>
    <w:rsid w:val="005468A8"/>
    <w:rsid w:val="00546C96"/>
    <w:rsid w:val="00546D8B"/>
    <w:rsid w:val="00547374"/>
    <w:rsid w:val="00547470"/>
    <w:rsid w:val="00547531"/>
    <w:rsid w:val="0054762D"/>
    <w:rsid w:val="00547BE3"/>
    <w:rsid w:val="00547CA8"/>
    <w:rsid w:val="00547CC6"/>
    <w:rsid w:val="00550236"/>
    <w:rsid w:val="0055025B"/>
    <w:rsid w:val="0055059F"/>
    <w:rsid w:val="005514CC"/>
    <w:rsid w:val="005518A0"/>
    <w:rsid w:val="00551954"/>
    <w:rsid w:val="00551AAC"/>
    <w:rsid w:val="005526FE"/>
    <w:rsid w:val="0055270E"/>
    <w:rsid w:val="00552FB7"/>
    <w:rsid w:val="0055314F"/>
    <w:rsid w:val="005531E1"/>
    <w:rsid w:val="005539E4"/>
    <w:rsid w:val="005539F0"/>
    <w:rsid w:val="00553C86"/>
    <w:rsid w:val="00553F99"/>
    <w:rsid w:val="00554C9E"/>
    <w:rsid w:val="00554ED5"/>
    <w:rsid w:val="005556C6"/>
    <w:rsid w:val="0055598E"/>
    <w:rsid w:val="00555EF9"/>
    <w:rsid w:val="005561B1"/>
    <w:rsid w:val="00556490"/>
    <w:rsid w:val="00556E69"/>
    <w:rsid w:val="0055730B"/>
    <w:rsid w:val="005574A0"/>
    <w:rsid w:val="005577D6"/>
    <w:rsid w:val="00557931"/>
    <w:rsid w:val="00557C08"/>
    <w:rsid w:val="00557C0C"/>
    <w:rsid w:val="00557CC0"/>
    <w:rsid w:val="00557CC8"/>
    <w:rsid w:val="005600D2"/>
    <w:rsid w:val="005601CC"/>
    <w:rsid w:val="00560461"/>
    <w:rsid w:val="005605B2"/>
    <w:rsid w:val="00560CE7"/>
    <w:rsid w:val="005610F5"/>
    <w:rsid w:val="005614DB"/>
    <w:rsid w:val="00562072"/>
    <w:rsid w:val="0056233E"/>
    <w:rsid w:val="00563272"/>
    <w:rsid w:val="00563469"/>
    <w:rsid w:val="005637CE"/>
    <w:rsid w:val="005639EE"/>
    <w:rsid w:val="00563A79"/>
    <w:rsid w:val="00563C1C"/>
    <w:rsid w:val="00563D5A"/>
    <w:rsid w:val="00563D88"/>
    <w:rsid w:val="0056464C"/>
    <w:rsid w:val="00564E6B"/>
    <w:rsid w:val="005654C9"/>
    <w:rsid w:val="0056555F"/>
    <w:rsid w:val="00565EE7"/>
    <w:rsid w:val="005661E3"/>
    <w:rsid w:val="0056632A"/>
    <w:rsid w:val="00566DFE"/>
    <w:rsid w:val="005673E1"/>
    <w:rsid w:val="005675A6"/>
    <w:rsid w:val="005675C6"/>
    <w:rsid w:val="0056782D"/>
    <w:rsid w:val="005679BA"/>
    <w:rsid w:val="00567F2B"/>
    <w:rsid w:val="00570020"/>
    <w:rsid w:val="005701C2"/>
    <w:rsid w:val="005702F6"/>
    <w:rsid w:val="005704F0"/>
    <w:rsid w:val="00570C7E"/>
    <w:rsid w:val="005710BE"/>
    <w:rsid w:val="00571235"/>
    <w:rsid w:val="00571242"/>
    <w:rsid w:val="0057162B"/>
    <w:rsid w:val="005716D4"/>
    <w:rsid w:val="00572214"/>
    <w:rsid w:val="00572550"/>
    <w:rsid w:val="0057292F"/>
    <w:rsid w:val="005729FA"/>
    <w:rsid w:val="00572A47"/>
    <w:rsid w:val="00572C4C"/>
    <w:rsid w:val="00572D62"/>
    <w:rsid w:val="00572D6D"/>
    <w:rsid w:val="00572E69"/>
    <w:rsid w:val="00572EA3"/>
    <w:rsid w:val="00573016"/>
    <w:rsid w:val="005735BA"/>
    <w:rsid w:val="005738D2"/>
    <w:rsid w:val="00573BAC"/>
    <w:rsid w:val="00573E5F"/>
    <w:rsid w:val="00573F4E"/>
    <w:rsid w:val="00573F76"/>
    <w:rsid w:val="00574441"/>
    <w:rsid w:val="0057454F"/>
    <w:rsid w:val="00574AB0"/>
    <w:rsid w:val="00574C3C"/>
    <w:rsid w:val="00575956"/>
    <w:rsid w:val="00575A26"/>
    <w:rsid w:val="00576316"/>
    <w:rsid w:val="00576354"/>
    <w:rsid w:val="00576826"/>
    <w:rsid w:val="00576895"/>
    <w:rsid w:val="00576B3A"/>
    <w:rsid w:val="005771E7"/>
    <w:rsid w:val="005779B1"/>
    <w:rsid w:val="00577D70"/>
    <w:rsid w:val="005800AF"/>
    <w:rsid w:val="005801FE"/>
    <w:rsid w:val="00581337"/>
    <w:rsid w:val="005816BC"/>
    <w:rsid w:val="00581858"/>
    <w:rsid w:val="0058195D"/>
    <w:rsid w:val="00581D69"/>
    <w:rsid w:val="00581DB5"/>
    <w:rsid w:val="00581F34"/>
    <w:rsid w:val="00582033"/>
    <w:rsid w:val="00582346"/>
    <w:rsid w:val="00582646"/>
    <w:rsid w:val="00582805"/>
    <w:rsid w:val="005830D0"/>
    <w:rsid w:val="00583169"/>
    <w:rsid w:val="00583190"/>
    <w:rsid w:val="005838F8"/>
    <w:rsid w:val="00583C20"/>
    <w:rsid w:val="00583D76"/>
    <w:rsid w:val="00583DA9"/>
    <w:rsid w:val="00583EED"/>
    <w:rsid w:val="00584034"/>
    <w:rsid w:val="00584391"/>
    <w:rsid w:val="00584585"/>
    <w:rsid w:val="0058509F"/>
    <w:rsid w:val="005853DA"/>
    <w:rsid w:val="0058559D"/>
    <w:rsid w:val="00585B3C"/>
    <w:rsid w:val="00585FB4"/>
    <w:rsid w:val="00585FF6"/>
    <w:rsid w:val="005863C9"/>
    <w:rsid w:val="00586C8D"/>
    <w:rsid w:val="0058705F"/>
    <w:rsid w:val="00587264"/>
    <w:rsid w:val="00587A4F"/>
    <w:rsid w:val="00587B52"/>
    <w:rsid w:val="00587BB0"/>
    <w:rsid w:val="00587CCF"/>
    <w:rsid w:val="00587E52"/>
    <w:rsid w:val="00587E62"/>
    <w:rsid w:val="0059033A"/>
    <w:rsid w:val="005905D1"/>
    <w:rsid w:val="005905E0"/>
    <w:rsid w:val="005908DD"/>
    <w:rsid w:val="00590990"/>
    <w:rsid w:val="00590E4F"/>
    <w:rsid w:val="005913FC"/>
    <w:rsid w:val="00591818"/>
    <w:rsid w:val="00591F9B"/>
    <w:rsid w:val="00592224"/>
    <w:rsid w:val="005923EC"/>
    <w:rsid w:val="00592801"/>
    <w:rsid w:val="00592A53"/>
    <w:rsid w:val="00593095"/>
    <w:rsid w:val="005933C1"/>
    <w:rsid w:val="00593F10"/>
    <w:rsid w:val="00593FDA"/>
    <w:rsid w:val="005942FC"/>
    <w:rsid w:val="0059435E"/>
    <w:rsid w:val="00594AA5"/>
    <w:rsid w:val="00594B0B"/>
    <w:rsid w:val="00595312"/>
    <w:rsid w:val="005958C8"/>
    <w:rsid w:val="00595A23"/>
    <w:rsid w:val="00596941"/>
    <w:rsid w:val="00596E06"/>
    <w:rsid w:val="00597943"/>
    <w:rsid w:val="00597E31"/>
    <w:rsid w:val="00597F7B"/>
    <w:rsid w:val="005A023F"/>
    <w:rsid w:val="005A08EA"/>
    <w:rsid w:val="005A0F92"/>
    <w:rsid w:val="005A11ED"/>
    <w:rsid w:val="005A1483"/>
    <w:rsid w:val="005A173C"/>
    <w:rsid w:val="005A1C99"/>
    <w:rsid w:val="005A1DFE"/>
    <w:rsid w:val="005A2CBF"/>
    <w:rsid w:val="005A3318"/>
    <w:rsid w:val="005A3340"/>
    <w:rsid w:val="005A36A9"/>
    <w:rsid w:val="005A3B60"/>
    <w:rsid w:val="005A3C94"/>
    <w:rsid w:val="005A4647"/>
    <w:rsid w:val="005A4D17"/>
    <w:rsid w:val="005A5553"/>
    <w:rsid w:val="005A5619"/>
    <w:rsid w:val="005A5759"/>
    <w:rsid w:val="005A5A04"/>
    <w:rsid w:val="005A6155"/>
    <w:rsid w:val="005A6164"/>
    <w:rsid w:val="005A64A9"/>
    <w:rsid w:val="005A6943"/>
    <w:rsid w:val="005A6A4A"/>
    <w:rsid w:val="005A6BE6"/>
    <w:rsid w:val="005A6EF7"/>
    <w:rsid w:val="005A6F96"/>
    <w:rsid w:val="005A71FC"/>
    <w:rsid w:val="005A73AC"/>
    <w:rsid w:val="005A7610"/>
    <w:rsid w:val="005A766C"/>
    <w:rsid w:val="005A7678"/>
    <w:rsid w:val="005A77E4"/>
    <w:rsid w:val="005A7945"/>
    <w:rsid w:val="005A7BFA"/>
    <w:rsid w:val="005A7FD1"/>
    <w:rsid w:val="005B0566"/>
    <w:rsid w:val="005B057D"/>
    <w:rsid w:val="005B09DA"/>
    <w:rsid w:val="005B1978"/>
    <w:rsid w:val="005B1EEB"/>
    <w:rsid w:val="005B2546"/>
    <w:rsid w:val="005B25A9"/>
    <w:rsid w:val="005B26D6"/>
    <w:rsid w:val="005B2DE4"/>
    <w:rsid w:val="005B311B"/>
    <w:rsid w:val="005B3189"/>
    <w:rsid w:val="005B31E3"/>
    <w:rsid w:val="005B3609"/>
    <w:rsid w:val="005B4515"/>
    <w:rsid w:val="005B4B35"/>
    <w:rsid w:val="005B4EE2"/>
    <w:rsid w:val="005B5222"/>
    <w:rsid w:val="005B548A"/>
    <w:rsid w:val="005B5731"/>
    <w:rsid w:val="005B5A68"/>
    <w:rsid w:val="005B5C76"/>
    <w:rsid w:val="005B5E13"/>
    <w:rsid w:val="005B62D5"/>
    <w:rsid w:val="005B67A9"/>
    <w:rsid w:val="005B7489"/>
    <w:rsid w:val="005B7588"/>
    <w:rsid w:val="005B7645"/>
    <w:rsid w:val="005B79E3"/>
    <w:rsid w:val="005B7DBB"/>
    <w:rsid w:val="005C0587"/>
    <w:rsid w:val="005C07A8"/>
    <w:rsid w:val="005C193F"/>
    <w:rsid w:val="005C1C27"/>
    <w:rsid w:val="005C1D67"/>
    <w:rsid w:val="005C1FB8"/>
    <w:rsid w:val="005C2014"/>
    <w:rsid w:val="005C2955"/>
    <w:rsid w:val="005C2A35"/>
    <w:rsid w:val="005C2CC3"/>
    <w:rsid w:val="005C345A"/>
    <w:rsid w:val="005C3863"/>
    <w:rsid w:val="005C396B"/>
    <w:rsid w:val="005C3FDB"/>
    <w:rsid w:val="005C46FB"/>
    <w:rsid w:val="005C506B"/>
    <w:rsid w:val="005C53BC"/>
    <w:rsid w:val="005C54E7"/>
    <w:rsid w:val="005C55C4"/>
    <w:rsid w:val="005C5751"/>
    <w:rsid w:val="005C5948"/>
    <w:rsid w:val="005C5C12"/>
    <w:rsid w:val="005C60B1"/>
    <w:rsid w:val="005C656B"/>
    <w:rsid w:val="005C68D8"/>
    <w:rsid w:val="005C6DAD"/>
    <w:rsid w:val="005C71BC"/>
    <w:rsid w:val="005C71EB"/>
    <w:rsid w:val="005C72B4"/>
    <w:rsid w:val="005C75E1"/>
    <w:rsid w:val="005C7C1A"/>
    <w:rsid w:val="005D0382"/>
    <w:rsid w:val="005D06C7"/>
    <w:rsid w:val="005D073F"/>
    <w:rsid w:val="005D0970"/>
    <w:rsid w:val="005D0D82"/>
    <w:rsid w:val="005D1014"/>
    <w:rsid w:val="005D1077"/>
    <w:rsid w:val="005D1145"/>
    <w:rsid w:val="005D1252"/>
    <w:rsid w:val="005D132E"/>
    <w:rsid w:val="005D141A"/>
    <w:rsid w:val="005D1A79"/>
    <w:rsid w:val="005D1A98"/>
    <w:rsid w:val="005D1B7A"/>
    <w:rsid w:val="005D2232"/>
    <w:rsid w:val="005D2496"/>
    <w:rsid w:val="005D2525"/>
    <w:rsid w:val="005D26B6"/>
    <w:rsid w:val="005D2A4D"/>
    <w:rsid w:val="005D2A67"/>
    <w:rsid w:val="005D2D0F"/>
    <w:rsid w:val="005D30AD"/>
    <w:rsid w:val="005D3301"/>
    <w:rsid w:val="005D3CE2"/>
    <w:rsid w:val="005D3FD1"/>
    <w:rsid w:val="005D4478"/>
    <w:rsid w:val="005D4811"/>
    <w:rsid w:val="005D4893"/>
    <w:rsid w:val="005D48D7"/>
    <w:rsid w:val="005D4DDA"/>
    <w:rsid w:val="005D4F94"/>
    <w:rsid w:val="005D57C0"/>
    <w:rsid w:val="005D5828"/>
    <w:rsid w:val="005D5957"/>
    <w:rsid w:val="005D5B3C"/>
    <w:rsid w:val="005D5BCF"/>
    <w:rsid w:val="005D624A"/>
    <w:rsid w:val="005D64E1"/>
    <w:rsid w:val="005D64F4"/>
    <w:rsid w:val="005D6BBA"/>
    <w:rsid w:val="005D712C"/>
    <w:rsid w:val="005D73B5"/>
    <w:rsid w:val="005D7644"/>
    <w:rsid w:val="005D7699"/>
    <w:rsid w:val="005D7BC9"/>
    <w:rsid w:val="005D7C11"/>
    <w:rsid w:val="005D7DB8"/>
    <w:rsid w:val="005E0350"/>
    <w:rsid w:val="005E05F7"/>
    <w:rsid w:val="005E06D1"/>
    <w:rsid w:val="005E15F6"/>
    <w:rsid w:val="005E165E"/>
    <w:rsid w:val="005E16DE"/>
    <w:rsid w:val="005E19AF"/>
    <w:rsid w:val="005E1A71"/>
    <w:rsid w:val="005E1C03"/>
    <w:rsid w:val="005E1D39"/>
    <w:rsid w:val="005E1F66"/>
    <w:rsid w:val="005E2751"/>
    <w:rsid w:val="005E2863"/>
    <w:rsid w:val="005E2D34"/>
    <w:rsid w:val="005E2DD5"/>
    <w:rsid w:val="005E30AB"/>
    <w:rsid w:val="005E336C"/>
    <w:rsid w:val="005E34B4"/>
    <w:rsid w:val="005E3537"/>
    <w:rsid w:val="005E36E1"/>
    <w:rsid w:val="005E3787"/>
    <w:rsid w:val="005E3947"/>
    <w:rsid w:val="005E45FC"/>
    <w:rsid w:val="005E46BE"/>
    <w:rsid w:val="005E493E"/>
    <w:rsid w:val="005E4A8B"/>
    <w:rsid w:val="005E5093"/>
    <w:rsid w:val="005E51E7"/>
    <w:rsid w:val="005E554C"/>
    <w:rsid w:val="005E5BC9"/>
    <w:rsid w:val="005E601A"/>
    <w:rsid w:val="005E675A"/>
    <w:rsid w:val="005E795F"/>
    <w:rsid w:val="005E7A42"/>
    <w:rsid w:val="005E7DD7"/>
    <w:rsid w:val="005E7E8E"/>
    <w:rsid w:val="005F095B"/>
    <w:rsid w:val="005F0A38"/>
    <w:rsid w:val="005F0A50"/>
    <w:rsid w:val="005F106A"/>
    <w:rsid w:val="005F1784"/>
    <w:rsid w:val="005F1862"/>
    <w:rsid w:val="005F191C"/>
    <w:rsid w:val="005F1A18"/>
    <w:rsid w:val="005F1A5B"/>
    <w:rsid w:val="005F1F21"/>
    <w:rsid w:val="005F24DF"/>
    <w:rsid w:val="005F29EE"/>
    <w:rsid w:val="005F35D0"/>
    <w:rsid w:val="005F3BAB"/>
    <w:rsid w:val="005F4065"/>
    <w:rsid w:val="005F40B5"/>
    <w:rsid w:val="005F45EA"/>
    <w:rsid w:val="005F4825"/>
    <w:rsid w:val="005F4C1D"/>
    <w:rsid w:val="005F4E3A"/>
    <w:rsid w:val="005F50EA"/>
    <w:rsid w:val="005F5162"/>
    <w:rsid w:val="005F51CE"/>
    <w:rsid w:val="005F5450"/>
    <w:rsid w:val="005F5915"/>
    <w:rsid w:val="005F59C3"/>
    <w:rsid w:val="005F5C6B"/>
    <w:rsid w:val="005F5D0B"/>
    <w:rsid w:val="005F5E88"/>
    <w:rsid w:val="005F5EA8"/>
    <w:rsid w:val="005F6217"/>
    <w:rsid w:val="005F62C8"/>
    <w:rsid w:val="005F690F"/>
    <w:rsid w:val="005F6B06"/>
    <w:rsid w:val="005F6DC4"/>
    <w:rsid w:val="005F7279"/>
    <w:rsid w:val="005F7A00"/>
    <w:rsid w:val="005F7C4B"/>
    <w:rsid w:val="005F7CCD"/>
    <w:rsid w:val="00600120"/>
    <w:rsid w:val="0060014F"/>
    <w:rsid w:val="00600636"/>
    <w:rsid w:val="00600895"/>
    <w:rsid w:val="00600913"/>
    <w:rsid w:val="00600CDA"/>
    <w:rsid w:val="00600D05"/>
    <w:rsid w:val="00601018"/>
    <w:rsid w:val="006014B9"/>
    <w:rsid w:val="00601557"/>
    <w:rsid w:val="00601C56"/>
    <w:rsid w:val="00601C75"/>
    <w:rsid w:val="00601E0F"/>
    <w:rsid w:val="0060260E"/>
    <w:rsid w:val="0060265A"/>
    <w:rsid w:val="00602A02"/>
    <w:rsid w:val="00602BAC"/>
    <w:rsid w:val="0060323E"/>
    <w:rsid w:val="006033D1"/>
    <w:rsid w:val="0060350B"/>
    <w:rsid w:val="00603516"/>
    <w:rsid w:val="0060362C"/>
    <w:rsid w:val="00603728"/>
    <w:rsid w:val="00603978"/>
    <w:rsid w:val="00603C58"/>
    <w:rsid w:val="00603CEC"/>
    <w:rsid w:val="00604118"/>
    <w:rsid w:val="00604385"/>
    <w:rsid w:val="0060455A"/>
    <w:rsid w:val="0060458B"/>
    <w:rsid w:val="0060485B"/>
    <w:rsid w:val="00604A07"/>
    <w:rsid w:val="00604AE2"/>
    <w:rsid w:val="00604B99"/>
    <w:rsid w:val="00604C2B"/>
    <w:rsid w:val="0060609E"/>
    <w:rsid w:val="00606892"/>
    <w:rsid w:val="00607564"/>
    <w:rsid w:val="0060788F"/>
    <w:rsid w:val="00607A72"/>
    <w:rsid w:val="00607B4B"/>
    <w:rsid w:val="00607B86"/>
    <w:rsid w:val="00607EDA"/>
    <w:rsid w:val="00607EFD"/>
    <w:rsid w:val="00607F93"/>
    <w:rsid w:val="0061036C"/>
    <w:rsid w:val="0061043C"/>
    <w:rsid w:val="00610C0E"/>
    <w:rsid w:val="00610D3C"/>
    <w:rsid w:val="006115F6"/>
    <w:rsid w:val="00611920"/>
    <w:rsid w:val="00611B0E"/>
    <w:rsid w:val="00611FCD"/>
    <w:rsid w:val="00612835"/>
    <w:rsid w:val="00612BC0"/>
    <w:rsid w:val="00612BD3"/>
    <w:rsid w:val="00612C6B"/>
    <w:rsid w:val="006137C7"/>
    <w:rsid w:val="00613926"/>
    <w:rsid w:val="00613DB9"/>
    <w:rsid w:val="00613E8C"/>
    <w:rsid w:val="0061421C"/>
    <w:rsid w:val="00614BDC"/>
    <w:rsid w:val="00614E13"/>
    <w:rsid w:val="00615016"/>
    <w:rsid w:val="0061551E"/>
    <w:rsid w:val="0061640F"/>
    <w:rsid w:val="006166D3"/>
    <w:rsid w:val="006169B4"/>
    <w:rsid w:val="00616DA2"/>
    <w:rsid w:val="00617183"/>
    <w:rsid w:val="006174DB"/>
    <w:rsid w:val="00617671"/>
    <w:rsid w:val="00617726"/>
    <w:rsid w:val="00617CE5"/>
    <w:rsid w:val="00617E92"/>
    <w:rsid w:val="00617EFF"/>
    <w:rsid w:val="00620059"/>
    <w:rsid w:val="00620192"/>
    <w:rsid w:val="00620233"/>
    <w:rsid w:val="006202FD"/>
    <w:rsid w:val="006203BA"/>
    <w:rsid w:val="00620AB0"/>
    <w:rsid w:val="00620BE8"/>
    <w:rsid w:val="00620E26"/>
    <w:rsid w:val="00620E54"/>
    <w:rsid w:val="00620EE5"/>
    <w:rsid w:val="00621257"/>
    <w:rsid w:val="0062130B"/>
    <w:rsid w:val="006217A7"/>
    <w:rsid w:val="00621C3A"/>
    <w:rsid w:val="00622700"/>
    <w:rsid w:val="00622D1B"/>
    <w:rsid w:val="00623676"/>
    <w:rsid w:val="00623B19"/>
    <w:rsid w:val="00623E20"/>
    <w:rsid w:val="00624B0B"/>
    <w:rsid w:val="00625608"/>
    <w:rsid w:val="00625693"/>
    <w:rsid w:val="0062588E"/>
    <w:rsid w:val="00625F9C"/>
    <w:rsid w:val="00626B95"/>
    <w:rsid w:val="00626C4E"/>
    <w:rsid w:val="006272BF"/>
    <w:rsid w:val="00627403"/>
    <w:rsid w:val="00627936"/>
    <w:rsid w:val="00627DCC"/>
    <w:rsid w:val="00627DF4"/>
    <w:rsid w:val="00630122"/>
    <w:rsid w:val="00630242"/>
    <w:rsid w:val="00630ABA"/>
    <w:rsid w:val="00630FAC"/>
    <w:rsid w:val="006312AC"/>
    <w:rsid w:val="006318DC"/>
    <w:rsid w:val="006321A3"/>
    <w:rsid w:val="00632261"/>
    <w:rsid w:val="006325F8"/>
    <w:rsid w:val="00632785"/>
    <w:rsid w:val="00632934"/>
    <w:rsid w:val="0063331B"/>
    <w:rsid w:val="00633463"/>
    <w:rsid w:val="00633C21"/>
    <w:rsid w:val="00633C81"/>
    <w:rsid w:val="006344FA"/>
    <w:rsid w:val="00634D42"/>
    <w:rsid w:val="006354C0"/>
    <w:rsid w:val="00635ACA"/>
    <w:rsid w:val="00635B21"/>
    <w:rsid w:val="00635C6A"/>
    <w:rsid w:val="0063691E"/>
    <w:rsid w:val="00636B8B"/>
    <w:rsid w:val="006377B6"/>
    <w:rsid w:val="006379AD"/>
    <w:rsid w:val="00637AC0"/>
    <w:rsid w:val="00637AF3"/>
    <w:rsid w:val="00637D45"/>
    <w:rsid w:val="00637FAC"/>
    <w:rsid w:val="00640DAB"/>
    <w:rsid w:val="006411F4"/>
    <w:rsid w:val="006415EC"/>
    <w:rsid w:val="006417B1"/>
    <w:rsid w:val="00641E95"/>
    <w:rsid w:val="00641FBB"/>
    <w:rsid w:val="00642219"/>
    <w:rsid w:val="00642256"/>
    <w:rsid w:val="006423FD"/>
    <w:rsid w:val="00642D0C"/>
    <w:rsid w:val="006430A2"/>
    <w:rsid w:val="00643520"/>
    <w:rsid w:val="006446F6"/>
    <w:rsid w:val="006448B6"/>
    <w:rsid w:val="00644CE0"/>
    <w:rsid w:val="00644E81"/>
    <w:rsid w:val="006451F7"/>
    <w:rsid w:val="00645305"/>
    <w:rsid w:val="00645811"/>
    <w:rsid w:val="00645CC3"/>
    <w:rsid w:val="006467B3"/>
    <w:rsid w:val="00646810"/>
    <w:rsid w:val="00646836"/>
    <w:rsid w:val="00646D2A"/>
    <w:rsid w:val="00646FBB"/>
    <w:rsid w:val="00647448"/>
    <w:rsid w:val="00647558"/>
    <w:rsid w:val="0064782C"/>
    <w:rsid w:val="00647B83"/>
    <w:rsid w:val="00647ED2"/>
    <w:rsid w:val="0065006D"/>
    <w:rsid w:val="00650A10"/>
    <w:rsid w:val="00650AE3"/>
    <w:rsid w:val="00650CB5"/>
    <w:rsid w:val="00651564"/>
    <w:rsid w:val="0065175B"/>
    <w:rsid w:val="00651773"/>
    <w:rsid w:val="00651D79"/>
    <w:rsid w:val="00652056"/>
    <w:rsid w:val="00652520"/>
    <w:rsid w:val="00652C6C"/>
    <w:rsid w:val="00653BA1"/>
    <w:rsid w:val="00653F80"/>
    <w:rsid w:val="00653FA3"/>
    <w:rsid w:val="00654083"/>
    <w:rsid w:val="00654534"/>
    <w:rsid w:val="00654AA3"/>
    <w:rsid w:val="00654B25"/>
    <w:rsid w:val="00654BC4"/>
    <w:rsid w:val="00654E13"/>
    <w:rsid w:val="00654EE1"/>
    <w:rsid w:val="006556B5"/>
    <w:rsid w:val="00655C54"/>
    <w:rsid w:val="00655CE8"/>
    <w:rsid w:val="00655E22"/>
    <w:rsid w:val="00655F70"/>
    <w:rsid w:val="00655F7D"/>
    <w:rsid w:val="006563EC"/>
    <w:rsid w:val="006565B0"/>
    <w:rsid w:val="00656714"/>
    <w:rsid w:val="006569B7"/>
    <w:rsid w:val="00656BA7"/>
    <w:rsid w:val="00656FD7"/>
    <w:rsid w:val="0065794F"/>
    <w:rsid w:val="00657C87"/>
    <w:rsid w:val="00660477"/>
    <w:rsid w:val="0066087F"/>
    <w:rsid w:val="00660977"/>
    <w:rsid w:val="00661005"/>
    <w:rsid w:val="006612EB"/>
    <w:rsid w:val="0066164E"/>
    <w:rsid w:val="0066198F"/>
    <w:rsid w:val="006619D1"/>
    <w:rsid w:val="00661FBD"/>
    <w:rsid w:val="00662D32"/>
    <w:rsid w:val="006630CF"/>
    <w:rsid w:val="006634A5"/>
    <w:rsid w:val="00663612"/>
    <w:rsid w:val="00663725"/>
    <w:rsid w:val="00663C65"/>
    <w:rsid w:val="00663FB4"/>
    <w:rsid w:val="00664035"/>
    <w:rsid w:val="00664229"/>
    <w:rsid w:val="00664555"/>
    <w:rsid w:val="00664A6E"/>
    <w:rsid w:val="00664D05"/>
    <w:rsid w:val="00664F1A"/>
    <w:rsid w:val="0066519C"/>
    <w:rsid w:val="006655F5"/>
    <w:rsid w:val="00665662"/>
    <w:rsid w:val="00665995"/>
    <w:rsid w:val="00665A05"/>
    <w:rsid w:val="006660C0"/>
    <w:rsid w:val="00666309"/>
    <w:rsid w:val="00666490"/>
    <w:rsid w:val="0066677D"/>
    <w:rsid w:val="00666D8F"/>
    <w:rsid w:val="00666DAA"/>
    <w:rsid w:val="006670F1"/>
    <w:rsid w:val="006671F3"/>
    <w:rsid w:val="006675E5"/>
    <w:rsid w:val="00667837"/>
    <w:rsid w:val="00667B96"/>
    <w:rsid w:val="00667BA2"/>
    <w:rsid w:val="00667CC3"/>
    <w:rsid w:val="00667ED9"/>
    <w:rsid w:val="00670787"/>
    <w:rsid w:val="00670B97"/>
    <w:rsid w:val="00670CFF"/>
    <w:rsid w:val="006710B7"/>
    <w:rsid w:val="00671281"/>
    <w:rsid w:val="00671A8E"/>
    <w:rsid w:val="006723E2"/>
    <w:rsid w:val="00672B02"/>
    <w:rsid w:val="00672F08"/>
    <w:rsid w:val="00673203"/>
    <w:rsid w:val="0067364D"/>
    <w:rsid w:val="00673AA4"/>
    <w:rsid w:val="00673C33"/>
    <w:rsid w:val="00673CB8"/>
    <w:rsid w:val="00673E27"/>
    <w:rsid w:val="00674272"/>
    <w:rsid w:val="006744F2"/>
    <w:rsid w:val="006748BB"/>
    <w:rsid w:val="00674E3E"/>
    <w:rsid w:val="006756C6"/>
    <w:rsid w:val="00676730"/>
    <w:rsid w:val="00676743"/>
    <w:rsid w:val="00676A30"/>
    <w:rsid w:val="00676ACF"/>
    <w:rsid w:val="00676B77"/>
    <w:rsid w:val="00676E00"/>
    <w:rsid w:val="00676F19"/>
    <w:rsid w:val="006770AC"/>
    <w:rsid w:val="00677365"/>
    <w:rsid w:val="00677689"/>
    <w:rsid w:val="00680393"/>
    <w:rsid w:val="006817BA"/>
    <w:rsid w:val="00681971"/>
    <w:rsid w:val="00681CD5"/>
    <w:rsid w:val="00681EF8"/>
    <w:rsid w:val="00681F10"/>
    <w:rsid w:val="00682035"/>
    <w:rsid w:val="00682B3E"/>
    <w:rsid w:val="00683452"/>
    <w:rsid w:val="00683482"/>
    <w:rsid w:val="00683604"/>
    <w:rsid w:val="0068400B"/>
    <w:rsid w:val="006840E6"/>
    <w:rsid w:val="0068411F"/>
    <w:rsid w:val="006842A8"/>
    <w:rsid w:val="0068482D"/>
    <w:rsid w:val="006849BB"/>
    <w:rsid w:val="006851DD"/>
    <w:rsid w:val="00685288"/>
    <w:rsid w:val="00685950"/>
    <w:rsid w:val="00685BF8"/>
    <w:rsid w:val="00685CC7"/>
    <w:rsid w:val="0068616E"/>
    <w:rsid w:val="006862A6"/>
    <w:rsid w:val="00686307"/>
    <w:rsid w:val="00686323"/>
    <w:rsid w:val="00686A19"/>
    <w:rsid w:val="006871B1"/>
    <w:rsid w:val="00687B7B"/>
    <w:rsid w:val="0069004B"/>
    <w:rsid w:val="00690201"/>
    <w:rsid w:val="00690365"/>
    <w:rsid w:val="00690755"/>
    <w:rsid w:val="00690829"/>
    <w:rsid w:val="00690C75"/>
    <w:rsid w:val="00690DF3"/>
    <w:rsid w:val="006914D2"/>
    <w:rsid w:val="00691502"/>
    <w:rsid w:val="00691523"/>
    <w:rsid w:val="00691A16"/>
    <w:rsid w:val="00691B02"/>
    <w:rsid w:val="00691D58"/>
    <w:rsid w:val="00691D7A"/>
    <w:rsid w:val="00692183"/>
    <w:rsid w:val="006939EC"/>
    <w:rsid w:val="0069454A"/>
    <w:rsid w:val="00694EC6"/>
    <w:rsid w:val="00694F8F"/>
    <w:rsid w:val="00695937"/>
    <w:rsid w:val="0069597C"/>
    <w:rsid w:val="00695D95"/>
    <w:rsid w:val="00696054"/>
    <w:rsid w:val="006960B9"/>
    <w:rsid w:val="00696258"/>
    <w:rsid w:val="00696326"/>
    <w:rsid w:val="0069662E"/>
    <w:rsid w:val="00696736"/>
    <w:rsid w:val="006970D5"/>
    <w:rsid w:val="00697118"/>
    <w:rsid w:val="0069739D"/>
    <w:rsid w:val="00697864"/>
    <w:rsid w:val="00697CDE"/>
    <w:rsid w:val="006A0293"/>
    <w:rsid w:val="006A08C1"/>
    <w:rsid w:val="006A0BE2"/>
    <w:rsid w:val="006A0D51"/>
    <w:rsid w:val="006A0DCB"/>
    <w:rsid w:val="006A1186"/>
    <w:rsid w:val="006A1E83"/>
    <w:rsid w:val="006A1EE1"/>
    <w:rsid w:val="006A1F2C"/>
    <w:rsid w:val="006A2159"/>
    <w:rsid w:val="006A249B"/>
    <w:rsid w:val="006A3897"/>
    <w:rsid w:val="006A38F6"/>
    <w:rsid w:val="006A3F17"/>
    <w:rsid w:val="006A4211"/>
    <w:rsid w:val="006A4AE2"/>
    <w:rsid w:val="006A4B09"/>
    <w:rsid w:val="006A4D54"/>
    <w:rsid w:val="006A4D8A"/>
    <w:rsid w:val="006A4F99"/>
    <w:rsid w:val="006A50C8"/>
    <w:rsid w:val="006A5EE5"/>
    <w:rsid w:val="006A5F9D"/>
    <w:rsid w:val="006A625E"/>
    <w:rsid w:val="006A64A9"/>
    <w:rsid w:val="006A661F"/>
    <w:rsid w:val="006A6AF9"/>
    <w:rsid w:val="006A6B52"/>
    <w:rsid w:val="006A743B"/>
    <w:rsid w:val="006A75E5"/>
    <w:rsid w:val="006A7AD0"/>
    <w:rsid w:val="006A7CBB"/>
    <w:rsid w:val="006A7D66"/>
    <w:rsid w:val="006A7DE9"/>
    <w:rsid w:val="006A7DFF"/>
    <w:rsid w:val="006B0469"/>
    <w:rsid w:val="006B0925"/>
    <w:rsid w:val="006B099B"/>
    <w:rsid w:val="006B0DA8"/>
    <w:rsid w:val="006B1487"/>
    <w:rsid w:val="006B1526"/>
    <w:rsid w:val="006B1C87"/>
    <w:rsid w:val="006B1EE3"/>
    <w:rsid w:val="006B24E1"/>
    <w:rsid w:val="006B277A"/>
    <w:rsid w:val="006B2C28"/>
    <w:rsid w:val="006B311C"/>
    <w:rsid w:val="006B387F"/>
    <w:rsid w:val="006B38A8"/>
    <w:rsid w:val="006B3B09"/>
    <w:rsid w:val="006B3F25"/>
    <w:rsid w:val="006B4568"/>
    <w:rsid w:val="006B4785"/>
    <w:rsid w:val="006B4949"/>
    <w:rsid w:val="006B4C57"/>
    <w:rsid w:val="006B52D9"/>
    <w:rsid w:val="006B556C"/>
    <w:rsid w:val="006B56EC"/>
    <w:rsid w:val="006B57B0"/>
    <w:rsid w:val="006B5A06"/>
    <w:rsid w:val="006B5ADB"/>
    <w:rsid w:val="006B6148"/>
    <w:rsid w:val="006B69D2"/>
    <w:rsid w:val="006B6B5B"/>
    <w:rsid w:val="006B6BAF"/>
    <w:rsid w:val="006B6CB4"/>
    <w:rsid w:val="006B73B9"/>
    <w:rsid w:val="006B741B"/>
    <w:rsid w:val="006B7642"/>
    <w:rsid w:val="006B7EFE"/>
    <w:rsid w:val="006C0522"/>
    <w:rsid w:val="006C06D7"/>
    <w:rsid w:val="006C0CF3"/>
    <w:rsid w:val="006C0DBD"/>
    <w:rsid w:val="006C1021"/>
    <w:rsid w:val="006C13CB"/>
    <w:rsid w:val="006C145B"/>
    <w:rsid w:val="006C1783"/>
    <w:rsid w:val="006C1A1F"/>
    <w:rsid w:val="006C2185"/>
    <w:rsid w:val="006C2203"/>
    <w:rsid w:val="006C25F1"/>
    <w:rsid w:val="006C2626"/>
    <w:rsid w:val="006C2966"/>
    <w:rsid w:val="006C2C29"/>
    <w:rsid w:val="006C2EF3"/>
    <w:rsid w:val="006C3220"/>
    <w:rsid w:val="006C355C"/>
    <w:rsid w:val="006C3E91"/>
    <w:rsid w:val="006C41C2"/>
    <w:rsid w:val="006C44CD"/>
    <w:rsid w:val="006C4FD2"/>
    <w:rsid w:val="006C5448"/>
    <w:rsid w:val="006C567D"/>
    <w:rsid w:val="006C56B8"/>
    <w:rsid w:val="006C5F1A"/>
    <w:rsid w:val="006C68CA"/>
    <w:rsid w:val="006C6FE4"/>
    <w:rsid w:val="006C721A"/>
    <w:rsid w:val="006C7318"/>
    <w:rsid w:val="006C746C"/>
    <w:rsid w:val="006C758D"/>
    <w:rsid w:val="006C7693"/>
    <w:rsid w:val="006C7AFE"/>
    <w:rsid w:val="006D025C"/>
    <w:rsid w:val="006D0DC3"/>
    <w:rsid w:val="006D103A"/>
    <w:rsid w:val="006D11C5"/>
    <w:rsid w:val="006D1DE1"/>
    <w:rsid w:val="006D2317"/>
    <w:rsid w:val="006D266D"/>
    <w:rsid w:val="006D2C7E"/>
    <w:rsid w:val="006D2F68"/>
    <w:rsid w:val="006D31EC"/>
    <w:rsid w:val="006D32CD"/>
    <w:rsid w:val="006D3749"/>
    <w:rsid w:val="006D37B0"/>
    <w:rsid w:val="006D3A92"/>
    <w:rsid w:val="006D489D"/>
    <w:rsid w:val="006D4D7F"/>
    <w:rsid w:val="006D4FD3"/>
    <w:rsid w:val="006D51B1"/>
    <w:rsid w:val="006D5A15"/>
    <w:rsid w:val="006D5D7E"/>
    <w:rsid w:val="006D5FF2"/>
    <w:rsid w:val="006D6048"/>
    <w:rsid w:val="006D65CA"/>
    <w:rsid w:val="006D65E3"/>
    <w:rsid w:val="006D6748"/>
    <w:rsid w:val="006D6C3A"/>
    <w:rsid w:val="006D6F55"/>
    <w:rsid w:val="006D6F58"/>
    <w:rsid w:val="006D73BB"/>
    <w:rsid w:val="006D76B9"/>
    <w:rsid w:val="006D7FD1"/>
    <w:rsid w:val="006E0285"/>
    <w:rsid w:val="006E0448"/>
    <w:rsid w:val="006E090A"/>
    <w:rsid w:val="006E09DE"/>
    <w:rsid w:val="006E0E9C"/>
    <w:rsid w:val="006E1377"/>
    <w:rsid w:val="006E143C"/>
    <w:rsid w:val="006E1582"/>
    <w:rsid w:val="006E165D"/>
    <w:rsid w:val="006E1938"/>
    <w:rsid w:val="006E1970"/>
    <w:rsid w:val="006E1DDE"/>
    <w:rsid w:val="006E2136"/>
    <w:rsid w:val="006E215E"/>
    <w:rsid w:val="006E2191"/>
    <w:rsid w:val="006E2329"/>
    <w:rsid w:val="006E24B2"/>
    <w:rsid w:val="006E25C3"/>
    <w:rsid w:val="006E2816"/>
    <w:rsid w:val="006E2AF2"/>
    <w:rsid w:val="006E3280"/>
    <w:rsid w:val="006E3C25"/>
    <w:rsid w:val="006E449E"/>
    <w:rsid w:val="006E44D9"/>
    <w:rsid w:val="006E47C7"/>
    <w:rsid w:val="006E4A35"/>
    <w:rsid w:val="006E50A3"/>
    <w:rsid w:val="006E51C2"/>
    <w:rsid w:val="006E53B4"/>
    <w:rsid w:val="006E5E48"/>
    <w:rsid w:val="006E6220"/>
    <w:rsid w:val="006E62EB"/>
    <w:rsid w:val="006E64C8"/>
    <w:rsid w:val="006E6607"/>
    <w:rsid w:val="006E6CFE"/>
    <w:rsid w:val="006E6E11"/>
    <w:rsid w:val="006E71C1"/>
    <w:rsid w:val="006E71F3"/>
    <w:rsid w:val="006E7410"/>
    <w:rsid w:val="006E778C"/>
    <w:rsid w:val="006E7AC2"/>
    <w:rsid w:val="006F00FD"/>
    <w:rsid w:val="006F0772"/>
    <w:rsid w:val="006F0854"/>
    <w:rsid w:val="006F08F8"/>
    <w:rsid w:val="006F0C20"/>
    <w:rsid w:val="006F13A7"/>
    <w:rsid w:val="006F144F"/>
    <w:rsid w:val="006F155C"/>
    <w:rsid w:val="006F1A01"/>
    <w:rsid w:val="006F2800"/>
    <w:rsid w:val="006F28B2"/>
    <w:rsid w:val="006F2C08"/>
    <w:rsid w:val="006F3306"/>
    <w:rsid w:val="006F37B8"/>
    <w:rsid w:val="006F3B14"/>
    <w:rsid w:val="006F3DA0"/>
    <w:rsid w:val="006F43CD"/>
    <w:rsid w:val="006F46D2"/>
    <w:rsid w:val="006F48EB"/>
    <w:rsid w:val="006F4FA3"/>
    <w:rsid w:val="006F50C8"/>
    <w:rsid w:val="006F513C"/>
    <w:rsid w:val="006F5E2D"/>
    <w:rsid w:val="006F5E70"/>
    <w:rsid w:val="006F5E76"/>
    <w:rsid w:val="006F61F8"/>
    <w:rsid w:val="006F6789"/>
    <w:rsid w:val="006F68F6"/>
    <w:rsid w:val="006F70DB"/>
    <w:rsid w:val="006F74EA"/>
    <w:rsid w:val="006F77E7"/>
    <w:rsid w:val="006F7B28"/>
    <w:rsid w:val="006F7D2B"/>
    <w:rsid w:val="006F7E52"/>
    <w:rsid w:val="00700017"/>
    <w:rsid w:val="00700169"/>
    <w:rsid w:val="0070036B"/>
    <w:rsid w:val="007004C2"/>
    <w:rsid w:val="007007E6"/>
    <w:rsid w:val="00700A01"/>
    <w:rsid w:val="00701027"/>
    <w:rsid w:val="007012C0"/>
    <w:rsid w:val="007016AF"/>
    <w:rsid w:val="00701A74"/>
    <w:rsid w:val="00701D1F"/>
    <w:rsid w:val="00702372"/>
    <w:rsid w:val="007023B6"/>
    <w:rsid w:val="0070283F"/>
    <w:rsid w:val="00702E7F"/>
    <w:rsid w:val="00703056"/>
    <w:rsid w:val="00703459"/>
    <w:rsid w:val="00703BB5"/>
    <w:rsid w:val="00703C0D"/>
    <w:rsid w:val="00703E31"/>
    <w:rsid w:val="00704676"/>
    <w:rsid w:val="007047E3"/>
    <w:rsid w:val="00704935"/>
    <w:rsid w:val="00704CB9"/>
    <w:rsid w:val="00704CBD"/>
    <w:rsid w:val="00705052"/>
    <w:rsid w:val="00705322"/>
    <w:rsid w:val="00705733"/>
    <w:rsid w:val="00705AD5"/>
    <w:rsid w:val="00705E62"/>
    <w:rsid w:val="00705F3D"/>
    <w:rsid w:val="00706065"/>
    <w:rsid w:val="0070635D"/>
    <w:rsid w:val="00706390"/>
    <w:rsid w:val="007067A8"/>
    <w:rsid w:val="00706A36"/>
    <w:rsid w:val="00706E83"/>
    <w:rsid w:val="00707489"/>
    <w:rsid w:val="007075CD"/>
    <w:rsid w:val="00707882"/>
    <w:rsid w:val="007078B4"/>
    <w:rsid w:val="007079E1"/>
    <w:rsid w:val="00707AAA"/>
    <w:rsid w:val="00707B1D"/>
    <w:rsid w:val="00707B2B"/>
    <w:rsid w:val="00707CC9"/>
    <w:rsid w:val="007105D2"/>
    <w:rsid w:val="0071073E"/>
    <w:rsid w:val="00710855"/>
    <w:rsid w:val="00711154"/>
    <w:rsid w:val="007112C8"/>
    <w:rsid w:val="007113AF"/>
    <w:rsid w:val="00711462"/>
    <w:rsid w:val="007115BD"/>
    <w:rsid w:val="00711875"/>
    <w:rsid w:val="00711CB6"/>
    <w:rsid w:val="00711EEC"/>
    <w:rsid w:val="00712148"/>
    <w:rsid w:val="00712D58"/>
    <w:rsid w:val="00712FE6"/>
    <w:rsid w:val="00713110"/>
    <w:rsid w:val="0071340D"/>
    <w:rsid w:val="007134AA"/>
    <w:rsid w:val="00713D54"/>
    <w:rsid w:val="00713EEF"/>
    <w:rsid w:val="007143E5"/>
    <w:rsid w:val="00714433"/>
    <w:rsid w:val="00714D5B"/>
    <w:rsid w:val="00714FEA"/>
    <w:rsid w:val="00715B06"/>
    <w:rsid w:val="00715CED"/>
    <w:rsid w:val="00715DED"/>
    <w:rsid w:val="0071650E"/>
    <w:rsid w:val="0071687A"/>
    <w:rsid w:val="00716ADF"/>
    <w:rsid w:val="00716D12"/>
    <w:rsid w:val="00716E53"/>
    <w:rsid w:val="007200BB"/>
    <w:rsid w:val="00720335"/>
    <w:rsid w:val="007208DA"/>
    <w:rsid w:val="00720DE0"/>
    <w:rsid w:val="00720F78"/>
    <w:rsid w:val="00721178"/>
    <w:rsid w:val="00721194"/>
    <w:rsid w:val="00721627"/>
    <w:rsid w:val="0072176F"/>
    <w:rsid w:val="00721B54"/>
    <w:rsid w:val="00722509"/>
    <w:rsid w:val="00722834"/>
    <w:rsid w:val="00722986"/>
    <w:rsid w:val="00722A78"/>
    <w:rsid w:val="00722E20"/>
    <w:rsid w:val="007232BF"/>
    <w:rsid w:val="007236C8"/>
    <w:rsid w:val="00723718"/>
    <w:rsid w:val="00723918"/>
    <w:rsid w:val="00723961"/>
    <w:rsid w:val="00723E17"/>
    <w:rsid w:val="00723E8E"/>
    <w:rsid w:val="0072437F"/>
    <w:rsid w:val="00724530"/>
    <w:rsid w:val="007245EF"/>
    <w:rsid w:val="007247D2"/>
    <w:rsid w:val="00724F70"/>
    <w:rsid w:val="007251C7"/>
    <w:rsid w:val="007258F9"/>
    <w:rsid w:val="00725E74"/>
    <w:rsid w:val="00725F82"/>
    <w:rsid w:val="00726195"/>
    <w:rsid w:val="00726714"/>
    <w:rsid w:val="00726BFB"/>
    <w:rsid w:val="00727FE6"/>
    <w:rsid w:val="00730257"/>
    <w:rsid w:val="0073050E"/>
    <w:rsid w:val="00730824"/>
    <w:rsid w:val="007309FE"/>
    <w:rsid w:val="00731069"/>
    <w:rsid w:val="00731273"/>
    <w:rsid w:val="0073150E"/>
    <w:rsid w:val="007315C2"/>
    <w:rsid w:val="007315FD"/>
    <w:rsid w:val="007316EF"/>
    <w:rsid w:val="007318E9"/>
    <w:rsid w:val="00731A34"/>
    <w:rsid w:val="00731CFE"/>
    <w:rsid w:val="00731E22"/>
    <w:rsid w:val="00731EE5"/>
    <w:rsid w:val="00732307"/>
    <w:rsid w:val="00732999"/>
    <w:rsid w:val="00732E97"/>
    <w:rsid w:val="0073358D"/>
    <w:rsid w:val="0073369D"/>
    <w:rsid w:val="0073439D"/>
    <w:rsid w:val="007343B2"/>
    <w:rsid w:val="0073441B"/>
    <w:rsid w:val="007346A0"/>
    <w:rsid w:val="007346CF"/>
    <w:rsid w:val="0073475F"/>
    <w:rsid w:val="007348EF"/>
    <w:rsid w:val="007350D1"/>
    <w:rsid w:val="00735462"/>
    <w:rsid w:val="007355D3"/>
    <w:rsid w:val="007356E3"/>
    <w:rsid w:val="007358D2"/>
    <w:rsid w:val="007359FA"/>
    <w:rsid w:val="00735CCB"/>
    <w:rsid w:val="00736384"/>
    <w:rsid w:val="007368F9"/>
    <w:rsid w:val="00736BF9"/>
    <w:rsid w:val="00736F63"/>
    <w:rsid w:val="007370A6"/>
    <w:rsid w:val="007371A5"/>
    <w:rsid w:val="00737A30"/>
    <w:rsid w:val="00737C75"/>
    <w:rsid w:val="0074018D"/>
    <w:rsid w:val="00740384"/>
    <w:rsid w:val="00740662"/>
    <w:rsid w:val="00740AA1"/>
    <w:rsid w:val="00741BCC"/>
    <w:rsid w:val="00742553"/>
    <w:rsid w:val="0074295A"/>
    <w:rsid w:val="007429CA"/>
    <w:rsid w:val="00742B99"/>
    <w:rsid w:val="00742C38"/>
    <w:rsid w:val="00742DA3"/>
    <w:rsid w:val="0074315D"/>
    <w:rsid w:val="00743830"/>
    <w:rsid w:val="00744393"/>
    <w:rsid w:val="007448E2"/>
    <w:rsid w:val="00744F0A"/>
    <w:rsid w:val="007451C7"/>
    <w:rsid w:val="0074537E"/>
    <w:rsid w:val="0074547C"/>
    <w:rsid w:val="00745827"/>
    <w:rsid w:val="00745967"/>
    <w:rsid w:val="00746346"/>
    <w:rsid w:val="00746679"/>
    <w:rsid w:val="007466A0"/>
    <w:rsid w:val="00746716"/>
    <w:rsid w:val="007469B0"/>
    <w:rsid w:val="00746B56"/>
    <w:rsid w:val="00746B93"/>
    <w:rsid w:val="00746DF5"/>
    <w:rsid w:val="00746EF0"/>
    <w:rsid w:val="0074771B"/>
    <w:rsid w:val="00747C06"/>
    <w:rsid w:val="00750DD0"/>
    <w:rsid w:val="0075126E"/>
    <w:rsid w:val="007514D7"/>
    <w:rsid w:val="00751652"/>
    <w:rsid w:val="00751707"/>
    <w:rsid w:val="00751752"/>
    <w:rsid w:val="007517EE"/>
    <w:rsid w:val="0075201C"/>
    <w:rsid w:val="007520EF"/>
    <w:rsid w:val="007522C7"/>
    <w:rsid w:val="0075295D"/>
    <w:rsid w:val="00752D88"/>
    <w:rsid w:val="00753027"/>
    <w:rsid w:val="00753E3A"/>
    <w:rsid w:val="007544C3"/>
    <w:rsid w:val="00754993"/>
    <w:rsid w:val="00754CD9"/>
    <w:rsid w:val="00754D82"/>
    <w:rsid w:val="00754DE8"/>
    <w:rsid w:val="00755432"/>
    <w:rsid w:val="007556FD"/>
    <w:rsid w:val="00755C06"/>
    <w:rsid w:val="00755DB0"/>
    <w:rsid w:val="00755E39"/>
    <w:rsid w:val="00756547"/>
    <w:rsid w:val="00756B09"/>
    <w:rsid w:val="00756F1A"/>
    <w:rsid w:val="007571EA"/>
    <w:rsid w:val="007571FF"/>
    <w:rsid w:val="00757227"/>
    <w:rsid w:val="00757678"/>
    <w:rsid w:val="0075772A"/>
    <w:rsid w:val="007577FA"/>
    <w:rsid w:val="007600F8"/>
    <w:rsid w:val="0076010A"/>
    <w:rsid w:val="0076020B"/>
    <w:rsid w:val="007604C9"/>
    <w:rsid w:val="00760824"/>
    <w:rsid w:val="00760B48"/>
    <w:rsid w:val="00760C7B"/>
    <w:rsid w:val="00760F46"/>
    <w:rsid w:val="007611B5"/>
    <w:rsid w:val="0076124F"/>
    <w:rsid w:val="007613B7"/>
    <w:rsid w:val="00761810"/>
    <w:rsid w:val="007619D0"/>
    <w:rsid w:val="00761A44"/>
    <w:rsid w:val="00761CD9"/>
    <w:rsid w:val="00761EDE"/>
    <w:rsid w:val="00761EE7"/>
    <w:rsid w:val="00762007"/>
    <w:rsid w:val="00762164"/>
    <w:rsid w:val="0076233F"/>
    <w:rsid w:val="00762442"/>
    <w:rsid w:val="0076249D"/>
    <w:rsid w:val="00762897"/>
    <w:rsid w:val="00762BE7"/>
    <w:rsid w:val="00762D9F"/>
    <w:rsid w:val="00762FE0"/>
    <w:rsid w:val="007631AF"/>
    <w:rsid w:val="0076339A"/>
    <w:rsid w:val="00763873"/>
    <w:rsid w:val="0076392F"/>
    <w:rsid w:val="0076399F"/>
    <w:rsid w:val="00763EA4"/>
    <w:rsid w:val="007646AF"/>
    <w:rsid w:val="00764AA1"/>
    <w:rsid w:val="0076545E"/>
    <w:rsid w:val="0076565B"/>
    <w:rsid w:val="00765BCF"/>
    <w:rsid w:val="0076609F"/>
    <w:rsid w:val="007664A7"/>
    <w:rsid w:val="0076664B"/>
    <w:rsid w:val="007667E7"/>
    <w:rsid w:val="00766AF8"/>
    <w:rsid w:val="00766FA4"/>
    <w:rsid w:val="00767202"/>
    <w:rsid w:val="007703D0"/>
    <w:rsid w:val="00770A1C"/>
    <w:rsid w:val="00771A7F"/>
    <w:rsid w:val="00771B1C"/>
    <w:rsid w:val="00771B52"/>
    <w:rsid w:val="00771C84"/>
    <w:rsid w:val="00772522"/>
    <w:rsid w:val="00772561"/>
    <w:rsid w:val="00772E18"/>
    <w:rsid w:val="00773314"/>
    <w:rsid w:val="00773DD3"/>
    <w:rsid w:val="007742B8"/>
    <w:rsid w:val="00774504"/>
    <w:rsid w:val="00774C7D"/>
    <w:rsid w:val="00774DF7"/>
    <w:rsid w:val="00775433"/>
    <w:rsid w:val="0077553B"/>
    <w:rsid w:val="007758FD"/>
    <w:rsid w:val="00776187"/>
    <w:rsid w:val="007767A7"/>
    <w:rsid w:val="00777086"/>
    <w:rsid w:val="00777463"/>
    <w:rsid w:val="007775D7"/>
    <w:rsid w:val="00777D4F"/>
    <w:rsid w:val="00777DD0"/>
    <w:rsid w:val="007801AC"/>
    <w:rsid w:val="00780314"/>
    <w:rsid w:val="0078034A"/>
    <w:rsid w:val="0078044D"/>
    <w:rsid w:val="00780514"/>
    <w:rsid w:val="007806A7"/>
    <w:rsid w:val="00780BA7"/>
    <w:rsid w:val="00780CA2"/>
    <w:rsid w:val="00780DAF"/>
    <w:rsid w:val="00781192"/>
    <w:rsid w:val="00781240"/>
    <w:rsid w:val="0078144F"/>
    <w:rsid w:val="0078170C"/>
    <w:rsid w:val="0078173E"/>
    <w:rsid w:val="0078173F"/>
    <w:rsid w:val="00781AC4"/>
    <w:rsid w:val="00781CFE"/>
    <w:rsid w:val="00781D1E"/>
    <w:rsid w:val="0078211F"/>
    <w:rsid w:val="0078238E"/>
    <w:rsid w:val="007823F9"/>
    <w:rsid w:val="007824AA"/>
    <w:rsid w:val="007824C2"/>
    <w:rsid w:val="007825C1"/>
    <w:rsid w:val="007826EF"/>
    <w:rsid w:val="0078276C"/>
    <w:rsid w:val="007827A0"/>
    <w:rsid w:val="00782875"/>
    <w:rsid w:val="00782A52"/>
    <w:rsid w:val="00782B0E"/>
    <w:rsid w:val="00783331"/>
    <w:rsid w:val="00783366"/>
    <w:rsid w:val="0078366B"/>
    <w:rsid w:val="00783726"/>
    <w:rsid w:val="00783D4D"/>
    <w:rsid w:val="007841AA"/>
    <w:rsid w:val="0078468E"/>
    <w:rsid w:val="00784A6D"/>
    <w:rsid w:val="00784BB6"/>
    <w:rsid w:val="007855CC"/>
    <w:rsid w:val="007859EB"/>
    <w:rsid w:val="00785C47"/>
    <w:rsid w:val="0078649C"/>
    <w:rsid w:val="007865C5"/>
    <w:rsid w:val="00786789"/>
    <w:rsid w:val="0078689A"/>
    <w:rsid w:val="00786E0E"/>
    <w:rsid w:val="00790436"/>
    <w:rsid w:val="00790526"/>
    <w:rsid w:val="00790754"/>
    <w:rsid w:val="00790E3B"/>
    <w:rsid w:val="00791223"/>
    <w:rsid w:val="007913B5"/>
    <w:rsid w:val="007914E8"/>
    <w:rsid w:val="00791504"/>
    <w:rsid w:val="00791738"/>
    <w:rsid w:val="00791781"/>
    <w:rsid w:val="00791923"/>
    <w:rsid w:val="00791C30"/>
    <w:rsid w:val="00791FD3"/>
    <w:rsid w:val="00792361"/>
    <w:rsid w:val="007928D6"/>
    <w:rsid w:val="00793099"/>
    <w:rsid w:val="007930EB"/>
    <w:rsid w:val="007932A5"/>
    <w:rsid w:val="007932E5"/>
    <w:rsid w:val="00793877"/>
    <w:rsid w:val="00793D17"/>
    <w:rsid w:val="0079440C"/>
    <w:rsid w:val="00794A31"/>
    <w:rsid w:val="00794B7C"/>
    <w:rsid w:val="00794F54"/>
    <w:rsid w:val="007951C7"/>
    <w:rsid w:val="007954DA"/>
    <w:rsid w:val="00795726"/>
    <w:rsid w:val="00796150"/>
    <w:rsid w:val="007965BA"/>
    <w:rsid w:val="00796678"/>
    <w:rsid w:val="0079667B"/>
    <w:rsid w:val="0079690E"/>
    <w:rsid w:val="00796A2B"/>
    <w:rsid w:val="00796B62"/>
    <w:rsid w:val="00796E22"/>
    <w:rsid w:val="00797567"/>
    <w:rsid w:val="00797972"/>
    <w:rsid w:val="007A00ED"/>
    <w:rsid w:val="007A05CB"/>
    <w:rsid w:val="007A06E6"/>
    <w:rsid w:val="007A06FB"/>
    <w:rsid w:val="007A0CBD"/>
    <w:rsid w:val="007A0CED"/>
    <w:rsid w:val="007A0E94"/>
    <w:rsid w:val="007A0FB2"/>
    <w:rsid w:val="007A1246"/>
    <w:rsid w:val="007A181C"/>
    <w:rsid w:val="007A1ADA"/>
    <w:rsid w:val="007A1D64"/>
    <w:rsid w:val="007A1F9C"/>
    <w:rsid w:val="007A205C"/>
    <w:rsid w:val="007A2384"/>
    <w:rsid w:val="007A2AA3"/>
    <w:rsid w:val="007A2CF4"/>
    <w:rsid w:val="007A3104"/>
    <w:rsid w:val="007A31C0"/>
    <w:rsid w:val="007A31F5"/>
    <w:rsid w:val="007A3796"/>
    <w:rsid w:val="007A3D3B"/>
    <w:rsid w:val="007A3E4F"/>
    <w:rsid w:val="007A4656"/>
    <w:rsid w:val="007A46EC"/>
    <w:rsid w:val="007A4A95"/>
    <w:rsid w:val="007A4FD8"/>
    <w:rsid w:val="007A5281"/>
    <w:rsid w:val="007A55DB"/>
    <w:rsid w:val="007A5CB5"/>
    <w:rsid w:val="007A5D16"/>
    <w:rsid w:val="007A62C1"/>
    <w:rsid w:val="007A6DCC"/>
    <w:rsid w:val="007A7172"/>
    <w:rsid w:val="007A71DC"/>
    <w:rsid w:val="007A738A"/>
    <w:rsid w:val="007A77DA"/>
    <w:rsid w:val="007A7CC0"/>
    <w:rsid w:val="007B07D4"/>
    <w:rsid w:val="007B0A8F"/>
    <w:rsid w:val="007B1355"/>
    <w:rsid w:val="007B136F"/>
    <w:rsid w:val="007B137E"/>
    <w:rsid w:val="007B1592"/>
    <w:rsid w:val="007B1C7B"/>
    <w:rsid w:val="007B1D51"/>
    <w:rsid w:val="007B1F60"/>
    <w:rsid w:val="007B23C8"/>
    <w:rsid w:val="007B26CA"/>
    <w:rsid w:val="007B26FA"/>
    <w:rsid w:val="007B27AB"/>
    <w:rsid w:val="007B2D58"/>
    <w:rsid w:val="007B30F3"/>
    <w:rsid w:val="007B37B2"/>
    <w:rsid w:val="007B3F29"/>
    <w:rsid w:val="007B4161"/>
    <w:rsid w:val="007B5179"/>
    <w:rsid w:val="007B5AA1"/>
    <w:rsid w:val="007B5E97"/>
    <w:rsid w:val="007B663E"/>
    <w:rsid w:val="007B666C"/>
    <w:rsid w:val="007B6A7C"/>
    <w:rsid w:val="007B6A99"/>
    <w:rsid w:val="007B6CF6"/>
    <w:rsid w:val="007B755C"/>
    <w:rsid w:val="007B7860"/>
    <w:rsid w:val="007B7C64"/>
    <w:rsid w:val="007B7D7F"/>
    <w:rsid w:val="007C0026"/>
    <w:rsid w:val="007C0730"/>
    <w:rsid w:val="007C096A"/>
    <w:rsid w:val="007C0F48"/>
    <w:rsid w:val="007C1068"/>
    <w:rsid w:val="007C11B8"/>
    <w:rsid w:val="007C17A2"/>
    <w:rsid w:val="007C1905"/>
    <w:rsid w:val="007C1B9A"/>
    <w:rsid w:val="007C1E2B"/>
    <w:rsid w:val="007C29C9"/>
    <w:rsid w:val="007C30BD"/>
    <w:rsid w:val="007C335F"/>
    <w:rsid w:val="007C3D9B"/>
    <w:rsid w:val="007C4044"/>
    <w:rsid w:val="007C40BB"/>
    <w:rsid w:val="007C434A"/>
    <w:rsid w:val="007C4751"/>
    <w:rsid w:val="007C4935"/>
    <w:rsid w:val="007C4CD1"/>
    <w:rsid w:val="007C51A5"/>
    <w:rsid w:val="007C58A8"/>
    <w:rsid w:val="007C5E69"/>
    <w:rsid w:val="007C62BF"/>
    <w:rsid w:val="007C62DB"/>
    <w:rsid w:val="007C65CC"/>
    <w:rsid w:val="007C6B84"/>
    <w:rsid w:val="007C6E48"/>
    <w:rsid w:val="007C751A"/>
    <w:rsid w:val="007C75ED"/>
    <w:rsid w:val="007C7E63"/>
    <w:rsid w:val="007D01EE"/>
    <w:rsid w:val="007D026B"/>
    <w:rsid w:val="007D05FE"/>
    <w:rsid w:val="007D0D63"/>
    <w:rsid w:val="007D1164"/>
    <w:rsid w:val="007D13D5"/>
    <w:rsid w:val="007D174D"/>
    <w:rsid w:val="007D1B4F"/>
    <w:rsid w:val="007D1CF3"/>
    <w:rsid w:val="007D1E1D"/>
    <w:rsid w:val="007D210C"/>
    <w:rsid w:val="007D26A3"/>
    <w:rsid w:val="007D282C"/>
    <w:rsid w:val="007D2FC1"/>
    <w:rsid w:val="007D302F"/>
    <w:rsid w:val="007D34E9"/>
    <w:rsid w:val="007D358F"/>
    <w:rsid w:val="007D4221"/>
    <w:rsid w:val="007D45D6"/>
    <w:rsid w:val="007D4FCD"/>
    <w:rsid w:val="007D53D5"/>
    <w:rsid w:val="007D5548"/>
    <w:rsid w:val="007D56E5"/>
    <w:rsid w:val="007D575E"/>
    <w:rsid w:val="007D58AA"/>
    <w:rsid w:val="007D59B1"/>
    <w:rsid w:val="007D59D7"/>
    <w:rsid w:val="007D5B21"/>
    <w:rsid w:val="007D5F07"/>
    <w:rsid w:val="007D67C3"/>
    <w:rsid w:val="007D68F6"/>
    <w:rsid w:val="007D6C86"/>
    <w:rsid w:val="007D70A1"/>
    <w:rsid w:val="007D7590"/>
    <w:rsid w:val="007E0048"/>
    <w:rsid w:val="007E0285"/>
    <w:rsid w:val="007E05D3"/>
    <w:rsid w:val="007E07EC"/>
    <w:rsid w:val="007E1335"/>
    <w:rsid w:val="007E1A7F"/>
    <w:rsid w:val="007E1B21"/>
    <w:rsid w:val="007E2306"/>
    <w:rsid w:val="007E2956"/>
    <w:rsid w:val="007E2AB7"/>
    <w:rsid w:val="007E3361"/>
    <w:rsid w:val="007E3776"/>
    <w:rsid w:val="007E3896"/>
    <w:rsid w:val="007E395A"/>
    <w:rsid w:val="007E3B5F"/>
    <w:rsid w:val="007E3D1B"/>
    <w:rsid w:val="007E3FED"/>
    <w:rsid w:val="007E45E1"/>
    <w:rsid w:val="007E4C48"/>
    <w:rsid w:val="007E4D23"/>
    <w:rsid w:val="007E5235"/>
    <w:rsid w:val="007E5326"/>
    <w:rsid w:val="007E53F4"/>
    <w:rsid w:val="007E5513"/>
    <w:rsid w:val="007E55F6"/>
    <w:rsid w:val="007E57BC"/>
    <w:rsid w:val="007E5AA7"/>
    <w:rsid w:val="007E5DFD"/>
    <w:rsid w:val="007E5E8D"/>
    <w:rsid w:val="007E63FB"/>
    <w:rsid w:val="007E7329"/>
    <w:rsid w:val="007E751D"/>
    <w:rsid w:val="007E771A"/>
    <w:rsid w:val="007E7ABA"/>
    <w:rsid w:val="007E7EB1"/>
    <w:rsid w:val="007E7FBB"/>
    <w:rsid w:val="007F0233"/>
    <w:rsid w:val="007F09C3"/>
    <w:rsid w:val="007F0E42"/>
    <w:rsid w:val="007F12FE"/>
    <w:rsid w:val="007F189A"/>
    <w:rsid w:val="007F189B"/>
    <w:rsid w:val="007F1CD1"/>
    <w:rsid w:val="007F24E3"/>
    <w:rsid w:val="007F28F6"/>
    <w:rsid w:val="007F2A61"/>
    <w:rsid w:val="007F2C5C"/>
    <w:rsid w:val="007F2CAD"/>
    <w:rsid w:val="007F33B6"/>
    <w:rsid w:val="007F34E6"/>
    <w:rsid w:val="007F3764"/>
    <w:rsid w:val="007F3BE7"/>
    <w:rsid w:val="007F3F5A"/>
    <w:rsid w:val="007F40F2"/>
    <w:rsid w:val="007F4590"/>
    <w:rsid w:val="007F4E67"/>
    <w:rsid w:val="007F5573"/>
    <w:rsid w:val="007F59FA"/>
    <w:rsid w:val="007F5A83"/>
    <w:rsid w:val="007F5B9A"/>
    <w:rsid w:val="007F6477"/>
    <w:rsid w:val="007F64BC"/>
    <w:rsid w:val="007F69E3"/>
    <w:rsid w:val="007F6AE1"/>
    <w:rsid w:val="007F723D"/>
    <w:rsid w:val="007F7644"/>
    <w:rsid w:val="007F76F8"/>
    <w:rsid w:val="007F7F94"/>
    <w:rsid w:val="0080079C"/>
    <w:rsid w:val="008008FC"/>
    <w:rsid w:val="00801228"/>
    <w:rsid w:val="00801428"/>
    <w:rsid w:val="008014EA"/>
    <w:rsid w:val="00801D98"/>
    <w:rsid w:val="00801DC7"/>
    <w:rsid w:val="00802752"/>
    <w:rsid w:val="00802C86"/>
    <w:rsid w:val="00802E93"/>
    <w:rsid w:val="008030E7"/>
    <w:rsid w:val="008031FB"/>
    <w:rsid w:val="0080328F"/>
    <w:rsid w:val="0080344A"/>
    <w:rsid w:val="00803DC4"/>
    <w:rsid w:val="00803E8C"/>
    <w:rsid w:val="0080488A"/>
    <w:rsid w:val="00804A5B"/>
    <w:rsid w:val="00804CAB"/>
    <w:rsid w:val="00806291"/>
    <w:rsid w:val="008062CA"/>
    <w:rsid w:val="008065DF"/>
    <w:rsid w:val="008068C2"/>
    <w:rsid w:val="00807133"/>
    <w:rsid w:val="00807170"/>
    <w:rsid w:val="00807F2F"/>
    <w:rsid w:val="00810093"/>
    <w:rsid w:val="008102E3"/>
    <w:rsid w:val="0081054C"/>
    <w:rsid w:val="00810933"/>
    <w:rsid w:val="00810BA3"/>
    <w:rsid w:val="00810C38"/>
    <w:rsid w:val="00811265"/>
    <w:rsid w:val="0081163A"/>
    <w:rsid w:val="00811BAF"/>
    <w:rsid w:val="0081217E"/>
    <w:rsid w:val="008121FF"/>
    <w:rsid w:val="008126AB"/>
    <w:rsid w:val="00812766"/>
    <w:rsid w:val="00812D61"/>
    <w:rsid w:val="00813448"/>
    <w:rsid w:val="0081423A"/>
    <w:rsid w:val="00814313"/>
    <w:rsid w:val="0081474B"/>
    <w:rsid w:val="008147A3"/>
    <w:rsid w:val="008147EC"/>
    <w:rsid w:val="00814C2B"/>
    <w:rsid w:val="00814D64"/>
    <w:rsid w:val="008152AC"/>
    <w:rsid w:val="008154D4"/>
    <w:rsid w:val="008158DF"/>
    <w:rsid w:val="00815AD3"/>
    <w:rsid w:val="00815B9B"/>
    <w:rsid w:val="00816AB7"/>
    <w:rsid w:val="00816FE6"/>
    <w:rsid w:val="00817414"/>
    <w:rsid w:val="00817562"/>
    <w:rsid w:val="00817744"/>
    <w:rsid w:val="0082006A"/>
    <w:rsid w:val="0082014E"/>
    <w:rsid w:val="0082055E"/>
    <w:rsid w:val="008205EF"/>
    <w:rsid w:val="00820973"/>
    <w:rsid w:val="00820BAB"/>
    <w:rsid w:val="00820FFE"/>
    <w:rsid w:val="0082123B"/>
    <w:rsid w:val="00821972"/>
    <w:rsid w:val="00821AA2"/>
    <w:rsid w:val="00821DC8"/>
    <w:rsid w:val="00821F62"/>
    <w:rsid w:val="00822071"/>
    <w:rsid w:val="008221F9"/>
    <w:rsid w:val="00822ADD"/>
    <w:rsid w:val="00822F4C"/>
    <w:rsid w:val="008236DC"/>
    <w:rsid w:val="00823890"/>
    <w:rsid w:val="00823F27"/>
    <w:rsid w:val="0082412B"/>
    <w:rsid w:val="0082424A"/>
    <w:rsid w:val="008242B6"/>
    <w:rsid w:val="008243F6"/>
    <w:rsid w:val="0082445B"/>
    <w:rsid w:val="00824870"/>
    <w:rsid w:val="00824F90"/>
    <w:rsid w:val="008259B7"/>
    <w:rsid w:val="00825F59"/>
    <w:rsid w:val="00826056"/>
    <w:rsid w:val="008268BB"/>
    <w:rsid w:val="00826B7A"/>
    <w:rsid w:val="00826BF3"/>
    <w:rsid w:val="00826C2D"/>
    <w:rsid w:val="00826F9A"/>
    <w:rsid w:val="00827005"/>
    <w:rsid w:val="008300F2"/>
    <w:rsid w:val="0083034E"/>
    <w:rsid w:val="00830526"/>
    <w:rsid w:val="008305F8"/>
    <w:rsid w:val="00830979"/>
    <w:rsid w:val="00830B95"/>
    <w:rsid w:val="00830D58"/>
    <w:rsid w:val="00830FDA"/>
    <w:rsid w:val="0083121B"/>
    <w:rsid w:val="0083155A"/>
    <w:rsid w:val="00831A85"/>
    <w:rsid w:val="00831BD1"/>
    <w:rsid w:val="00831C72"/>
    <w:rsid w:val="00832366"/>
    <w:rsid w:val="008323FF"/>
    <w:rsid w:val="008327E9"/>
    <w:rsid w:val="00833962"/>
    <w:rsid w:val="00833D76"/>
    <w:rsid w:val="00834467"/>
    <w:rsid w:val="008349CC"/>
    <w:rsid w:val="00834B5B"/>
    <w:rsid w:val="00834DFE"/>
    <w:rsid w:val="00834FB2"/>
    <w:rsid w:val="0083511B"/>
    <w:rsid w:val="008364A3"/>
    <w:rsid w:val="00836812"/>
    <w:rsid w:val="008368BB"/>
    <w:rsid w:val="00836B42"/>
    <w:rsid w:val="008370A8"/>
    <w:rsid w:val="0083742C"/>
    <w:rsid w:val="00837477"/>
    <w:rsid w:val="00837B10"/>
    <w:rsid w:val="00837CD0"/>
    <w:rsid w:val="0084004E"/>
    <w:rsid w:val="0084034D"/>
    <w:rsid w:val="008409FF"/>
    <w:rsid w:val="00840F84"/>
    <w:rsid w:val="00840FFD"/>
    <w:rsid w:val="00841069"/>
    <w:rsid w:val="0084116D"/>
    <w:rsid w:val="00841349"/>
    <w:rsid w:val="008413E7"/>
    <w:rsid w:val="008415C9"/>
    <w:rsid w:val="00841A57"/>
    <w:rsid w:val="00841E0F"/>
    <w:rsid w:val="00842390"/>
    <w:rsid w:val="00842413"/>
    <w:rsid w:val="00842C3D"/>
    <w:rsid w:val="00842EFE"/>
    <w:rsid w:val="00842F58"/>
    <w:rsid w:val="008438AD"/>
    <w:rsid w:val="00843BEA"/>
    <w:rsid w:val="00844390"/>
    <w:rsid w:val="00844498"/>
    <w:rsid w:val="00844A96"/>
    <w:rsid w:val="00844DE4"/>
    <w:rsid w:val="008459B4"/>
    <w:rsid w:val="008459DC"/>
    <w:rsid w:val="00845A4B"/>
    <w:rsid w:val="00845FE8"/>
    <w:rsid w:val="008461E0"/>
    <w:rsid w:val="008463DD"/>
    <w:rsid w:val="008464B2"/>
    <w:rsid w:val="008464CA"/>
    <w:rsid w:val="00847E69"/>
    <w:rsid w:val="00850148"/>
    <w:rsid w:val="008501F3"/>
    <w:rsid w:val="008502F6"/>
    <w:rsid w:val="00850458"/>
    <w:rsid w:val="00850839"/>
    <w:rsid w:val="00850A76"/>
    <w:rsid w:val="00850C40"/>
    <w:rsid w:val="00850CB8"/>
    <w:rsid w:val="00851140"/>
    <w:rsid w:val="0085133B"/>
    <w:rsid w:val="008513DD"/>
    <w:rsid w:val="008516B7"/>
    <w:rsid w:val="0085190E"/>
    <w:rsid w:val="0085198C"/>
    <w:rsid w:val="00851B2E"/>
    <w:rsid w:val="00852214"/>
    <w:rsid w:val="00852344"/>
    <w:rsid w:val="0085281F"/>
    <w:rsid w:val="00852944"/>
    <w:rsid w:val="00852B35"/>
    <w:rsid w:val="00852DD4"/>
    <w:rsid w:val="00852F9D"/>
    <w:rsid w:val="00853373"/>
    <w:rsid w:val="00853B35"/>
    <w:rsid w:val="00853C96"/>
    <w:rsid w:val="008547B0"/>
    <w:rsid w:val="00854B57"/>
    <w:rsid w:val="00854BB8"/>
    <w:rsid w:val="00854DB2"/>
    <w:rsid w:val="00855E2E"/>
    <w:rsid w:val="00856167"/>
    <w:rsid w:val="008563A7"/>
    <w:rsid w:val="008563D4"/>
    <w:rsid w:val="0085689D"/>
    <w:rsid w:val="0085692D"/>
    <w:rsid w:val="00857024"/>
    <w:rsid w:val="00857312"/>
    <w:rsid w:val="008573CF"/>
    <w:rsid w:val="0085782F"/>
    <w:rsid w:val="00857995"/>
    <w:rsid w:val="00857F6C"/>
    <w:rsid w:val="0086011A"/>
    <w:rsid w:val="008607B6"/>
    <w:rsid w:val="00860A42"/>
    <w:rsid w:val="00860C5C"/>
    <w:rsid w:val="00861056"/>
    <w:rsid w:val="008612E9"/>
    <w:rsid w:val="008616F0"/>
    <w:rsid w:val="00861CAC"/>
    <w:rsid w:val="00861E55"/>
    <w:rsid w:val="00862220"/>
    <w:rsid w:val="0086266C"/>
    <w:rsid w:val="00862AFA"/>
    <w:rsid w:val="00862F14"/>
    <w:rsid w:val="008634C3"/>
    <w:rsid w:val="00863517"/>
    <w:rsid w:val="008635FC"/>
    <w:rsid w:val="0086374D"/>
    <w:rsid w:val="00863BA8"/>
    <w:rsid w:val="00863E9C"/>
    <w:rsid w:val="008644AF"/>
    <w:rsid w:val="008647D8"/>
    <w:rsid w:val="00864827"/>
    <w:rsid w:val="00864910"/>
    <w:rsid w:val="00864C62"/>
    <w:rsid w:val="00865052"/>
    <w:rsid w:val="00865594"/>
    <w:rsid w:val="00865753"/>
    <w:rsid w:val="00865A4D"/>
    <w:rsid w:val="00865CF8"/>
    <w:rsid w:val="00865F04"/>
    <w:rsid w:val="008671FE"/>
    <w:rsid w:val="00867360"/>
    <w:rsid w:val="0086747C"/>
    <w:rsid w:val="008675D9"/>
    <w:rsid w:val="008677C6"/>
    <w:rsid w:val="00867969"/>
    <w:rsid w:val="00867B24"/>
    <w:rsid w:val="00867B5B"/>
    <w:rsid w:val="00867F2B"/>
    <w:rsid w:val="008703DA"/>
    <w:rsid w:val="0087081C"/>
    <w:rsid w:val="00870CE8"/>
    <w:rsid w:val="00870DEA"/>
    <w:rsid w:val="008715C9"/>
    <w:rsid w:val="0087173D"/>
    <w:rsid w:val="00871C2E"/>
    <w:rsid w:val="008720CB"/>
    <w:rsid w:val="008723CD"/>
    <w:rsid w:val="008723F8"/>
    <w:rsid w:val="00872659"/>
    <w:rsid w:val="008726CC"/>
    <w:rsid w:val="00873478"/>
    <w:rsid w:val="0087369D"/>
    <w:rsid w:val="008736F2"/>
    <w:rsid w:val="0087392B"/>
    <w:rsid w:val="00873D60"/>
    <w:rsid w:val="00873EFF"/>
    <w:rsid w:val="00874247"/>
    <w:rsid w:val="008742F6"/>
    <w:rsid w:val="00874331"/>
    <w:rsid w:val="008748EB"/>
    <w:rsid w:val="00874BDC"/>
    <w:rsid w:val="00874C04"/>
    <w:rsid w:val="00875158"/>
    <w:rsid w:val="008752D8"/>
    <w:rsid w:val="0087544B"/>
    <w:rsid w:val="00875714"/>
    <w:rsid w:val="00875BC5"/>
    <w:rsid w:val="00875DB1"/>
    <w:rsid w:val="00875DBE"/>
    <w:rsid w:val="00875E74"/>
    <w:rsid w:val="00875F00"/>
    <w:rsid w:val="00876250"/>
    <w:rsid w:val="008762FE"/>
    <w:rsid w:val="008763CE"/>
    <w:rsid w:val="008771C1"/>
    <w:rsid w:val="008774DE"/>
    <w:rsid w:val="00877972"/>
    <w:rsid w:val="00877B1A"/>
    <w:rsid w:val="00877F7D"/>
    <w:rsid w:val="00880262"/>
    <w:rsid w:val="008805CA"/>
    <w:rsid w:val="00880F63"/>
    <w:rsid w:val="0088111D"/>
    <w:rsid w:val="008812C6"/>
    <w:rsid w:val="0088154B"/>
    <w:rsid w:val="00881D94"/>
    <w:rsid w:val="008822D0"/>
    <w:rsid w:val="008822FA"/>
    <w:rsid w:val="008824A7"/>
    <w:rsid w:val="00882621"/>
    <w:rsid w:val="0088291F"/>
    <w:rsid w:val="008829BA"/>
    <w:rsid w:val="00882BBF"/>
    <w:rsid w:val="00882C3A"/>
    <w:rsid w:val="00883B6D"/>
    <w:rsid w:val="00883C84"/>
    <w:rsid w:val="00883DF2"/>
    <w:rsid w:val="00883E32"/>
    <w:rsid w:val="00884207"/>
    <w:rsid w:val="0088435E"/>
    <w:rsid w:val="00884E33"/>
    <w:rsid w:val="00884ED9"/>
    <w:rsid w:val="008851A5"/>
    <w:rsid w:val="00885284"/>
    <w:rsid w:val="0088537B"/>
    <w:rsid w:val="00885527"/>
    <w:rsid w:val="008859F7"/>
    <w:rsid w:val="00885BD8"/>
    <w:rsid w:val="00885E0A"/>
    <w:rsid w:val="00885F5E"/>
    <w:rsid w:val="00886073"/>
    <w:rsid w:val="00886916"/>
    <w:rsid w:val="0089024A"/>
    <w:rsid w:val="0089025D"/>
    <w:rsid w:val="00890A1E"/>
    <w:rsid w:val="00891F05"/>
    <w:rsid w:val="00891FFD"/>
    <w:rsid w:val="00892450"/>
    <w:rsid w:val="008926F9"/>
    <w:rsid w:val="00892AB3"/>
    <w:rsid w:val="0089335D"/>
    <w:rsid w:val="0089338C"/>
    <w:rsid w:val="00893814"/>
    <w:rsid w:val="008941EA"/>
    <w:rsid w:val="0089438A"/>
    <w:rsid w:val="00894398"/>
    <w:rsid w:val="00894E81"/>
    <w:rsid w:val="008950FD"/>
    <w:rsid w:val="008956C6"/>
    <w:rsid w:val="008957F0"/>
    <w:rsid w:val="00895FEE"/>
    <w:rsid w:val="0089606E"/>
    <w:rsid w:val="0089616F"/>
    <w:rsid w:val="00896424"/>
    <w:rsid w:val="00896887"/>
    <w:rsid w:val="00896B6B"/>
    <w:rsid w:val="00896DFD"/>
    <w:rsid w:val="00896E4E"/>
    <w:rsid w:val="00896F82"/>
    <w:rsid w:val="00896FC8"/>
    <w:rsid w:val="00897193"/>
    <w:rsid w:val="008A0204"/>
    <w:rsid w:val="008A03E5"/>
    <w:rsid w:val="008A0AB9"/>
    <w:rsid w:val="008A1621"/>
    <w:rsid w:val="008A1654"/>
    <w:rsid w:val="008A1666"/>
    <w:rsid w:val="008A17F3"/>
    <w:rsid w:val="008A1A57"/>
    <w:rsid w:val="008A1B7E"/>
    <w:rsid w:val="008A1F75"/>
    <w:rsid w:val="008A2249"/>
    <w:rsid w:val="008A25A5"/>
    <w:rsid w:val="008A25B9"/>
    <w:rsid w:val="008A27B3"/>
    <w:rsid w:val="008A2C3C"/>
    <w:rsid w:val="008A2FE5"/>
    <w:rsid w:val="008A324A"/>
    <w:rsid w:val="008A35BC"/>
    <w:rsid w:val="008A38C3"/>
    <w:rsid w:val="008A3998"/>
    <w:rsid w:val="008A3AA8"/>
    <w:rsid w:val="008A3AE4"/>
    <w:rsid w:val="008A3B00"/>
    <w:rsid w:val="008A3B78"/>
    <w:rsid w:val="008A4523"/>
    <w:rsid w:val="008A4A19"/>
    <w:rsid w:val="008A4CCF"/>
    <w:rsid w:val="008A5606"/>
    <w:rsid w:val="008A5ABA"/>
    <w:rsid w:val="008A5C12"/>
    <w:rsid w:val="008A5F6F"/>
    <w:rsid w:val="008A5F89"/>
    <w:rsid w:val="008A6502"/>
    <w:rsid w:val="008A6AAE"/>
    <w:rsid w:val="008A6AFA"/>
    <w:rsid w:val="008A6B74"/>
    <w:rsid w:val="008A6EB1"/>
    <w:rsid w:val="008A6EC5"/>
    <w:rsid w:val="008A709E"/>
    <w:rsid w:val="008A74E8"/>
    <w:rsid w:val="008A77BD"/>
    <w:rsid w:val="008B01D4"/>
    <w:rsid w:val="008B0292"/>
    <w:rsid w:val="008B0348"/>
    <w:rsid w:val="008B03C8"/>
    <w:rsid w:val="008B0463"/>
    <w:rsid w:val="008B0660"/>
    <w:rsid w:val="008B07E9"/>
    <w:rsid w:val="008B1296"/>
    <w:rsid w:val="008B1311"/>
    <w:rsid w:val="008B1370"/>
    <w:rsid w:val="008B1D08"/>
    <w:rsid w:val="008B1E63"/>
    <w:rsid w:val="008B2356"/>
    <w:rsid w:val="008B28CF"/>
    <w:rsid w:val="008B2903"/>
    <w:rsid w:val="008B2956"/>
    <w:rsid w:val="008B2D8E"/>
    <w:rsid w:val="008B45BA"/>
    <w:rsid w:val="008B45CF"/>
    <w:rsid w:val="008B51C0"/>
    <w:rsid w:val="008B5343"/>
    <w:rsid w:val="008B5382"/>
    <w:rsid w:val="008B561D"/>
    <w:rsid w:val="008B568F"/>
    <w:rsid w:val="008B574C"/>
    <w:rsid w:val="008B5DD8"/>
    <w:rsid w:val="008B6339"/>
    <w:rsid w:val="008B64E9"/>
    <w:rsid w:val="008B6663"/>
    <w:rsid w:val="008B67ED"/>
    <w:rsid w:val="008B6CE1"/>
    <w:rsid w:val="008B71E0"/>
    <w:rsid w:val="008B71EA"/>
    <w:rsid w:val="008B7302"/>
    <w:rsid w:val="008B7D50"/>
    <w:rsid w:val="008C0182"/>
    <w:rsid w:val="008C04F2"/>
    <w:rsid w:val="008C10F3"/>
    <w:rsid w:val="008C1567"/>
    <w:rsid w:val="008C1868"/>
    <w:rsid w:val="008C1F4B"/>
    <w:rsid w:val="008C258F"/>
    <w:rsid w:val="008C2B30"/>
    <w:rsid w:val="008C2BEA"/>
    <w:rsid w:val="008C2C61"/>
    <w:rsid w:val="008C2DF8"/>
    <w:rsid w:val="008C30D6"/>
    <w:rsid w:val="008C320F"/>
    <w:rsid w:val="008C3475"/>
    <w:rsid w:val="008C3E19"/>
    <w:rsid w:val="008C4196"/>
    <w:rsid w:val="008C48D4"/>
    <w:rsid w:val="008C49EE"/>
    <w:rsid w:val="008C4B36"/>
    <w:rsid w:val="008C580D"/>
    <w:rsid w:val="008C6067"/>
    <w:rsid w:val="008C60AC"/>
    <w:rsid w:val="008C6988"/>
    <w:rsid w:val="008C6D44"/>
    <w:rsid w:val="008C6EAA"/>
    <w:rsid w:val="008C7112"/>
    <w:rsid w:val="008C7126"/>
    <w:rsid w:val="008C7653"/>
    <w:rsid w:val="008C7822"/>
    <w:rsid w:val="008C79A8"/>
    <w:rsid w:val="008C7AAA"/>
    <w:rsid w:val="008C7DAA"/>
    <w:rsid w:val="008C7ECE"/>
    <w:rsid w:val="008D00AB"/>
    <w:rsid w:val="008D0501"/>
    <w:rsid w:val="008D07A0"/>
    <w:rsid w:val="008D0B43"/>
    <w:rsid w:val="008D1628"/>
    <w:rsid w:val="008D1CBE"/>
    <w:rsid w:val="008D1DFE"/>
    <w:rsid w:val="008D1EDF"/>
    <w:rsid w:val="008D28F0"/>
    <w:rsid w:val="008D3061"/>
    <w:rsid w:val="008D31EA"/>
    <w:rsid w:val="008D3504"/>
    <w:rsid w:val="008D3893"/>
    <w:rsid w:val="008D4068"/>
    <w:rsid w:val="008D413B"/>
    <w:rsid w:val="008D41BC"/>
    <w:rsid w:val="008D47A3"/>
    <w:rsid w:val="008D4B6E"/>
    <w:rsid w:val="008D4EE3"/>
    <w:rsid w:val="008D548C"/>
    <w:rsid w:val="008D5601"/>
    <w:rsid w:val="008D579A"/>
    <w:rsid w:val="008D669E"/>
    <w:rsid w:val="008D6CAC"/>
    <w:rsid w:val="008D73BF"/>
    <w:rsid w:val="008D7436"/>
    <w:rsid w:val="008D74BD"/>
    <w:rsid w:val="008D75C5"/>
    <w:rsid w:val="008D7C94"/>
    <w:rsid w:val="008E0925"/>
    <w:rsid w:val="008E0D52"/>
    <w:rsid w:val="008E0E12"/>
    <w:rsid w:val="008E1194"/>
    <w:rsid w:val="008E1301"/>
    <w:rsid w:val="008E1894"/>
    <w:rsid w:val="008E1A18"/>
    <w:rsid w:val="008E1C4C"/>
    <w:rsid w:val="008E1CFF"/>
    <w:rsid w:val="008E1D3D"/>
    <w:rsid w:val="008E1FFA"/>
    <w:rsid w:val="008E21CA"/>
    <w:rsid w:val="008E23B9"/>
    <w:rsid w:val="008E28F8"/>
    <w:rsid w:val="008E29E4"/>
    <w:rsid w:val="008E2AED"/>
    <w:rsid w:val="008E2D4E"/>
    <w:rsid w:val="008E30EF"/>
    <w:rsid w:val="008E3971"/>
    <w:rsid w:val="008E3BE8"/>
    <w:rsid w:val="008E3CE4"/>
    <w:rsid w:val="008E4D8C"/>
    <w:rsid w:val="008E4DEA"/>
    <w:rsid w:val="008E4F22"/>
    <w:rsid w:val="008E527F"/>
    <w:rsid w:val="008E52FD"/>
    <w:rsid w:val="008E5B64"/>
    <w:rsid w:val="008E5E59"/>
    <w:rsid w:val="008E5F71"/>
    <w:rsid w:val="008E6525"/>
    <w:rsid w:val="008E6A9A"/>
    <w:rsid w:val="008E6D97"/>
    <w:rsid w:val="008E6DEF"/>
    <w:rsid w:val="008E7245"/>
    <w:rsid w:val="008E7E70"/>
    <w:rsid w:val="008F000C"/>
    <w:rsid w:val="008F0202"/>
    <w:rsid w:val="008F05E2"/>
    <w:rsid w:val="008F07F5"/>
    <w:rsid w:val="008F1272"/>
    <w:rsid w:val="008F13F1"/>
    <w:rsid w:val="008F1EFF"/>
    <w:rsid w:val="008F26C8"/>
    <w:rsid w:val="008F298D"/>
    <w:rsid w:val="008F3187"/>
    <w:rsid w:val="008F3611"/>
    <w:rsid w:val="008F3841"/>
    <w:rsid w:val="008F386B"/>
    <w:rsid w:val="008F3999"/>
    <w:rsid w:val="008F3B1D"/>
    <w:rsid w:val="008F3B69"/>
    <w:rsid w:val="008F41F7"/>
    <w:rsid w:val="008F453A"/>
    <w:rsid w:val="008F48FC"/>
    <w:rsid w:val="008F4E0B"/>
    <w:rsid w:val="008F4F60"/>
    <w:rsid w:val="008F51EF"/>
    <w:rsid w:val="008F53E4"/>
    <w:rsid w:val="008F5901"/>
    <w:rsid w:val="008F5C8A"/>
    <w:rsid w:val="008F5E2A"/>
    <w:rsid w:val="008F68B2"/>
    <w:rsid w:val="008F6B68"/>
    <w:rsid w:val="008F6D54"/>
    <w:rsid w:val="008F73E8"/>
    <w:rsid w:val="008F765C"/>
    <w:rsid w:val="009001DF"/>
    <w:rsid w:val="0090024F"/>
    <w:rsid w:val="009002D2"/>
    <w:rsid w:val="009002EC"/>
    <w:rsid w:val="0090070D"/>
    <w:rsid w:val="00900FCF"/>
    <w:rsid w:val="00901556"/>
    <w:rsid w:val="00901902"/>
    <w:rsid w:val="009019AA"/>
    <w:rsid w:val="00901D3C"/>
    <w:rsid w:val="009020B9"/>
    <w:rsid w:val="009020F5"/>
    <w:rsid w:val="0090273D"/>
    <w:rsid w:val="0090280E"/>
    <w:rsid w:val="00902833"/>
    <w:rsid w:val="00903121"/>
    <w:rsid w:val="00904556"/>
    <w:rsid w:val="00904564"/>
    <w:rsid w:val="00904A60"/>
    <w:rsid w:val="00904B9A"/>
    <w:rsid w:val="009050CE"/>
    <w:rsid w:val="00905A07"/>
    <w:rsid w:val="00905A7E"/>
    <w:rsid w:val="00905D96"/>
    <w:rsid w:val="00905EBD"/>
    <w:rsid w:val="0090609A"/>
    <w:rsid w:val="00906113"/>
    <w:rsid w:val="00906439"/>
    <w:rsid w:val="00906654"/>
    <w:rsid w:val="00906749"/>
    <w:rsid w:val="00906C67"/>
    <w:rsid w:val="009070A6"/>
    <w:rsid w:val="00907516"/>
    <w:rsid w:val="009077E5"/>
    <w:rsid w:val="00907AD1"/>
    <w:rsid w:val="00910498"/>
    <w:rsid w:val="0091081B"/>
    <w:rsid w:val="00910C10"/>
    <w:rsid w:val="009119DE"/>
    <w:rsid w:val="00911ADD"/>
    <w:rsid w:val="00911E8C"/>
    <w:rsid w:val="00911F21"/>
    <w:rsid w:val="009126C8"/>
    <w:rsid w:val="00912B74"/>
    <w:rsid w:val="00912B86"/>
    <w:rsid w:val="00912BC0"/>
    <w:rsid w:val="00912C9E"/>
    <w:rsid w:val="00912DF8"/>
    <w:rsid w:val="00913081"/>
    <w:rsid w:val="00913ABC"/>
    <w:rsid w:val="00913DF4"/>
    <w:rsid w:val="009143F3"/>
    <w:rsid w:val="00914834"/>
    <w:rsid w:val="00914A7F"/>
    <w:rsid w:val="00914B20"/>
    <w:rsid w:val="00914DC5"/>
    <w:rsid w:val="00915408"/>
    <w:rsid w:val="009154B0"/>
    <w:rsid w:val="0091557B"/>
    <w:rsid w:val="00915B54"/>
    <w:rsid w:val="00915E0E"/>
    <w:rsid w:val="00915F88"/>
    <w:rsid w:val="00916886"/>
    <w:rsid w:val="00916B03"/>
    <w:rsid w:val="009170CE"/>
    <w:rsid w:val="0091712F"/>
    <w:rsid w:val="009174EF"/>
    <w:rsid w:val="00917AA5"/>
    <w:rsid w:val="00917DB1"/>
    <w:rsid w:val="00920004"/>
    <w:rsid w:val="00920AF7"/>
    <w:rsid w:val="00921094"/>
    <w:rsid w:val="00921E78"/>
    <w:rsid w:val="00922030"/>
    <w:rsid w:val="00922946"/>
    <w:rsid w:val="00922A29"/>
    <w:rsid w:val="00922F37"/>
    <w:rsid w:val="00922FCE"/>
    <w:rsid w:val="0092319A"/>
    <w:rsid w:val="00923627"/>
    <w:rsid w:val="009236AB"/>
    <w:rsid w:val="0092399F"/>
    <w:rsid w:val="00923D78"/>
    <w:rsid w:val="00923D8D"/>
    <w:rsid w:val="00923DE9"/>
    <w:rsid w:val="00923EEE"/>
    <w:rsid w:val="009247AD"/>
    <w:rsid w:val="009248AD"/>
    <w:rsid w:val="00924907"/>
    <w:rsid w:val="009249CE"/>
    <w:rsid w:val="00924DFA"/>
    <w:rsid w:val="00924EA8"/>
    <w:rsid w:val="009250C0"/>
    <w:rsid w:val="0092511E"/>
    <w:rsid w:val="00925521"/>
    <w:rsid w:val="009256D1"/>
    <w:rsid w:val="009257CF"/>
    <w:rsid w:val="009258AB"/>
    <w:rsid w:val="00925AB0"/>
    <w:rsid w:val="00925EDA"/>
    <w:rsid w:val="00925F87"/>
    <w:rsid w:val="00926139"/>
    <w:rsid w:val="0092695E"/>
    <w:rsid w:val="00926B7F"/>
    <w:rsid w:val="00927595"/>
    <w:rsid w:val="00927695"/>
    <w:rsid w:val="00927888"/>
    <w:rsid w:val="00927B80"/>
    <w:rsid w:val="00927DB5"/>
    <w:rsid w:val="00927E16"/>
    <w:rsid w:val="00927F2F"/>
    <w:rsid w:val="009303FB"/>
    <w:rsid w:val="00930419"/>
    <w:rsid w:val="009304C8"/>
    <w:rsid w:val="00930954"/>
    <w:rsid w:val="00930998"/>
    <w:rsid w:val="00930BC0"/>
    <w:rsid w:val="00930F75"/>
    <w:rsid w:val="00931D75"/>
    <w:rsid w:val="00931F77"/>
    <w:rsid w:val="00932205"/>
    <w:rsid w:val="00932883"/>
    <w:rsid w:val="00932B09"/>
    <w:rsid w:val="00932E44"/>
    <w:rsid w:val="0093316A"/>
    <w:rsid w:val="0093356A"/>
    <w:rsid w:val="00933616"/>
    <w:rsid w:val="00933A7C"/>
    <w:rsid w:val="00933DD8"/>
    <w:rsid w:val="00933F90"/>
    <w:rsid w:val="00934B53"/>
    <w:rsid w:val="009359E3"/>
    <w:rsid w:val="00935E89"/>
    <w:rsid w:val="00936382"/>
    <w:rsid w:val="00936A09"/>
    <w:rsid w:val="00936DAE"/>
    <w:rsid w:val="00937002"/>
    <w:rsid w:val="0093743D"/>
    <w:rsid w:val="00937B84"/>
    <w:rsid w:val="00937D55"/>
    <w:rsid w:val="00937EE0"/>
    <w:rsid w:val="009408FE"/>
    <w:rsid w:val="00940F01"/>
    <w:rsid w:val="009415E8"/>
    <w:rsid w:val="00941639"/>
    <w:rsid w:val="00941690"/>
    <w:rsid w:val="0094246A"/>
    <w:rsid w:val="00942B1B"/>
    <w:rsid w:val="00942EAA"/>
    <w:rsid w:val="009438F7"/>
    <w:rsid w:val="00943B38"/>
    <w:rsid w:val="00943E55"/>
    <w:rsid w:val="00944DCC"/>
    <w:rsid w:val="00944F23"/>
    <w:rsid w:val="009450FE"/>
    <w:rsid w:val="00945157"/>
    <w:rsid w:val="009451B9"/>
    <w:rsid w:val="00945485"/>
    <w:rsid w:val="00945C32"/>
    <w:rsid w:val="00945C8F"/>
    <w:rsid w:val="00946201"/>
    <w:rsid w:val="009466D3"/>
    <w:rsid w:val="00946FAD"/>
    <w:rsid w:val="0094732C"/>
    <w:rsid w:val="009477E4"/>
    <w:rsid w:val="009506E2"/>
    <w:rsid w:val="00950B2E"/>
    <w:rsid w:val="00950BBD"/>
    <w:rsid w:val="00951270"/>
    <w:rsid w:val="009512B8"/>
    <w:rsid w:val="009515B5"/>
    <w:rsid w:val="009516F6"/>
    <w:rsid w:val="0095191E"/>
    <w:rsid w:val="00951D23"/>
    <w:rsid w:val="0095215B"/>
    <w:rsid w:val="00952310"/>
    <w:rsid w:val="00952429"/>
    <w:rsid w:val="00952EAD"/>
    <w:rsid w:val="009530E5"/>
    <w:rsid w:val="0095328E"/>
    <w:rsid w:val="009536FC"/>
    <w:rsid w:val="0095426A"/>
    <w:rsid w:val="00954BD6"/>
    <w:rsid w:val="00954CEC"/>
    <w:rsid w:val="00954D87"/>
    <w:rsid w:val="00954FF1"/>
    <w:rsid w:val="009551AB"/>
    <w:rsid w:val="00955CBA"/>
    <w:rsid w:val="009560E5"/>
    <w:rsid w:val="009564C9"/>
    <w:rsid w:val="00956697"/>
    <w:rsid w:val="00956787"/>
    <w:rsid w:val="00956E4C"/>
    <w:rsid w:val="00956F3F"/>
    <w:rsid w:val="009575A0"/>
    <w:rsid w:val="0095773C"/>
    <w:rsid w:val="00957753"/>
    <w:rsid w:val="00957936"/>
    <w:rsid w:val="009579EE"/>
    <w:rsid w:val="00957C1B"/>
    <w:rsid w:val="00957DA8"/>
    <w:rsid w:val="00957E8B"/>
    <w:rsid w:val="009604C4"/>
    <w:rsid w:val="009606D0"/>
    <w:rsid w:val="009613A2"/>
    <w:rsid w:val="0096141C"/>
    <w:rsid w:val="00961DE1"/>
    <w:rsid w:val="00962E14"/>
    <w:rsid w:val="00962EC1"/>
    <w:rsid w:val="0096312C"/>
    <w:rsid w:val="00963D9E"/>
    <w:rsid w:val="00964089"/>
    <w:rsid w:val="0096410E"/>
    <w:rsid w:val="009642B7"/>
    <w:rsid w:val="009645AC"/>
    <w:rsid w:val="00964A1F"/>
    <w:rsid w:val="00964A3D"/>
    <w:rsid w:val="00964ABF"/>
    <w:rsid w:val="00964AD7"/>
    <w:rsid w:val="00964F10"/>
    <w:rsid w:val="00965455"/>
    <w:rsid w:val="00965485"/>
    <w:rsid w:val="00965B0F"/>
    <w:rsid w:val="00965BEA"/>
    <w:rsid w:val="00965D5F"/>
    <w:rsid w:val="00965D73"/>
    <w:rsid w:val="0096602B"/>
    <w:rsid w:val="00966312"/>
    <w:rsid w:val="0096632F"/>
    <w:rsid w:val="00966805"/>
    <w:rsid w:val="00966B49"/>
    <w:rsid w:val="00966CDD"/>
    <w:rsid w:val="00966D86"/>
    <w:rsid w:val="00966E54"/>
    <w:rsid w:val="009670AF"/>
    <w:rsid w:val="009674B3"/>
    <w:rsid w:val="00967A79"/>
    <w:rsid w:val="00967B9C"/>
    <w:rsid w:val="009700C9"/>
    <w:rsid w:val="00970BD9"/>
    <w:rsid w:val="00970EA4"/>
    <w:rsid w:val="00970FBB"/>
    <w:rsid w:val="00971B9B"/>
    <w:rsid w:val="00971DF9"/>
    <w:rsid w:val="009720E3"/>
    <w:rsid w:val="00972CB8"/>
    <w:rsid w:val="009735B9"/>
    <w:rsid w:val="00973620"/>
    <w:rsid w:val="009737F5"/>
    <w:rsid w:val="00973F66"/>
    <w:rsid w:val="009741D8"/>
    <w:rsid w:val="009742F3"/>
    <w:rsid w:val="0097466B"/>
    <w:rsid w:val="00974E9F"/>
    <w:rsid w:val="009751D8"/>
    <w:rsid w:val="00975838"/>
    <w:rsid w:val="00975A3C"/>
    <w:rsid w:val="00975D9D"/>
    <w:rsid w:val="00975F13"/>
    <w:rsid w:val="00975F49"/>
    <w:rsid w:val="0097696C"/>
    <w:rsid w:val="00977014"/>
    <w:rsid w:val="00977993"/>
    <w:rsid w:val="00977D8A"/>
    <w:rsid w:val="00977FA5"/>
    <w:rsid w:val="00980351"/>
    <w:rsid w:val="0098038E"/>
    <w:rsid w:val="009805A7"/>
    <w:rsid w:val="009806CA"/>
    <w:rsid w:val="00980CE2"/>
    <w:rsid w:val="00980F0D"/>
    <w:rsid w:val="0098158D"/>
    <w:rsid w:val="009819D9"/>
    <w:rsid w:val="00981CAE"/>
    <w:rsid w:val="00981FA8"/>
    <w:rsid w:val="00982088"/>
    <w:rsid w:val="00982125"/>
    <w:rsid w:val="00982F55"/>
    <w:rsid w:val="00983235"/>
    <w:rsid w:val="00983A23"/>
    <w:rsid w:val="00983AB5"/>
    <w:rsid w:val="00983DCF"/>
    <w:rsid w:val="00983F4D"/>
    <w:rsid w:val="009845C8"/>
    <w:rsid w:val="00984682"/>
    <w:rsid w:val="009847AA"/>
    <w:rsid w:val="00984A6C"/>
    <w:rsid w:val="00984D4C"/>
    <w:rsid w:val="009850A0"/>
    <w:rsid w:val="0098545B"/>
    <w:rsid w:val="009854F7"/>
    <w:rsid w:val="009857EF"/>
    <w:rsid w:val="00985AC6"/>
    <w:rsid w:val="00985D98"/>
    <w:rsid w:val="00985FC0"/>
    <w:rsid w:val="00986069"/>
    <w:rsid w:val="0098611D"/>
    <w:rsid w:val="009862FF"/>
    <w:rsid w:val="009864AE"/>
    <w:rsid w:val="00986F8A"/>
    <w:rsid w:val="0098758E"/>
    <w:rsid w:val="0098777E"/>
    <w:rsid w:val="00987A14"/>
    <w:rsid w:val="00990637"/>
    <w:rsid w:val="009908F4"/>
    <w:rsid w:val="00990DDE"/>
    <w:rsid w:val="00991222"/>
    <w:rsid w:val="0099127F"/>
    <w:rsid w:val="0099158E"/>
    <w:rsid w:val="00991846"/>
    <w:rsid w:val="00991B1A"/>
    <w:rsid w:val="00991F38"/>
    <w:rsid w:val="00992041"/>
    <w:rsid w:val="00992179"/>
    <w:rsid w:val="009921FA"/>
    <w:rsid w:val="00992802"/>
    <w:rsid w:val="009928C6"/>
    <w:rsid w:val="0099298A"/>
    <w:rsid w:val="0099308D"/>
    <w:rsid w:val="00993224"/>
    <w:rsid w:val="00993387"/>
    <w:rsid w:val="00993B80"/>
    <w:rsid w:val="0099409E"/>
    <w:rsid w:val="00994274"/>
    <w:rsid w:val="00994305"/>
    <w:rsid w:val="0099479A"/>
    <w:rsid w:val="009948F1"/>
    <w:rsid w:val="00994F80"/>
    <w:rsid w:val="009954E6"/>
    <w:rsid w:val="0099575D"/>
    <w:rsid w:val="009957EE"/>
    <w:rsid w:val="00995A25"/>
    <w:rsid w:val="00995B8B"/>
    <w:rsid w:val="00995F1F"/>
    <w:rsid w:val="00996749"/>
    <w:rsid w:val="00996B53"/>
    <w:rsid w:val="00997417"/>
    <w:rsid w:val="009975F5"/>
    <w:rsid w:val="00997FC7"/>
    <w:rsid w:val="009A04A6"/>
    <w:rsid w:val="009A073A"/>
    <w:rsid w:val="009A0B64"/>
    <w:rsid w:val="009A1563"/>
    <w:rsid w:val="009A1666"/>
    <w:rsid w:val="009A1E4F"/>
    <w:rsid w:val="009A21E2"/>
    <w:rsid w:val="009A21E3"/>
    <w:rsid w:val="009A24B3"/>
    <w:rsid w:val="009A268F"/>
    <w:rsid w:val="009A2962"/>
    <w:rsid w:val="009A2D03"/>
    <w:rsid w:val="009A39DC"/>
    <w:rsid w:val="009A3F27"/>
    <w:rsid w:val="009A43FC"/>
    <w:rsid w:val="009A4EE2"/>
    <w:rsid w:val="009A52B5"/>
    <w:rsid w:val="009A531C"/>
    <w:rsid w:val="009A5753"/>
    <w:rsid w:val="009A57EB"/>
    <w:rsid w:val="009A5967"/>
    <w:rsid w:val="009A5AB5"/>
    <w:rsid w:val="009A6437"/>
    <w:rsid w:val="009A6465"/>
    <w:rsid w:val="009A65B0"/>
    <w:rsid w:val="009A6612"/>
    <w:rsid w:val="009A67A3"/>
    <w:rsid w:val="009A68C8"/>
    <w:rsid w:val="009A699B"/>
    <w:rsid w:val="009A6CA4"/>
    <w:rsid w:val="009A7168"/>
    <w:rsid w:val="009A71BC"/>
    <w:rsid w:val="009A7BA5"/>
    <w:rsid w:val="009B103D"/>
    <w:rsid w:val="009B1313"/>
    <w:rsid w:val="009B143B"/>
    <w:rsid w:val="009B180C"/>
    <w:rsid w:val="009B2036"/>
    <w:rsid w:val="009B209D"/>
    <w:rsid w:val="009B25E9"/>
    <w:rsid w:val="009B3624"/>
    <w:rsid w:val="009B37AD"/>
    <w:rsid w:val="009B3EBA"/>
    <w:rsid w:val="009B3EFA"/>
    <w:rsid w:val="009B42F4"/>
    <w:rsid w:val="009B4553"/>
    <w:rsid w:val="009B4A9B"/>
    <w:rsid w:val="009B585F"/>
    <w:rsid w:val="009B644B"/>
    <w:rsid w:val="009B68E6"/>
    <w:rsid w:val="009B6DDA"/>
    <w:rsid w:val="009B6EBC"/>
    <w:rsid w:val="009B6FAE"/>
    <w:rsid w:val="009B7A84"/>
    <w:rsid w:val="009B7A96"/>
    <w:rsid w:val="009B7B8D"/>
    <w:rsid w:val="009B7C85"/>
    <w:rsid w:val="009B7E02"/>
    <w:rsid w:val="009B7E22"/>
    <w:rsid w:val="009B7FD9"/>
    <w:rsid w:val="009C04E9"/>
    <w:rsid w:val="009C08B7"/>
    <w:rsid w:val="009C09B8"/>
    <w:rsid w:val="009C0B9A"/>
    <w:rsid w:val="009C0D74"/>
    <w:rsid w:val="009C0D95"/>
    <w:rsid w:val="009C17C5"/>
    <w:rsid w:val="009C17E2"/>
    <w:rsid w:val="009C181F"/>
    <w:rsid w:val="009C1925"/>
    <w:rsid w:val="009C1960"/>
    <w:rsid w:val="009C1AD6"/>
    <w:rsid w:val="009C2214"/>
    <w:rsid w:val="009C239A"/>
    <w:rsid w:val="009C2B4F"/>
    <w:rsid w:val="009C2DD0"/>
    <w:rsid w:val="009C2E14"/>
    <w:rsid w:val="009C3130"/>
    <w:rsid w:val="009C34BB"/>
    <w:rsid w:val="009C3668"/>
    <w:rsid w:val="009C36AB"/>
    <w:rsid w:val="009C387F"/>
    <w:rsid w:val="009C404D"/>
    <w:rsid w:val="009C42D6"/>
    <w:rsid w:val="009C4848"/>
    <w:rsid w:val="009C4A1B"/>
    <w:rsid w:val="009C4AE7"/>
    <w:rsid w:val="009C4CDB"/>
    <w:rsid w:val="009C4DC8"/>
    <w:rsid w:val="009C4ECF"/>
    <w:rsid w:val="009C53E7"/>
    <w:rsid w:val="009C55F6"/>
    <w:rsid w:val="009C610F"/>
    <w:rsid w:val="009C659F"/>
    <w:rsid w:val="009C65A2"/>
    <w:rsid w:val="009C6DB8"/>
    <w:rsid w:val="009C6EA2"/>
    <w:rsid w:val="009C7052"/>
    <w:rsid w:val="009C77BF"/>
    <w:rsid w:val="009C7C37"/>
    <w:rsid w:val="009D0196"/>
    <w:rsid w:val="009D05F1"/>
    <w:rsid w:val="009D0DB2"/>
    <w:rsid w:val="009D0FD1"/>
    <w:rsid w:val="009D1077"/>
    <w:rsid w:val="009D11E4"/>
    <w:rsid w:val="009D16CA"/>
    <w:rsid w:val="009D1AA9"/>
    <w:rsid w:val="009D1D04"/>
    <w:rsid w:val="009D21F8"/>
    <w:rsid w:val="009D2210"/>
    <w:rsid w:val="009D23A2"/>
    <w:rsid w:val="009D262A"/>
    <w:rsid w:val="009D2B03"/>
    <w:rsid w:val="009D2F81"/>
    <w:rsid w:val="009D38E5"/>
    <w:rsid w:val="009D395D"/>
    <w:rsid w:val="009D3F07"/>
    <w:rsid w:val="009D3FA1"/>
    <w:rsid w:val="009D4309"/>
    <w:rsid w:val="009D4945"/>
    <w:rsid w:val="009D4C9F"/>
    <w:rsid w:val="009D4D90"/>
    <w:rsid w:val="009D4F93"/>
    <w:rsid w:val="009D5081"/>
    <w:rsid w:val="009D5308"/>
    <w:rsid w:val="009D53F2"/>
    <w:rsid w:val="009D5747"/>
    <w:rsid w:val="009D5F65"/>
    <w:rsid w:val="009D6576"/>
    <w:rsid w:val="009D65A0"/>
    <w:rsid w:val="009D65C9"/>
    <w:rsid w:val="009D6968"/>
    <w:rsid w:val="009D6A08"/>
    <w:rsid w:val="009D6AC0"/>
    <w:rsid w:val="009D6C65"/>
    <w:rsid w:val="009D6D69"/>
    <w:rsid w:val="009D7226"/>
    <w:rsid w:val="009D72B3"/>
    <w:rsid w:val="009D73E3"/>
    <w:rsid w:val="009D7A5B"/>
    <w:rsid w:val="009D7DCA"/>
    <w:rsid w:val="009D7E2C"/>
    <w:rsid w:val="009E00F5"/>
    <w:rsid w:val="009E05A1"/>
    <w:rsid w:val="009E0E64"/>
    <w:rsid w:val="009E1113"/>
    <w:rsid w:val="009E15BA"/>
    <w:rsid w:val="009E1719"/>
    <w:rsid w:val="009E17D9"/>
    <w:rsid w:val="009E1862"/>
    <w:rsid w:val="009E1A69"/>
    <w:rsid w:val="009E1B6C"/>
    <w:rsid w:val="009E24CA"/>
    <w:rsid w:val="009E25D4"/>
    <w:rsid w:val="009E2A5E"/>
    <w:rsid w:val="009E3103"/>
    <w:rsid w:val="009E3284"/>
    <w:rsid w:val="009E3321"/>
    <w:rsid w:val="009E33BA"/>
    <w:rsid w:val="009E33D7"/>
    <w:rsid w:val="009E33EE"/>
    <w:rsid w:val="009E3CEB"/>
    <w:rsid w:val="009E3FF3"/>
    <w:rsid w:val="009E425A"/>
    <w:rsid w:val="009E4E20"/>
    <w:rsid w:val="009E505F"/>
    <w:rsid w:val="009E5626"/>
    <w:rsid w:val="009E5F03"/>
    <w:rsid w:val="009E6094"/>
    <w:rsid w:val="009E610F"/>
    <w:rsid w:val="009E61EB"/>
    <w:rsid w:val="009E6753"/>
    <w:rsid w:val="009E688A"/>
    <w:rsid w:val="009E692D"/>
    <w:rsid w:val="009E6DDC"/>
    <w:rsid w:val="009E6EA8"/>
    <w:rsid w:val="009E7068"/>
    <w:rsid w:val="009E72CB"/>
    <w:rsid w:val="009E73F1"/>
    <w:rsid w:val="009F0C2B"/>
    <w:rsid w:val="009F0EFF"/>
    <w:rsid w:val="009F12F9"/>
    <w:rsid w:val="009F142E"/>
    <w:rsid w:val="009F1435"/>
    <w:rsid w:val="009F22CF"/>
    <w:rsid w:val="009F318D"/>
    <w:rsid w:val="009F3357"/>
    <w:rsid w:val="009F3547"/>
    <w:rsid w:val="009F357F"/>
    <w:rsid w:val="009F364B"/>
    <w:rsid w:val="009F384E"/>
    <w:rsid w:val="009F3959"/>
    <w:rsid w:val="009F455F"/>
    <w:rsid w:val="009F456B"/>
    <w:rsid w:val="009F4D5A"/>
    <w:rsid w:val="009F5237"/>
    <w:rsid w:val="009F56AA"/>
    <w:rsid w:val="009F56AB"/>
    <w:rsid w:val="009F57AF"/>
    <w:rsid w:val="009F58DF"/>
    <w:rsid w:val="009F5D02"/>
    <w:rsid w:val="009F6117"/>
    <w:rsid w:val="009F6229"/>
    <w:rsid w:val="009F622D"/>
    <w:rsid w:val="009F62AA"/>
    <w:rsid w:val="009F6536"/>
    <w:rsid w:val="009F65D3"/>
    <w:rsid w:val="009F66E8"/>
    <w:rsid w:val="009F68F0"/>
    <w:rsid w:val="009F6A3F"/>
    <w:rsid w:val="009F6E86"/>
    <w:rsid w:val="009F7293"/>
    <w:rsid w:val="009F7437"/>
    <w:rsid w:val="009F7512"/>
    <w:rsid w:val="009F7857"/>
    <w:rsid w:val="009F79EB"/>
    <w:rsid w:val="009F7BD6"/>
    <w:rsid w:val="00A00602"/>
    <w:rsid w:val="00A008B2"/>
    <w:rsid w:val="00A00B77"/>
    <w:rsid w:val="00A00FFC"/>
    <w:rsid w:val="00A0182E"/>
    <w:rsid w:val="00A018E6"/>
    <w:rsid w:val="00A01900"/>
    <w:rsid w:val="00A01AE7"/>
    <w:rsid w:val="00A02024"/>
    <w:rsid w:val="00A03B4E"/>
    <w:rsid w:val="00A03DFB"/>
    <w:rsid w:val="00A04005"/>
    <w:rsid w:val="00A04ADC"/>
    <w:rsid w:val="00A04C02"/>
    <w:rsid w:val="00A04F2A"/>
    <w:rsid w:val="00A05612"/>
    <w:rsid w:val="00A05DBE"/>
    <w:rsid w:val="00A063B1"/>
    <w:rsid w:val="00A06ABB"/>
    <w:rsid w:val="00A06AD0"/>
    <w:rsid w:val="00A06C25"/>
    <w:rsid w:val="00A07088"/>
    <w:rsid w:val="00A0751F"/>
    <w:rsid w:val="00A075DE"/>
    <w:rsid w:val="00A076CB"/>
    <w:rsid w:val="00A077BA"/>
    <w:rsid w:val="00A07AF7"/>
    <w:rsid w:val="00A07B61"/>
    <w:rsid w:val="00A10842"/>
    <w:rsid w:val="00A10FDB"/>
    <w:rsid w:val="00A1156A"/>
    <w:rsid w:val="00A11AD2"/>
    <w:rsid w:val="00A11F58"/>
    <w:rsid w:val="00A12016"/>
    <w:rsid w:val="00A122AA"/>
    <w:rsid w:val="00A1242F"/>
    <w:rsid w:val="00A1287A"/>
    <w:rsid w:val="00A12C70"/>
    <w:rsid w:val="00A12CE4"/>
    <w:rsid w:val="00A1328C"/>
    <w:rsid w:val="00A13377"/>
    <w:rsid w:val="00A135B0"/>
    <w:rsid w:val="00A13671"/>
    <w:rsid w:val="00A1395E"/>
    <w:rsid w:val="00A1400A"/>
    <w:rsid w:val="00A141FA"/>
    <w:rsid w:val="00A146D1"/>
    <w:rsid w:val="00A147A9"/>
    <w:rsid w:val="00A14A22"/>
    <w:rsid w:val="00A14E04"/>
    <w:rsid w:val="00A15012"/>
    <w:rsid w:val="00A1506E"/>
    <w:rsid w:val="00A150E9"/>
    <w:rsid w:val="00A1514F"/>
    <w:rsid w:val="00A152D9"/>
    <w:rsid w:val="00A15539"/>
    <w:rsid w:val="00A15544"/>
    <w:rsid w:val="00A1556E"/>
    <w:rsid w:val="00A162F2"/>
    <w:rsid w:val="00A16771"/>
    <w:rsid w:val="00A16A13"/>
    <w:rsid w:val="00A16D1B"/>
    <w:rsid w:val="00A16F8F"/>
    <w:rsid w:val="00A17435"/>
    <w:rsid w:val="00A17883"/>
    <w:rsid w:val="00A179E2"/>
    <w:rsid w:val="00A200E6"/>
    <w:rsid w:val="00A20330"/>
    <w:rsid w:val="00A205F5"/>
    <w:rsid w:val="00A20624"/>
    <w:rsid w:val="00A20838"/>
    <w:rsid w:val="00A20857"/>
    <w:rsid w:val="00A20F23"/>
    <w:rsid w:val="00A20FD3"/>
    <w:rsid w:val="00A215A1"/>
    <w:rsid w:val="00A217AB"/>
    <w:rsid w:val="00A21AD8"/>
    <w:rsid w:val="00A21B72"/>
    <w:rsid w:val="00A21B97"/>
    <w:rsid w:val="00A21BAC"/>
    <w:rsid w:val="00A21DAE"/>
    <w:rsid w:val="00A221B4"/>
    <w:rsid w:val="00A2235E"/>
    <w:rsid w:val="00A2275D"/>
    <w:rsid w:val="00A228E9"/>
    <w:rsid w:val="00A22EC6"/>
    <w:rsid w:val="00A23137"/>
    <w:rsid w:val="00A23559"/>
    <w:rsid w:val="00A235C2"/>
    <w:rsid w:val="00A23999"/>
    <w:rsid w:val="00A23C96"/>
    <w:rsid w:val="00A23E9B"/>
    <w:rsid w:val="00A23F01"/>
    <w:rsid w:val="00A24133"/>
    <w:rsid w:val="00A24229"/>
    <w:rsid w:val="00A243A3"/>
    <w:rsid w:val="00A244E5"/>
    <w:rsid w:val="00A245F3"/>
    <w:rsid w:val="00A2460A"/>
    <w:rsid w:val="00A24784"/>
    <w:rsid w:val="00A24F53"/>
    <w:rsid w:val="00A24F6F"/>
    <w:rsid w:val="00A2514B"/>
    <w:rsid w:val="00A25189"/>
    <w:rsid w:val="00A25192"/>
    <w:rsid w:val="00A255A1"/>
    <w:rsid w:val="00A25694"/>
    <w:rsid w:val="00A25ABE"/>
    <w:rsid w:val="00A25C82"/>
    <w:rsid w:val="00A2611F"/>
    <w:rsid w:val="00A26418"/>
    <w:rsid w:val="00A2645A"/>
    <w:rsid w:val="00A2661A"/>
    <w:rsid w:val="00A26CA1"/>
    <w:rsid w:val="00A26CE0"/>
    <w:rsid w:val="00A26E88"/>
    <w:rsid w:val="00A26F28"/>
    <w:rsid w:val="00A2716C"/>
    <w:rsid w:val="00A27384"/>
    <w:rsid w:val="00A274B1"/>
    <w:rsid w:val="00A27656"/>
    <w:rsid w:val="00A278C2"/>
    <w:rsid w:val="00A278ED"/>
    <w:rsid w:val="00A30214"/>
    <w:rsid w:val="00A306A3"/>
    <w:rsid w:val="00A308F7"/>
    <w:rsid w:val="00A30A4C"/>
    <w:rsid w:val="00A30B15"/>
    <w:rsid w:val="00A30CDE"/>
    <w:rsid w:val="00A30F44"/>
    <w:rsid w:val="00A31230"/>
    <w:rsid w:val="00A313C7"/>
    <w:rsid w:val="00A316C7"/>
    <w:rsid w:val="00A318CD"/>
    <w:rsid w:val="00A31C08"/>
    <w:rsid w:val="00A323F8"/>
    <w:rsid w:val="00A324E6"/>
    <w:rsid w:val="00A32976"/>
    <w:rsid w:val="00A33C06"/>
    <w:rsid w:val="00A344F5"/>
    <w:rsid w:val="00A3497D"/>
    <w:rsid w:val="00A34F9E"/>
    <w:rsid w:val="00A356D0"/>
    <w:rsid w:val="00A35C73"/>
    <w:rsid w:val="00A36303"/>
    <w:rsid w:val="00A36550"/>
    <w:rsid w:val="00A367F4"/>
    <w:rsid w:val="00A36A27"/>
    <w:rsid w:val="00A36E14"/>
    <w:rsid w:val="00A36EFB"/>
    <w:rsid w:val="00A36F86"/>
    <w:rsid w:val="00A376E5"/>
    <w:rsid w:val="00A37C64"/>
    <w:rsid w:val="00A37EB8"/>
    <w:rsid w:val="00A40BC5"/>
    <w:rsid w:val="00A40BEE"/>
    <w:rsid w:val="00A40CE5"/>
    <w:rsid w:val="00A40D1E"/>
    <w:rsid w:val="00A4108A"/>
    <w:rsid w:val="00A410F6"/>
    <w:rsid w:val="00A41152"/>
    <w:rsid w:val="00A41628"/>
    <w:rsid w:val="00A41808"/>
    <w:rsid w:val="00A41944"/>
    <w:rsid w:val="00A423D0"/>
    <w:rsid w:val="00A42B04"/>
    <w:rsid w:val="00A42FA3"/>
    <w:rsid w:val="00A43532"/>
    <w:rsid w:val="00A438FC"/>
    <w:rsid w:val="00A43911"/>
    <w:rsid w:val="00A43C72"/>
    <w:rsid w:val="00A43D37"/>
    <w:rsid w:val="00A4486E"/>
    <w:rsid w:val="00A44AE3"/>
    <w:rsid w:val="00A44C61"/>
    <w:rsid w:val="00A44F3C"/>
    <w:rsid w:val="00A457FA"/>
    <w:rsid w:val="00A45E22"/>
    <w:rsid w:val="00A46ABD"/>
    <w:rsid w:val="00A470DE"/>
    <w:rsid w:val="00A47B80"/>
    <w:rsid w:val="00A47EDC"/>
    <w:rsid w:val="00A47FD4"/>
    <w:rsid w:val="00A502FB"/>
    <w:rsid w:val="00A505E6"/>
    <w:rsid w:val="00A509A8"/>
    <w:rsid w:val="00A5107F"/>
    <w:rsid w:val="00A51251"/>
    <w:rsid w:val="00A5134B"/>
    <w:rsid w:val="00A514C5"/>
    <w:rsid w:val="00A515E5"/>
    <w:rsid w:val="00A519AB"/>
    <w:rsid w:val="00A51A45"/>
    <w:rsid w:val="00A51CEB"/>
    <w:rsid w:val="00A521C4"/>
    <w:rsid w:val="00A525FA"/>
    <w:rsid w:val="00A5278C"/>
    <w:rsid w:val="00A536A6"/>
    <w:rsid w:val="00A53A2A"/>
    <w:rsid w:val="00A53D09"/>
    <w:rsid w:val="00A5424A"/>
    <w:rsid w:val="00A543E0"/>
    <w:rsid w:val="00A54446"/>
    <w:rsid w:val="00A546F9"/>
    <w:rsid w:val="00A54745"/>
    <w:rsid w:val="00A547A7"/>
    <w:rsid w:val="00A553B6"/>
    <w:rsid w:val="00A55655"/>
    <w:rsid w:val="00A5585F"/>
    <w:rsid w:val="00A55BD8"/>
    <w:rsid w:val="00A5689F"/>
    <w:rsid w:val="00A5690B"/>
    <w:rsid w:val="00A56CE6"/>
    <w:rsid w:val="00A56DBB"/>
    <w:rsid w:val="00A57043"/>
    <w:rsid w:val="00A571D0"/>
    <w:rsid w:val="00A57A51"/>
    <w:rsid w:val="00A57D8F"/>
    <w:rsid w:val="00A60080"/>
    <w:rsid w:val="00A60085"/>
    <w:rsid w:val="00A60334"/>
    <w:rsid w:val="00A603D4"/>
    <w:rsid w:val="00A607E6"/>
    <w:rsid w:val="00A60BF3"/>
    <w:rsid w:val="00A60CD8"/>
    <w:rsid w:val="00A60D0E"/>
    <w:rsid w:val="00A60DCE"/>
    <w:rsid w:val="00A60E81"/>
    <w:rsid w:val="00A615DC"/>
    <w:rsid w:val="00A61621"/>
    <w:rsid w:val="00A61C57"/>
    <w:rsid w:val="00A61F6B"/>
    <w:rsid w:val="00A62077"/>
    <w:rsid w:val="00A623B3"/>
    <w:rsid w:val="00A6240E"/>
    <w:rsid w:val="00A624FF"/>
    <w:rsid w:val="00A62509"/>
    <w:rsid w:val="00A627D3"/>
    <w:rsid w:val="00A628F0"/>
    <w:rsid w:val="00A62E44"/>
    <w:rsid w:val="00A63157"/>
    <w:rsid w:val="00A635D0"/>
    <w:rsid w:val="00A63748"/>
    <w:rsid w:val="00A63F11"/>
    <w:rsid w:val="00A63F61"/>
    <w:rsid w:val="00A64388"/>
    <w:rsid w:val="00A646A5"/>
    <w:rsid w:val="00A646C5"/>
    <w:rsid w:val="00A6477A"/>
    <w:rsid w:val="00A64AC4"/>
    <w:rsid w:val="00A65514"/>
    <w:rsid w:val="00A6637E"/>
    <w:rsid w:val="00A6652B"/>
    <w:rsid w:val="00A66A52"/>
    <w:rsid w:val="00A66E3F"/>
    <w:rsid w:val="00A66EF9"/>
    <w:rsid w:val="00A67147"/>
    <w:rsid w:val="00A671B0"/>
    <w:rsid w:val="00A6761C"/>
    <w:rsid w:val="00A67BD4"/>
    <w:rsid w:val="00A67F45"/>
    <w:rsid w:val="00A703E7"/>
    <w:rsid w:val="00A70458"/>
    <w:rsid w:val="00A70689"/>
    <w:rsid w:val="00A70E9D"/>
    <w:rsid w:val="00A71362"/>
    <w:rsid w:val="00A717D3"/>
    <w:rsid w:val="00A71AED"/>
    <w:rsid w:val="00A71B84"/>
    <w:rsid w:val="00A721D9"/>
    <w:rsid w:val="00A722BF"/>
    <w:rsid w:val="00A7244B"/>
    <w:rsid w:val="00A727FB"/>
    <w:rsid w:val="00A7289E"/>
    <w:rsid w:val="00A72DB0"/>
    <w:rsid w:val="00A72FF7"/>
    <w:rsid w:val="00A73121"/>
    <w:rsid w:val="00A734C6"/>
    <w:rsid w:val="00A73AAD"/>
    <w:rsid w:val="00A73CAB"/>
    <w:rsid w:val="00A73EBE"/>
    <w:rsid w:val="00A7403D"/>
    <w:rsid w:val="00A74528"/>
    <w:rsid w:val="00A74873"/>
    <w:rsid w:val="00A74F51"/>
    <w:rsid w:val="00A75133"/>
    <w:rsid w:val="00A752D3"/>
    <w:rsid w:val="00A75482"/>
    <w:rsid w:val="00A7565B"/>
    <w:rsid w:val="00A758CC"/>
    <w:rsid w:val="00A75AFD"/>
    <w:rsid w:val="00A75C0C"/>
    <w:rsid w:val="00A760E5"/>
    <w:rsid w:val="00A76359"/>
    <w:rsid w:val="00A76806"/>
    <w:rsid w:val="00A76973"/>
    <w:rsid w:val="00A769AA"/>
    <w:rsid w:val="00A769D2"/>
    <w:rsid w:val="00A76FAD"/>
    <w:rsid w:val="00A77187"/>
    <w:rsid w:val="00A7737D"/>
    <w:rsid w:val="00A77789"/>
    <w:rsid w:val="00A778CE"/>
    <w:rsid w:val="00A77B09"/>
    <w:rsid w:val="00A77C7A"/>
    <w:rsid w:val="00A77EA0"/>
    <w:rsid w:val="00A800E8"/>
    <w:rsid w:val="00A80298"/>
    <w:rsid w:val="00A80459"/>
    <w:rsid w:val="00A8061D"/>
    <w:rsid w:val="00A807E5"/>
    <w:rsid w:val="00A80A52"/>
    <w:rsid w:val="00A80AF5"/>
    <w:rsid w:val="00A80BE4"/>
    <w:rsid w:val="00A81507"/>
    <w:rsid w:val="00A8165A"/>
    <w:rsid w:val="00A81A0C"/>
    <w:rsid w:val="00A81A2F"/>
    <w:rsid w:val="00A81B09"/>
    <w:rsid w:val="00A81BEB"/>
    <w:rsid w:val="00A81F2A"/>
    <w:rsid w:val="00A82172"/>
    <w:rsid w:val="00A8284D"/>
    <w:rsid w:val="00A829DB"/>
    <w:rsid w:val="00A82C1B"/>
    <w:rsid w:val="00A82D75"/>
    <w:rsid w:val="00A82E27"/>
    <w:rsid w:val="00A83786"/>
    <w:rsid w:val="00A83EC4"/>
    <w:rsid w:val="00A84301"/>
    <w:rsid w:val="00A84396"/>
    <w:rsid w:val="00A84988"/>
    <w:rsid w:val="00A84B75"/>
    <w:rsid w:val="00A85229"/>
    <w:rsid w:val="00A867A3"/>
    <w:rsid w:val="00A86B25"/>
    <w:rsid w:val="00A86EAA"/>
    <w:rsid w:val="00A8715A"/>
    <w:rsid w:val="00A87763"/>
    <w:rsid w:val="00A87AF7"/>
    <w:rsid w:val="00A87B6B"/>
    <w:rsid w:val="00A87F40"/>
    <w:rsid w:val="00A9047E"/>
    <w:rsid w:val="00A906A8"/>
    <w:rsid w:val="00A907A8"/>
    <w:rsid w:val="00A90F5C"/>
    <w:rsid w:val="00A9122B"/>
    <w:rsid w:val="00A917CE"/>
    <w:rsid w:val="00A9188E"/>
    <w:rsid w:val="00A928E9"/>
    <w:rsid w:val="00A92969"/>
    <w:rsid w:val="00A92CCA"/>
    <w:rsid w:val="00A935A7"/>
    <w:rsid w:val="00A93F0E"/>
    <w:rsid w:val="00A94149"/>
    <w:rsid w:val="00A943B4"/>
    <w:rsid w:val="00A95944"/>
    <w:rsid w:val="00A959E1"/>
    <w:rsid w:val="00A95BC4"/>
    <w:rsid w:val="00A960CE"/>
    <w:rsid w:val="00A96165"/>
    <w:rsid w:val="00A9629E"/>
    <w:rsid w:val="00A96A6F"/>
    <w:rsid w:val="00A96B46"/>
    <w:rsid w:val="00A96D51"/>
    <w:rsid w:val="00A96E5F"/>
    <w:rsid w:val="00A9704E"/>
    <w:rsid w:val="00A973F7"/>
    <w:rsid w:val="00A9782F"/>
    <w:rsid w:val="00A979F1"/>
    <w:rsid w:val="00A97E7A"/>
    <w:rsid w:val="00AA0264"/>
    <w:rsid w:val="00AA02ED"/>
    <w:rsid w:val="00AA0833"/>
    <w:rsid w:val="00AA0BB9"/>
    <w:rsid w:val="00AA0C22"/>
    <w:rsid w:val="00AA0CB5"/>
    <w:rsid w:val="00AA111F"/>
    <w:rsid w:val="00AA1445"/>
    <w:rsid w:val="00AA2799"/>
    <w:rsid w:val="00AA2E81"/>
    <w:rsid w:val="00AA30EC"/>
    <w:rsid w:val="00AA3350"/>
    <w:rsid w:val="00AA34B2"/>
    <w:rsid w:val="00AA35FE"/>
    <w:rsid w:val="00AA3734"/>
    <w:rsid w:val="00AA3917"/>
    <w:rsid w:val="00AA3E2F"/>
    <w:rsid w:val="00AA3EAF"/>
    <w:rsid w:val="00AA3EE1"/>
    <w:rsid w:val="00AA3F5F"/>
    <w:rsid w:val="00AA4119"/>
    <w:rsid w:val="00AA414C"/>
    <w:rsid w:val="00AA4191"/>
    <w:rsid w:val="00AA41C6"/>
    <w:rsid w:val="00AA47C9"/>
    <w:rsid w:val="00AA5249"/>
    <w:rsid w:val="00AA5510"/>
    <w:rsid w:val="00AA558B"/>
    <w:rsid w:val="00AA5BAB"/>
    <w:rsid w:val="00AA5C24"/>
    <w:rsid w:val="00AA5FD2"/>
    <w:rsid w:val="00AA638C"/>
    <w:rsid w:val="00AA6646"/>
    <w:rsid w:val="00AA669D"/>
    <w:rsid w:val="00AA7131"/>
    <w:rsid w:val="00AA719D"/>
    <w:rsid w:val="00AA71CF"/>
    <w:rsid w:val="00AA747B"/>
    <w:rsid w:val="00AA750F"/>
    <w:rsid w:val="00AA798E"/>
    <w:rsid w:val="00AA79AD"/>
    <w:rsid w:val="00AA79C5"/>
    <w:rsid w:val="00AA7C22"/>
    <w:rsid w:val="00AA7C9B"/>
    <w:rsid w:val="00AA7D3E"/>
    <w:rsid w:val="00AB09A0"/>
    <w:rsid w:val="00AB0A0C"/>
    <w:rsid w:val="00AB11C4"/>
    <w:rsid w:val="00AB130D"/>
    <w:rsid w:val="00AB13B9"/>
    <w:rsid w:val="00AB1401"/>
    <w:rsid w:val="00AB1D65"/>
    <w:rsid w:val="00AB2514"/>
    <w:rsid w:val="00AB264F"/>
    <w:rsid w:val="00AB2A4D"/>
    <w:rsid w:val="00AB2C2B"/>
    <w:rsid w:val="00AB2FA6"/>
    <w:rsid w:val="00AB32AF"/>
    <w:rsid w:val="00AB3359"/>
    <w:rsid w:val="00AB3381"/>
    <w:rsid w:val="00AB35DD"/>
    <w:rsid w:val="00AB38F0"/>
    <w:rsid w:val="00AB392B"/>
    <w:rsid w:val="00AB49AA"/>
    <w:rsid w:val="00AB4D53"/>
    <w:rsid w:val="00AB4EEF"/>
    <w:rsid w:val="00AB5485"/>
    <w:rsid w:val="00AB5569"/>
    <w:rsid w:val="00AB5A9F"/>
    <w:rsid w:val="00AB63BC"/>
    <w:rsid w:val="00AB6479"/>
    <w:rsid w:val="00AB66C3"/>
    <w:rsid w:val="00AB71B1"/>
    <w:rsid w:val="00AB7534"/>
    <w:rsid w:val="00AB7F7A"/>
    <w:rsid w:val="00AC002A"/>
    <w:rsid w:val="00AC0229"/>
    <w:rsid w:val="00AC056A"/>
    <w:rsid w:val="00AC0A1B"/>
    <w:rsid w:val="00AC1381"/>
    <w:rsid w:val="00AC27DB"/>
    <w:rsid w:val="00AC2BB7"/>
    <w:rsid w:val="00AC33F6"/>
    <w:rsid w:val="00AC35AF"/>
    <w:rsid w:val="00AC35C9"/>
    <w:rsid w:val="00AC36A4"/>
    <w:rsid w:val="00AC39C2"/>
    <w:rsid w:val="00AC46E1"/>
    <w:rsid w:val="00AC4B96"/>
    <w:rsid w:val="00AC4D32"/>
    <w:rsid w:val="00AC4E64"/>
    <w:rsid w:val="00AC51C4"/>
    <w:rsid w:val="00AC5399"/>
    <w:rsid w:val="00AC5491"/>
    <w:rsid w:val="00AC56B6"/>
    <w:rsid w:val="00AC5700"/>
    <w:rsid w:val="00AC573D"/>
    <w:rsid w:val="00AC638C"/>
    <w:rsid w:val="00AC673A"/>
    <w:rsid w:val="00AC680F"/>
    <w:rsid w:val="00AC68A7"/>
    <w:rsid w:val="00AC71A9"/>
    <w:rsid w:val="00AC7733"/>
    <w:rsid w:val="00AC77B9"/>
    <w:rsid w:val="00AC7CAC"/>
    <w:rsid w:val="00AC7D29"/>
    <w:rsid w:val="00AC7E98"/>
    <w:rsid w:val="00AD00C0"/>
    <w:rsid w:val="00AD04AE"/>
    <w:rsid w:val="00AD0E35"/>
    <w:rsid w:val="00AD109E"/>
    <w:rsid w:val="00AD1100"/>
    <w:rsid w:val="00AD190A"/>
    <w:rsid w:val="00AD1DD8"/>
    <w:rsid w:val="00AD2000"/>
    <w:rsid w:val="00AD20B2"/>
    <w:rsid w:val="00AD20E2"/>
    <w:rsid w:val="00AD2773"/>
    <w:rsid w:val="00AD29B6"/>
    <w:rsid w:val="00AD2FB7"/>
    <w:rsid w:val="00AD37E1"/>
    <w:rsid w:val="00AD384C"/>
    <w:rsid w:val="00AD436F"/>
    <w:rsid w:val="00AD45D1"/>
    <w:rsid w:val="00AD4EFB"/>
    <w:rsid w:val="00AD505B"/>
    <w:rsid w:val="00AD565B"/>
    <w:rsid w:val="00AD5740"/>
    <w:rsid w:val="00AD57FF"/>
    <w:rsid w:val="00AD5B7B"/>
    <w:rsid w:val="00AD5EEC"/>
    <w:rsid w:val="00AD6197"/>
    <w:rsid w:val="00AD681A"/>
    <w:rsid w:val="00AD6DF8"/>
    <w:rsid w:val="00AD6ECE"/>
    <w:rsid w:val="00AD6F53"/>
    <w:rsid w:val="00AD73BB"/>
    <w:rsid w:val="00AD73EA"/>
    <w:rsid w:val="00AD74E4"/>
    <w:rsid w:val="00AD7789"/>
    <w:rsid w:val="00AD78D4"/>
    <w:rsid w:val="00AD7C05"/>
    <w:rsid w:val="00AD7EB6"/>
    <w:rsid w:val="00AD7FE8"/>
    <w:rsid w:val="00AE0413"/>
    <w:rsid w:val="00AE0B82"/>
    <w:rsid w:val="00AE0BFA"/>
    <w:rsid w:val="00AE0DCF"/>
    <w:rsid w:val="00AE0F15"/>
    <w:rsid w:val="00AE14BB"/>
    <w:rsid w:val="00AE1DD7"/>
    <w:rsid w:val="00AE1EB2"/>
    <w:rsid w:val="00AE28D8"/>
    <w:rsid w:val="00AE2D20"/>
    <w:rsid w:val="00AE2E35"/>
    <w:rsid w:val="00AE2F23"/>
    <w:rsid w:val="00AE342D"/>
    <w:rsid w:val="00AE356F"/>
    <w:rsid w:val="00AE3696"/>
    <w:rsid w:val="00AE3908"/>
    <w:rsid w:val="00AE391E"/>
    <w:rsid w:val="00AE3999"/>
    <w:rsid w:val="00AE39E1"/>
    <w:rsid w:val="00AE4002"/>
    <w:rsid w:val="00AE406F"/>
    <w:rsid w:val="00AE424E"/>
    <w:rsid w:val="00AE4283"/>
    <w:rsid w:val="00AE447A"/>
    <w:rsid w:val="00AE4952"/>
    <w:rsid w:val="00AE4B96"/>
    <w:rsid w:val="00AE4D17"/>
    <w:rsid w:val="00AE53BB"/>
    <w:rsid w:val="00AE5925"/>
    <w:rsid w:val="00AE653E"/>
    <w:rsid w:val="00AE6D4B"/>
    <w:rsid w:val="00AE75F9"/>
    <w:rsid w:val="00AE7666"/>
    <w:rsid w:val="00AE7B90"/>
    <w:rsid w:val="00AE7C98"/>
    <w:rsid w:val="00AE7E21"/>
    <w:rsid w:val="00AE7F5C"/>
    <w:rsid w:val="00AF01F7"/>
    <w:rsid w:val="00AF06E4"/>
    <w:rsid w:val="00AF0868"/>
    <w:rsid w:val="00AF0AD2"/>
    <w:rsid w:val="00AF0B21"/>
    <w:rsid w:val="00AF1EA6"/>
    <w:rsid w:val="00AF2311"/>
    <w:rsid w:val="00AF290D"/>
    <w:rsid w:val="00AF2F58"/>
    <w:rsid w:val="00AF3468"/>
    <w:rsid w:val="00AF3AEF"/>
    <w:rsid w:val="00AF3BD5"/>
    <w:rsid w:val="00AF3C81"/>
    <w:rsid w:val="00AF3CC6"/>
    <w:rsid w:val="00AF3F3E"/>
    <w:rsid w:val="00AF4972"/>
    <w:rsid w:val="00AF4DA5"/>
    <w:rsid w:val="00AF5711"/>
    <w:rsid w:val="00AF5833"/>
    <w:rsid w:val="00AF59B1"/>
    <w:rsid w:val="00AF5C54"/>
    <w:rsid w:val="00AF5C5B"/>
    <w:rsid w:val="00AF5D43"/>
    <w:rsid w:val="00AF60CF"/>
    <w:rsid w:val="00AF658C"/>
    <w:rsid w:val="00AF67B0"/>
    <w:rsid w:val="00AF6888"/>
    <w:rsid w:val="00AF6A67"/>
    <w:rsid w:val="00AF6CA5"/>
    <w:rsid w:val="00AF6D0C"/>
    <w:rsid w:val="00AF6E9D"/>
    <w:rsid w:val="00AF717F"/>
    <w:rsid w:val="00AF7301"/>
    <w:rsid w:val="00AF75DA"/>
    <w:rsid w:val="00B008AC"/>
    <w:rsid w:val="00B0092E"/>
    <w:rsid w:val="00B00CA9"/>
    <w:rsid w:val="00B0125A"/>
    <w:rsid w:val="00B013A5"/>
    <w:rsid w:val="00B017EC"/>
    <w:rsid w:val="00B018CA"/>
    <w:rsid w:val="00B019F2"/>
    <w:rsid w:val="00B01CE9"/>
    <w:rsid w:val="00B027ED"/>
    <w:rsid w:val="00B02A25"/>
    <w:rsid w:val="00B02B53"/>
    <w:rsid w:val="00B02EAF"/>
    <w:rsid w:val="00B032A5"/>
    <w:rsid w:val="00B039F8"/>
    <w:rsid w:val="00B03BAF"/>
    <w:rsid w:val="00B03E96"/>
    <w:rsid w:val="00B0420E"/>
    <w:rsid w:val="00B04368"/>
    <w:rsid w:val="00B0446F"/>
    <w:rsid w:val="00B047A4"/>
    <w:rsid w:val="00B054E2"/>
    <w:rsid w:val="00B05770"/>
    <w:rsid w:val="00B05DBF"/>
    <w:rsid w:val="00B066BD"/>
    <w:rsid w:val="00B06740"/>
    <w:rsid w:val="00B06ABF"/>
    <w:rsid w:val="00B07069"/>
    <w:rsid w:val="00B071CB"/>
    <w:rsid w:val="00B074F9"/>
    <w:rsid w:val="00B078E6"/>
    <w:rsid w:val="00B10006"/>
    <w:rsid w:val="00B100BE"/>
    <w:rsid w:val="00B10340"/>
    <w:rsid w:val="00B10570"/>
    <w:rsid w:val="00B10AAB"/>
    <w:rsid w:val="00B10AD2"/>
    <w:rsid w:val="00B10B33"/>
    <w:rsid w:val="00B10E33"/>
    <w:rsid w:val="00B110CD"/>
    <w:rsid w:val="00B11939"/>
    <w:rsid w:val="00B11D8B"/>
    <w:rsid w:val="00B12AC4"/>
    <w:rsid w:val="00B1324C"/>
    <w:rsid w:val="00B13F30"/>
    <w:rsid w:val="00B1512E"/>
    <w:rsid w:val="00B1558E"/>
    <w:rsid w:val="00B155C5"/>
    <w:rsid w:val="00B15CC5"/>
    <w:rsid w:val="00B15E8B"/>
    <w:rsid w:val="00B15F14"/>
    <w:rsid w:val="00B16557"/>
    <w:rsid w:val="00B16838"/>
    <w:rsid w:val="00B16924"/>
    <w:rsid w:val="00B16AA9"/>
    <w:rsid w:val="00B17019"/>
    <w:rsid w:val="00B17169"/>
    <w:rsid w:val="00B17899"/>
    <w:rsid w:val="00B20664"/>
    <w:rsid w:val="00B2077B"/>
    <w:rsid w:val="00B20DF1"/>
    <w:rsid w:val="00B211AB"/>
    <w:rsid w:val="00B2147B"/>
    <w:rsid w:val="00B214D8"/>
    <w:rsid w:val="00B2150D"/>
    <w:rsid w:val="00B216C5"/>
    <w:rsid w:val="00B21CAF"/>
    <w:rsid w:val="00B21D68"/>
    <w:rsid w:val="00B21FC8"/>
    <w:rsid w:val="00B225D8"/>
    <w:rsid w:val="00B227A1"/>
    <w:rsid w:val="00B22849"/>
    <w:rsid w:val="00B22DBD"/>
    <w:rsid w:val="00B23291"/>
    <w:rsid w:val="00B23292"/>
    <w:rsid w:val="00B234BD"/>
    <w:rsid w:val="00B238C6"/>
    <w:rsid w:val="00B2393C"/>
    <w:rsid w:val="00B23CD9"/>
    <w:rsid w:val="00B23FB0"/>
    <w:rsid w:val="00B24812"/>
    <w:rsid w:val="00B249D0"/>
    <w:rsid w:val="00B24AD9"/>
    <w:rsid w:val="00B24D81"/>
    <w:rsid w:val="00B25002"/>
    <w:rsid w:val="00B250AF"/>
    <w:rsid w:val="00B251F0"/>
    <w:rsid w:val="00B255AB"/>
    <w:rsid w:val="00B25C03"/>
    <w:rsid w:val="00B25F41"/>
    <w:rsid w:val="00B260F8"/>
    <w:rsid w:val="00B26CE3"/>
    <w:rsid w:val="00B26D2B"/>
    <w:rsid w:val="00B26D34"/>
    <w:rsid w:val="00B26FE2"/>
    <w:rsid w:val="00B273A9"/>
    <w:rsid w:val="00B2770D"/>
    <w:rsid w:val="00B2773C"/>
    <w:rsid w:val="00B27A3D"/>
    <w:rsid w:val="00B27CED"/>
    <w:rsid w:val="00B30216"/>
    <w:rsid w:val="00B307B2"/>
    <w:rsid w:val="00B31015"/>
    <w:rsid w:val="00B3149B"/>
    <w:rsid w:val="00B31D29"/>
    <w:rsid w:val="00B31D5F"/>
    <w:rsid w:val="00B31DED"/>
    <w:rsid w:val="00B3206C"/>
    <w:rsid w:val="00B32120"/>
    <w:rsid w:val="00B3224F"/>
    <w:rsid w:val="00B3248E"/>
    <w:rsid w:val="00B324EC"/>
    <w:rsid w:val="00B32B77"/>
    <w:rsid w:val="00B32C69"/>
    <w:rsid w:val="00B32CDA"/>
    <w:rsid w:val="00B33705"/>
    <w:rsid w:val="00B33A27"/>
    <w:rsid w:val="00B34308"/>
    <w:rsid w:val="00B3450E"/>
    <w:rsid w:val="00B3463A"/>
    <w:rsid w:val="00B34A02"/>
    <w:rsid w:val="00B34D8B"/>
    <w:rsid w:val="00B35218"/>
    <w:rsid w:val="00B3555C"/>
    <w:rsid w:val="00B35835"/>
    <w:rsid w:val="00B35DDD"/>
    <w:rsid w:val="00B36426"/>
    <w:rsid w:val="00B3652C"/>
    <w:rsid w:val="00B3673D"/>
    <w:rsid w:val="00B36BDB"/>
    <w:rsid w:val="00B36D04"/>
    <w:rsid w:val="00B3757A"/>
    <w:rsid w:val="00B37652"/>
    <w:rsid w:val="00B37EDE"/>
    <w:rsid w:val="00B40037"/>
    <w:rsid w:val="00B4011F"/>
    <w:rsid w:val="00B4026F"/>
    <w:rsid w:val="00B409E8"/>
    <w:rsid w:val="00B40B0D"/>
    <w:rsid w:val="00B40EA6"/>
    <w:rsid w:val="00B41019"/>
    <w:rsid w:val="00B41A81"/>
    <w:rsid w:val="00B41EBD"/>
    <w:rsid w:val="00B41F7E"/>
    <w:rsid w:val="00B42359"/>
    <w:rsid w:val="00B4236A"/>
    <w:rsid w:val="00B4255B"/>
    <w:rsid w:val="00B42663"/>
    <w:rsid w:val="00B426B6"/>
    <w:rsid w:val="00B42C5A"/>
    <w:rsid w:val="00B435B7"/>
    <w:rsid w:val="00B43678"/>
    <w:rsid w:val="00B436AE"/>
    <w:rsid w:val="00B44595"/>
    <w:rsid w:val="00B448A0"/>
    <w:rsid w:val="00B448EC"/>
    <w:rsid w:val="00B44D64"/>
    <w:rsid w:val="00B45C6D"/>
    <w:rsid w:val="00B462C6"/>
    <w:rsid w:val="00B465E7"/>
    <w:rsid w:val="00B46811"/>
    <w:rsid w:val="00B46859"/>
    <w:rsid w:val="00B46D59"/>
    <w:rsid w:val="00B46FD9"/>
    <w:rsid w:val="00B47583"/>
    <w:rsid w:val="00B47B6A"/>
    <w:rsid w:val="00B47C3D"/>
    <w:rsid w:val="00B47DA7"/>
    <w:rsid w:val="00B47E7F"/>
    <w:rsid w:val="00B47E94"/>
    <w:rsid w:val="00B504B9"/>
    <w:rsid w:val="00B5078E"/>
    <w:rsid w:val="00B50A3E"/>
    <w:rsid w:val="00B50EBB"/>
    <w:rsid w:val="00B512CA"/>
    <w:rsid w:val="00B51303"/>
    <w:rsid w:val="00B51403"/>
    <w:rsid w:val="00B515B9"/>
    <w:rsid w:val="00B5187B"/>
    <w:rsid w:val="00B51B2A"/>
    <w:rsid w:val="00B52337"/>
    <w:rsid w:val="00B524FD"/>
    <w:rsid w:val="00B526C3"/>
    <w:rsid w:val="00B530A8"/>
    <w:rsid w:val="00B532B2"/>
    <w:rsid w:val="00B53512"/>
    <w:rsid w:val="00B53813"/>
    <w:rsid w:val="00B538FD"/>
    <w:rsid w:val="00B53A04"/>
    <w:rsid w:val="00B53E79"/>
    <w:rsid w:val="00B53F0B"/>
    <w:rsid w:val="00B53FA4"/>
    <w:rsid w:val="00B54AFB"/>
    <w:rsid w:val="00B54C97"/>
    <w:rsid w:val="00B54E35"/>
    <w:rsid w:val="00B55245"/>
    <w:rsid w:val="00B554BA"/>
    <w:rsid w:val="00B55A00"/>
    <w:rsid w:val="00B56584"/>
    <w:rsid w:val="00B567FE"/>
    <w:rsid w:val="00B568D2"/>
    <w:rsid w:val="00B56D3D"/>
    <w:rsid w:val="00B56D7F"/>
    <w:rsid w:val="00B57626"/>
    <w:rsid w:val="00B5768D"/>
    <w:rsid w:val="00B57BA8"/>
    <w:rsid w:val="00B57C45"/>
    <w:rsid w:val="00B57D10"/>
    <w:rsid w:val="00B57F11"/>
    <w:rsid w:val="00B60070"/>
    <w:rsid w:val="00B60628"/>
    <w:rsid w:val="00B6066E"/>
    <w:rsid w:val="00B60A7A"/>
    <w:rsid w:val="00B614FF"/>
    <w:rsid w:val="00B621ED"/>
    <w:rsid w:val="00B6237B"/>
    <w:rsid w:val="00B626F3"/>
    <w:rsid w:val="00B628A0"/>
    <w:rsid w:val="00B62BC2"/>
    <w:rsid w:val="00B62C50"/>
    <w:rsid w:val="00B62DF9"/>
    <w:rsid w:val="00B632E9"/>
    <w:rsid w:val="00B63AB2"/>
    <w:rsid w:val="00B63BA0"/>
    <w:rsid w:val="00B63E65"/>
    <w:rsid w:val="00B63FB4"/>
    <w:rsid w:val="00B64288"/>
    <w:rsid w:val="00B646F0"/>
    <w:rsid w:val="00B651B4"/>
    <w:rsid w:val="00B65828"/>
    <w:rsid w:val="00B6585E"/>
    <w:rsid w:val="00B6649C"/>
    <w:rsid w:val="00B66550"/>
    <w:rsid w:val="00B665F1"/>
    <w:rsid w:val="00B669FC"/>
    <w:rsid w:val="00B66DC0"/>
    <w:rsid w:val="00B6737B"/>
    <w:rsid w:val="00B673C0"/>
    <w:rsid w:val="00B679D2"/>
    <w:rsid w:val="00B70164"/>
    <w:rsid w:val="00B704A5"/>
    <w:rsid w:val="00B70DB5"/>
    <w:rsid w:val="00B70FB3"/>
    <w:rsid w:val="00B712B9"/>
    <w:rsid w:val="00B71ABE"/>
    <w:rsid w:val="00B735C8"/>
    <w:rsid w:val="00B73751"/>
    <w:rsid w:val="00B73A3D"/>
    <w:rsid w:val="00B73A55"/>
    <w:rsid w:val="00B73EFD"/>
    <w:rsid w:val="00B74169"/>
    <w:rsid w:val="00B7431C"/>
    <w:rsid w:val="00B744C5"/>
    <w:rsid w:val="00B74693"/>
    <w:rsid w:val="00B74772"/>
    <w:rsid w:val="00B7496C"/>
    <w:rsid w:val="00B749AB"/>
    <w:rsid w:val="00B74F01"/>
    <w:rsid w:val="00B74F10"/>
    <w:rsid w:val="00B74FC4"/>
    <w:rsid w:val="00B75161"/>
    <w:rsid w:val="00B7563F"/>
    <w:rsid w:val="00B756E4"/>
    <w:rsid w:val="00B757AA"/>
    <w:rsid w:val="00B7587D"/>
    <w:rsid w:val="00B75AAE"/>
    <w:rsid w:val="00B763F0"/>
    <w:rsid w:val="00B76712"/>
    <w:rsid w:val="00B7686B"/>
    <w:rsid w:val="00B76A33"/>
    <w:rsid w:val="00B76E88"/>
    <w:rsid w:val="00B76F4E"/>
    <w:rsid w:val="00B77315"/>
    <w:rsid w:val="00B775C7"/>
    <w:rsid w:val="00B77A36"/>
    <w:rsid w:val="00B8030B"/>
    <w:rsid w:val="00B80C4A"/>
    <w:rsid w:val="00B80F3E"/>
    <w:rsid w:val="00B80FC2"/>
    <w:rsid w:val="00B81060"/>
    <w:rsid w:val="00B810B8"/>
    <w:rsid w:val="00B81E47"/>
    <w:rsid w:val="00B8222B"/>
    <w:rsid w:val="00B82264"/>
    <w:rsid w:val="00B829D9"/>
    <w:rsid w:val="00B82C93"/>
    <w:rsid w:val="00B82CD0"/>
    <w:rsid w:val="00B82D53"/>
    <w:rsid w:val="00B82E48"/>
    <w:rsid w:val="00B83136"/>
    <w:rsid w:val="00B83602"/>
    <w:rsid w:val="00B83B8D"/>
    <w:rsid w:val="00B83ECB"/>
    <w:rsid w:val="00B83F4B"/>
    <w:rsid w:val="00B8404E"/>
    <w:rsid w:val="00B849BD"/>
    <w:rsid w:val="00B84E07"/>
    <w:rsid w:val="00B8534A"/>
    <w:rsid w:val="00B8574E"/>
    <w:rsid w:val="00B85FE2"/>
    <w:rsid w:val="00B86573"/>
    <w:rsid w:val="00B8672A"/>
    <w:rsid w:val="00B86732"/>
    <w:rsid w:val="00B86B5E"/>
    <w:rsid w:val="00B86C85"/>
    <w:rsid w:val="00B87271"/>
    <w:rsid w:val="00B875A4"/>
    <w:rsid w:val="00B877F4"/>
    <w:rsid w:val="00B8797F"/>
    <w:rsid w:val="00B90E19"/>
    <w:rsid w:val="00B91025"/>
    <w:rsid w:val="00B9180C"/>
    <w:rsid w:val="00B91F42"/>
    <w:rsid w:val="00B9203A"/>
    <w:rsid w:val="00B9207A"/>
    <w:rsid w:val="00B92123"/>
    <w:rsid w:val="00B9249A"/>
    <w:rsid w:val="00B92906"/>
    <w:rsid w:val="00B929EC"/>
    <w:rsid w:val="00B92C64"/>
    <w:rsid w:val="00B939BA"/>
    <w:rsid w:val="00B93D00"/>
    <w:rsid w:val="00B9405C"/>
    <w:rsid w:val="00B940DF"/>
    <w:rsid w:val="00B940E7"/>
    <w:rsid w:val="00B9454B"/>
    <w:rsid w:val="00B9523A"/>
    <w:rsid w:val="00B95B18"/>
    <w:rsid w:val="00B961BC"/>
    <w:rsid w:val="00B9633D"/>
    <w:rsid w:val="00B96D48"/>
    <w:rsid w:val="00B96EAE"/>
    <w:rsid w:val="00B97465"/>
    <w:rsid w:val="00B9750D"/>
    <w:rsid w:val="00B9778B"/>
    <w:rsid w:val="00B9787D"/>
    <w:rsid w:val="00BA004D"/>
    <w:rsid w:val="00BA058B"/>
    <w:rsid w:val="00BA0C4C"/>
    <w:rsid w:val="00BA138D"/>
    <w:rsid w:val="00BA1817"/>
    <w:rsid w:val="00BA18B0"/>
    <w:rsid w:val="00BA1965"/>
    <w:rsid w:val="00BA1976"/>
    <w:rsid w:val="00BA1BDA"/>
    <w:rsid w:val="00BA1C9F"/>
    <w:rsid w:val="00BA1D94"/>
    <w:rsid w:val="00BA22CB"/>
    <w:rsid w:val="00BA22F5"/>
    <w:rsid w:val="00BA2532"/>
    <w:rsid w:val="00BA2D9D"/>
    <w:rsid w:val="00BA3404"/>
    <w:rsid w:val="00BA39F7"/>
    <w:rsid w:val="00BA4029"/>
    <w:rsid w:val="00BA43F7"/>
    <w:rsid w:val="00BA4420"/>
    <w:rsid w:val="00BA459C"/>
    <w:rsid w:val="00BA48D4"/>
    <w:rsid w:val="00BA4E72"/>
    <w:rsid w:val="00BA5629"/>
    <w:rsid w:val="00BA57B2"/>
    <w:rsid w:val="00BA5862"/>
    <w:rsid w:val="00BA5A5C"/>
    <w:rsid w:val="00BA5D78"/>
    <w:rsid w:val="00BA67F1"/>
    <w:rsid w:val="00BA68E1"/>
    <w:rsid w:val="00BA6AB7"/>
    <w:rsid w:val="00BA6E60"/>
    <w:rsid w:val="00BA6FBA"/>
    <w:rsid w:val="00BA76DF"/>
    <w:rsid w:val="00BA7842"/>
    <w:rsid w:val="00BA7CBF"/>
    <w:rsid w:val="00BA7F96"/>
    <w:rsid w:val="00BB061C"/>
    <w:rsid w:val="00BB1900"/>
    <w:rsid w:val="00BB1A63"/>
    <w:rsid w:val="00BB1E50"/>
    <w:rsid w:val="00BB22F7"/>
    <w:rsid w:val="00BB36D8"/>
    <w:rsid w:val="00BB37E6"/>
    <w:rsid w:val="00BB3AC4"/>
    <w:rsid w:val="00BB3D8E"/>
    <w:rsid w:val="00BB4054"/>
    <w:rsid w:val="00BB4A08"/>
    <w:rsid w:val="00BB5C41"/>
    <w:rsid w:val="00BB61CE"/>
    <w:rsid w:val="00BB6868"/>
    <w:rsid w:val="00BB6948"/>
    <w:rsid w:val="00BB69C2"/>
    <w:rsid w:val="00BB69EA"/>
    <w:rsid w:val="00BB6AE9"/>
    <w:rsid w:val="00BB6C8A"/>
    <w:rsid w:val="00BB7727"/>
    <w:rsid w:val="00BB79C5"/>
    <w:rsid w:val="00BB7AEC"/>
    <w:rsid w:val="00BB7DDD"/>
    <w:rsid w:val="00BC0438"/>
    <w:rsid w:val="00BC0463"/>
    <w:rsid w:val="00BC0516"/>
    <w:rsid w:val="00BC0703"/>
    <w:rsid w:val="00BC0AAF"/>
    <w:rsid w:val="00BC0FCA"/>
    <w:rsid w:val="00BC14BE"/>
    <w:rsid w:val="00BC162B"/>
    <w:rsid w:val="00BC1B8F"/>
    <w:rsid w:val="00BC1DBF"/>
    <w:rsid w:val="00BC1EE9"/>
    <w:rsid w:val="00BC1FC8"/>
    <w:rsid w:val="00BC2283"/>
    <w:rsid w:val="00BC2D2D"/>
    <w:rsid w:val="00BC2F1E"/>
    <w:rsid w:val="00BC322F"/>
    <w:rsid w:val="00BC35AC"/>
    <w:rsid w:val="00BC3791"/>
    <w:rsid w:val="00BC3BBE"/>
    <w:rsid w:val="00BC3DB8"/>
    <w:rsid w:val="00BC3F17"/>
    <w:rsid w:val="00BC3F78"/>
    <w:rsid w:val="00BC3FFD"/>
    <w:rsid w:val="00BC4397"/>
    <w:rsid w:val="00BC48AB"/>
    <w:rsid w:val="00BC48C6"/>
    <w:rsid w:val="00BC4DD4"/>
    <w:rsid w:val="00BC4E91"/>
    <w:rsid w:val="00BC51BC"/>
    <w:rsid w:val="00BC5219"/>
    <w:rsid w:val="00BC613A"/>
    <w:rsid w:val="00BC6378"/>
    <w:rsid w:val="00BC64BF"/>
    <w:rsid w:val="00BC6A08"/>
    <w:rsid w:val="00BC6AEB"/>
    <w:rsid w:val="00BC7504"/>
    <w:rsid w:val="00BC768B"/>
    <w:rsid w:val="00BC772A"/>
    <w:rsid w:val="00BC7829"/>
    <w:rsid w:val="00BC788D"/>
    <w:rsid w:val="00BC7BAB"/>
    <w:rsid w:val="00BC7C6D"/>
    <w:rsid w:val="00BD03BA"/>
    <w:rsid w:val="00BD0487"/>
    <w:rsid w:val="00BD088E"/>
    <w:rsid w:val="00BD09B4"/>
    <w:rsid w:val="00BD0B76"/>
    <w:rsid w:val="00BD0FE9"/>
    <w:rsid w:val="00BD14CF"/>
    <w:rsid w:val="00BD18A7"/>
    <w:rsid w:val="00BD1907"/>
    <w:rsid w:val="00BD1CC3"/>
    <w:rsid w:val="00BD209D"/>
    <w:rsid w:val="00BD2180"/>
    <w:rsid w:val="00BD2400"/>
    <w:rsid w:val="00BD2493"/>
    <w:rsid w:val="00BD2972"/>
    <w:rsid w:val="00BD2980"/>
    <w:rsid w:val="00BD2C18"/>
    <w:rsid w:val="00BD2E0F"/>
    <w:rsid w:val="00BD318F"/>
    <w:rsid w:val="00BD3670"/>
    <w:rsid w:val="00BD383D"/>
    <w:rsid w:val="00BD4556"/>
    <w:rsid w:val="00BD4710"/>
    <w:rsid w:val="00BD490C"/>
    <w:rsid w:val="00BD5627"/>
    <w:rsid w:val="00BD579A"/>
    <w:rsid w:val="00BD5851"/>
    <w:rsid w:val="00BD6143"/>
    <w:rsid w:val="00BD61C4"/>
    <w:rsid w:val="00BD621B"/>
    <w:rsid w:val="00BD6517"/>
    <w:rsid w:val="00BD677D"/>
    <w:rsid w:val="00BD6F1B"/>
    <w:rsid w:val="00BD74D3"/>
    <w:rsid w:val="00BD7657"/>
    <w:rsid w:val="00BD766F"/>
    <w:rsid w:val="00BD7731"/>
    <w:rsid w:val="00BD7BA4"/>
    <w:rsid w:val="00BD7CA0"/>
    <w:rsid w:val="00BD7E9E"/>
    <w:rsid w:val="00BE0272"/>
    <w:rsid w:val="00BE02EB"/>
    <w:rsid w:val="00BE0A0D"/>
    <w:rsid w:val="00BE0D14"/>
    <w:rsid w:val="00BE0F3A"/>
    <w:rsid w:val="00BE1215"/>
    <w:rsid w:val="00BE1855"/>
    <w:rsid w:val="00BE1AE5"/>
    <w:rsid w:val="00BE1EA8"/>
    <w:rsid w:val="00BE2454"/>
    <w:rsid w:val="00BE29EB"/>
    <w:rsid w:val="00BE31B4"/>
    <w:rsid w:val="00BE36B5"/>
    <w:rsid w:val="00BE3EA4"/>
    <w:rsid w:val="00BE41BD"/>
    <w:rsid w:val="00BE41CA"/>
    <w:rsid w:val="00BE4205"/>
    <w:rsid w:val="00BE46BD"/>
    <w:rsid w:val="00BE4A44"/>
    <w:rsid w:val="00BE4E1D"/>
    <w:rsid w:val="00BE5542"/>
    <w:rsid w:val="00BE5C3F"/>
    <w:rsid w:val="00BE5FB1"/>
    <w:rsid w:val="00BE6206"/>
    <w:rsid w:val="00BE63A0"/>
    <w:rsid w:val="00BE6579"/>
    <w:rsid w:val="00BE6C2A"/>
    <w:rsid w:val="00BE6F7E"/>
    <w:rsid w:val="00BE7008"/>
    <w:rsid w:val="00BE7364"/>
    <w:rsid w:val="00BE7423"/>
    <w:rsid w:val="00BE7503"/>
    <w:rsid w:val="00BE7ED9"/>
    <w:rsid w:val="00BF0322"/>
    <w:rsid w:val="00BF08EE"/>
    <w:rsid w:val="00BF0BD8"/>
    <w:rsid w:val="00BF158D"/>
    <w:rsid w:val="00BF1771"/>
    <w:rsid w:val="00BF1986"/>
    <w:rsid w:val="00BF1BBE"/>
    <w:rsid w:val="00BF1CB1"/>
    <w:rsid w:val="00BF1D2B"/>
    <w:rsid w:val="00BF1DE9"/>
    <w:rsid w:val="00BF2002"/>
    <w:rsid w:val="00BF2354"/>
    <w:rsid w:val="00BF2556"/>
    <w:rsid w:val="00BF2A78"/>
    <w:rsid w:val="00BF2C5B"/>
    <w:rsid w:val="00BF2D8B"/>
    <w:rsid w:val="00BF2F0E"/>
    <w:rsid w:val="00BF2F5F"/>
    <w:rsid w:val="00BF3917"/>
    <w:rsid w:val="00BF3E3B"/>
    <w:rsid w:val="00BF4078"/>
    <w:rsid w:val="00BF479A"/>
    <w:rsid w:val="00BF4CA2"/>
    <w:rsid w:val="00BF4F01"/>
    <w:rsid w:val="00BF4F81"/>
    <w:rsid w:val="00BF5150"/>
    <w:rsid w:val="00BF5368"/>
    <w:rsid w:val="00BF55FF"/>
    <w:rsid w:val="00BF56CC"/>
    <w:rsid w:val="00BF5739"/>
    <w:rsid w:val="00BF594E"/>
    <w:rsid w:val="00BF59CD"/>
    <w:rsid w:val="00BF63DC"/>
    <w:rsid w:val="00BF68E0"/>
    <w:rsid w:val="00BF6BB4"/>
    <w:rsid w:val="00BF6E99"/>
    <w:rsid w:val="00BF701B"/>
    <w:rsid w:val="00BF7792"/>
    <w:rsid w:val="00BF791B"/>
    <w:rsid w:val="00BF7A9B"/>
    <w:rsid w:val="00BF7BDB"/>
    <w:rsid w:val="00BF7EF9"/>
    <w:rsid w:val="00BF7FF1"/>
    <w:rsid w:val="00C006C5"/>
    <w:rsid w:val="00C009AF"/>
    <w:rsid w:val="00C00A57"/>
    <w:rsid w:val="00C0144E"/>
    <w:rsid w:val="00C01AF3"/>
    <w:rsid w:val="00C01F5F"/>
    <w:rsid w:val="00C02065"/>
    <w:rsid w:val="00C02416"/>
    <w:rsid w:val="00C02585"/>
    <w:rsid w:val="00C028A0"/>
    <w:rsid w:val="00C0317B"/>
    <w:rsid w:val="00C031D2"/>
    <w:rsid w:val="00C0320C"/>
    <w:rsid w:val="00C03372"/>
    <w:rsid w:val="00C034E3"/>
    <w:rsid w:val="00C039EB"/>
    <w:rsid w:val="00C04B8A"/>
    <w:rsid w:val="00C05430"/>
    <w:rsid w:val="00C05483"/>
    <w:rsid w:val="00C055E0"/>
    <w:rsid w:val="00C05617"/>
    <w:rsid w:val="00C0563C"/>
    <w:rsid w:val="00C0581A"/>
    <w:rsid w:val="00C05FE2"/>
    <w:rsid w:val="00C060E6"/>
    <w:rsid w:val="00C062D4"/>
    <w:rsid w:val="00C06425"/>
    <w:rsid w:val="00C066EF"/>
    <w:rsid w:val="00C068F8"/>
    <w:rsid w:val="00C06A42"/>
    <w:rsid w:val="00C06B56"/>
    <w:rsid w:val="00C06C17"/>
    <w:rsid w:val="00C06CA1"/>
    <w:rsid w:val="00C06F54"/>
    <w:rsid w:val="00C0701B"/>
    <w:rsid w:val="00C073F4"/>
    <w:rsid w:val="00C078D5"/>
    <w:rsid w:val="00C07B22"/>
    <w:rsid w:val="00C07EF2"/>
    <w:rsid w:val="00C10567"/>
    <w:rsid w:val="00C1079E"/>
    <w:rsid w:val="00C108C2"/>
    <w:rsid w:val="00C11084"/>
    <w:rsid w:val="00C11BC4"/>
    <w:rsid w:val="00C11DC3"/>
    <w:rsid w:val="00C11ECD"/>
    <w:rsid w:val="00C121ED"/>
    <w:rsid w:val="00C122F7"/>
    <w:rsid w:val="00C12357"/>
    <w:rsid w:val="00C12901"/>
    <w:rsid w:val="00C12B69"/>
    <w:rsid w:val="00C12C26"/>
    <w:rsid w:val="00C12DAD"/>
    <w:rsid w:val="00C133CF"/>
    <w:rsid w:val="00C13402"/>
    <w:rsid w:val="00C1344F"/>
    <w:rsid w:val="00C13E94"/>
    <w:rsid w:val="00C14120"/>
    <w:rsid w:val="00C14306"/>
    <w:rsid w:val="00C1478E"/>
    <w:rsid w:val="00C148E6"/>
    <w:rsid w:val="00C14917"/>
    <w:rsid w:val="00C14A6B"/>
    <w:rsid w:val="00C14DA6"/>
    <w:rsid w:val="00C1544C"/>
    <w:rsid w:val="00C1564D"/>
    <w:rsid w:val="00C15977"/>
    <w:rsid w:val="00C15CF5"/>
    <w:rsid w:val="00C15FFB"/>
    <w:rsid w:val="00C16311"/>
    <w:rsid w:val="00C163CB"/>
    <w:rsid w:val="00C1644D"/>
    <w:rsid w:val="00C167AF"/>
    <w:rsid w:val="00C16E9B"/>
    <w:rsid w:val="00C17131"/>
    <w:rsid w:val="00C17464"/>
    <w:rsid w:val="00C17C9A"/>
    <w:rsid w:val="00C17DFF"/>
    <w:rsid w:val="00C17F53"/>
    <w:rsid w:val="00C20058"/>
    <w:rsid w:val="00C20E78"/>
    <w:rsid w:val="00C20EDE"/>
    <w:rsid w:val="00C214A0"/>
    <w:rsid w:val="00C21DCE"/>
    <w:rsid w:val="00C21E26"/>
    <w:rsid w:val="00C21F99"/>
    <w:rsid w:val="00C2227E"/>
    <w:rsid w:val="00C226FA"/>
    <w:rsid w:val="00C22817"/>
    <w:rsid w:val="00C22CD0"/>
    <w:rsid w:val="00C22DF9"/>
    <w:rsid w:val="00C234BF"/>
    <w:rsid w:val="00C237B9"/>
    <w:rsid w:val="00C24338"/>
    <w:rsid w:val="00C24A59"/>
    <w:rsid w:val="00C2546A"/>
    <w:rsid w:val="00C25A29"/>
    <w:rsid w:val="00C263FD"/>
    <w:rsid w:val="00C26B8B"/>
    <w:rsid w:val="00C26CC1"/>
    <w:rsid w:val="00C26D1C"/>
    <w:rsid w:val="00C26F5E"/>
    <w:rsid w:val="00C2703C"/>
    <w:rsid w:val="00C27118"/>
    <w:rsid w:val="00C2713C"/>
    <w:rsid w:val="00C2735D"/>
    <w:rsid w:val="00C27460"/>
    <w:rsid w:val="00C275BE"/>
    <w:rsid w:val="00C27A9F"/>
    <w:rsid w:val="00C27C99"/>
    <w:rsid w:val="00C27D5B"/>
    <w:rsid w:val="00C27E47"/>
    <w:rsid w:val="00C302D1"/>
    <w:rsid w:val="00C305BF"/>
    <w:rsid w:val="00C30BAB"/>
    <w:rsid w:val="00C3106A"/>
    <w:rsid w:val="00C31077"/>
    <w:rsid w:val="00C311C6"/>
    <w:rsid w:val="00C31224"/>
    <w:rsid w:val="00C3165F"/>
    <w:rsid w:val="00C31947"/>
    <w:rsid w:val="00C31AED"/>
    <w:rsid w:val="00C31C37"/>
    <w:rsid w:val="00C31C40"/>
    <w:rsid w:val="00C31F96"/>
    <w:rsid w:val="00C31FAA"/>
    <w:rsid w:val="00C322B6"/>
    <w:rsid w:val="00C32332"/>
    <w:rsid w:val="00C32C69"/>
    <w:rsid w:val="00C32D48"/>
    <w:rsid w:val="00C32E74"/>
    <w:rsid w:val="00C33175"/>
    <w:rsid w:val="00C332D7"/>
    <w:rsid w:val="00C33405"/>
    <w:rsid w:val="00C33557"/>
    <w:rsid w:val="00C336E1"/>
    <w:rsid w:val="00C337DF"/>
    <w:rsid w:val="00C3384D"/>
    <w:rsid w:val="00C33D23"/>
    <w:rsid w:val="00C3462B"/>
    <w:rsid w:val="00C3462F"/>
    <w:rsid w:val="00C34C86"/>
    <w:rsid w:val="00C35403"/>
    <w:rsid w:val="00C35BC6"/>
    <w:rsid w:val="00C35D41"/>
    <w:rsid w:val="00C36244"/>
    <w:rsid w:val="00C36471"/>
    <w:rsid w:val="00C36C95"/>
    <w:rsid w:val="00C36FED"/>
    <w:rsid w:val="00C3739A"/>
    <w:rsid w:val="00C37806"/>
    <w:rsid w:val="00C37963"/>
    <w:rsid w:val="00C37AB4"/>
    <w:rsid w:val="00C37DFE"/>
    <w:rsid w:val="00C40C47"/>
    <w:rsid w:val="00C40CF8"/>
    <w:rsid w:val="00C41204"/>
    <w:rsid w:val="00C41370"/>
    <w:rsid w:val="00C41693"/>
    <w:rsid w:val="00C419B0"/>
    <w:rsid w:val="00C41BDE"/>
    <w:rsid w:val="00C41E8C"/>
    <w:rsid w:val="00C41F5E"/>
    <w:rsid w:val="00C42002"/>
    <w:rsid w:val="00C42360"/>
    <w:rsid w:val="00C423C7"/>
    <w:rsid w:val="00C423DB"/>
    <w:rsid w:val="00C4279E"/>
    <w:rsid w:val="00C42A14"/>
    <w:rsid w:val="00C42E37"/>
    <w:rsid w:val="00C43422"/>
    <w:rsid w:val="00C436BB"/>
    <w:rsid w:val="00C4376C"/>
    <w:rsid w:val="00C43778"/>
    <w:rsid w:val="00C43F30"/>
    <w:rsid w:val="00C43F9B"/>
    <w:rsid w:val="00C43FE6"/>
    <w:rsid w:val="00C440C3"/>
    <w:rsid w:val="00C44247"/>
    <w:rsid w:val="00C44555"/>
    <w:rsid w:val="00C44575"/>
    <w:rsid w:val="00C44A40"/>
    <w:rsid w:val="00C451C8"/>
    <w:rsid w:val="00C45237"/>
    <w:rsid w:val="00C45312"/>
    <w:rsid w:val="00C453DB"/>
    <w:rsid w:val="00C46C46"/>
    <w:rsid w:val="00C47040"/>
    <w:rsid w:val="00C473F0"/>
    <w:rsid w:val="00C474DC"/>
    <w:rsid w:val="00C47672"/>
    <w:rsid w:val="00C47A91"/>
    <w:rsid w:val="00C50366"/>
    <w:rsid w:val="00C50621"/>
    <w:rsid w:val="00C5096E"/>
    <w:rsid w:val="00C50C2A"/>
    <w:rsid w:val="00C50D17"/>
    <w:rsid w:val="00C50D22"/>
    <w:rsid w:val="00C50D63"/>
    <w:rsid w:val="00C51262"/>
    <w:rsid w:val="00C51951"/>
    <w:rsid w:val="00C51D67"/>
    <w:rsid w:val="00C52019"/>
    <w:rsid w:val="00C5205D"/>
    <w:rsid w:val="00C5221F"/>
    <w:rsid w:val="00C52486"/>
    <w:rsid w:val="00C52725"/>
    <w:rsid w:val="00C52950"/>
    <w:rsid w:val="00C537E2"/>
    <w:rsid w:val="00C542ED"/>
    <w:rsid w:val="00C544FB"/>
    <w:rsid w:val="00C545FF"/>
    <w:rsid w:val="00C54CAB"/>
    <w:rsid w:val="00C550D6"/>
    <w:rsid w:val="00C5516C"/>
    <w:rsid w:val="00C55368"/>
    <w:rsid w:val="00C55998"/>
    <w:rsid w:val="00C55B4B"/>
    <w:rsid w:val="00C55FAD"/>
    <w:rsid w:val="00C560D6"/>
    <w:rsid w:val="00C565E6"/>
    <w:rsid w:val="00C567A2"/>
    <w:rsid w:val="00C567B7"/>
    <w:rsid w:val="00C5690E"/>
    <w:rsid w:val="00C56B58"/>
    <w:rsid w:val="00C56C71"/>
    <w:rsid w:val="00C56F42"/>
    <w:rsid w:val="00C57524"/>
    <w:rsid w:val="00C575F2"/>
    <w:rsid w:val="00C576DA"/>
    <w:rsid w:val="00C5786F"/>
    <w:rsid w:val="00C57A96"/>
    <w:rsid w:val="00C57D0B"/>
    <w:rsid w:val="00C57F91"/>
    <w:rsid w:val="00C6043A"/>
    <w:rsid w:val="00C60446"/>
    <w:rsid w:val="00C60509"/>
    <w:rsid w:val="00C60A0B"/>
    <w:rsid w:val="00C60E00"/>
    <w:rsid w:val="00C617BE"/>
    <w:rsid w:val="00C61DCB"/>
    <w:rsid w:val="00C625FD"/>
    <w:rsid w:val="00C62BC6"/>
    <w:rsid w:val="00C62F59"/>
    <w:rsid w:val="00C6345F"/>
    <w:rsid w:val="00C63B43"/>
    <w:rsid w:val="00C644F1"/>
    <w:rsid w:val="00C64C72"/>
    <w:rsid w:val="00C652EE"/>
    <w:rsid w:val="00C65466"/>
    <w:rsid w:val="00C65A3A"/>
    <w:rsid w:val="00C65CF2"/>
    <w:rsid w:val="00C65D62"/>
    <w:rsid w:val="00C65ED9"/>
    <w:rsid w:val="00C6619F"/>
    <w:rsid w:val="00C664E7"/>
    <w:rsid w:val="00C668BD"/>
    <w:rsid w:val="00C669D2"/>
    <w:rsid w:val="00C66B33"/>
    <w:rsid w:val="00C66BA4"/>
    <w:rsid w:val="00C66DDD"/>
    <w:rsid w:val="00C67260"/>
    <w:rsid w:val="00C6774D"/>
    <w:rsid w:val="00C70004"/>
    <w:rsid w:val="00C7029E"/>
    <w:rsid w:val="00C70DEA"/>
    <w:rsid w:val="00C7145F"/>
    <w:rsid w:val="00C71912"/>
    <w:rsid w:val="00C71C7C"/>
    <w:rsid w:val="00C71D36"/>
    <w:rsid w:val="00C72020"/>
    <w:rsid w:val="00C72062"/>
    <w:rsid w:val="00C72166"/>
    <w:rsid w:val="00C723F1"/>
    <w:rsid w:val="00C7241D"/>
    <w:rsid w:val="00C726B6"/>
    <w:rsid w:val="00C72820"/>
    <w:rsid w:val="00C72CA8"/>
    <w:rsid w:val="00C73B31"/>
    <w:rsid w:val="00C73D1F"/>
    <w:rsid w:val="00C743F8"/>
    <w:rsid w:val="00C749B3"/>
    <w:rsid w:val="00C75E03"/>
    <w:rsid w:val="00C75EDF"/>
    <w:rsid w:val="00C76004"/>
    <w:rsid w:val="00C76356"/>
    <w:rsid w:val="00C7667B"/>
    <w:rsid w:val="00C76734"/>
    <w:rsid w:val="00C76BC0"/>
    <w:rsid w:val="00C77503"/>
    <w:rsid w:val="00C77851"/>
    <w:rsid w:val="00C7790A"/>
    <w:rsid w:val="00C77BA6"/>
    <w:rsid w:val="00C77BE5"/>
    <w:rsid w:val="00C77E4C"/>
    <w:rsid w:val="00C80072"/>
    <w:rsid w:val="00C801C3"/>
    <w:rsid w:val="00C802B3"/>
    <w:rsid w:val="00C81106"/>
    <w:rsid w:val="00C81180"/>
    <w:rsid w:val="00C816F1"/>
    <w:rsid w:val="00C81AC1"/>
    <w:rsid w:val="00C826EE"/>
    <w:rsid w:val="00C82DCA"/>
    <w:rsid w:val="00C82E03"/>
    <w:rsid w:val="00C82F60"/>
    <w:rsid w:val="00C831DF"/>
    <w:rsid w:val="00C8333D"/>
    <w:rsid w:val="00C83603"/>
    <w:rsid w:val="00C83861"/>
    <w:rsid w:val="00C838BD"/>
    <w:rsid w:val="00C83A0F"/>
    <w:rsid w:val="00C83D3B"/>
    <w:rsid w:val="00C8402B"/>
    <w:rsid w:val="00C8423D"/>
    <w:rsid w:val="00C8447F"/>
    <w:rsid w:val="00C8496E"/>
    <w:rsid w:val="00C84AC5"/>
    <w:rsid w:val="00C8504B"/>
    <w:rsid w:val="00C85490"/>
    <w:rsid w:val="00C859BA"/>
    <w:rsid w:val="00C85C22"/>
    <w:rsid w:val="00C86003"/>
    <w:rsid w:val="00C860FF"/>
    <w:rsid w:val="00C86BC2"/>
    <w:rsid w:val="00C86ED7"/>
    <w:rsid w:val="00C8747B"/>
    <w:rsid w:val="00C90103"/>
    <w:rsid w:val="00C9022C"/>
    <w:rsid w:val="00C90322"/>
    <w:rsid w:val="00C90B59"/>
    <w:rsid w:val="00C90B70"/>
    <w:rsid w:val="00C90BE1"/>
    <w:rsid w:val="00C91552"/>
    <w:rsid w:val="00C9235E"/>
    <w:rsid w:val="00C923B8"/>
    <w:rsid w:val="00C92578"/>
    <w:rsid w:val="00C92CC6"/>
    <w:rsid w:val="00C92D75"/>
    <w:rsid w:val="00C9319B"/>
    <w:rsid w:val="00C932FA"/>
    <w:rsid w:val="00C94152"/>
    <w:rsid w:val="00C9451D"/>
    <w:rsid w:val="00C948D6"/>
    <w:rsid w:val="00C949D7"/>
    <w:rsid w:val="00C94BFF"/>
    <w:rsid w:val="00C94DB0"/>
    <w:rsid w:val="00C94EFE"/>
    <w:rsid w:val="00C94F1A"/>
    <w:rsid w:val="00C9568B"/>
    <w:rsid w:val="00C95CC2"/>
    <w:rsid w:val="00C95E0F"/>
    <w:rsid w:val="00C9638C"/>
    <w:rsid w:val="00C969C6"/>
    <w:rsid w:val="00C96C40"/>
    <w:rsid w:val="00C96DB7"/>
    <w:rsid w:val="00C97C4B"/>
    <w:rsid w:val="00C97DB0"/>
    <w:rsid w:val="00C97F38"/>
    <w:rsid w:val="00C97FB7"/>
    <w:rsid w:val="00CA0538"/>
    <w:rsid w:val="00CA06C4"/>
    <w:rsid w:val="00CA096B"/>
    <w:rsid w:val="00CA18A1"/>
    <w:rsid w:val="00CA1C43"/>
    <w:rsid w:val="00CA211D"/>
    <w:rsid w:val="00CA22DE"/>
    <w:rsid w:val="00CA2409"/>
    <w:rsid w:val="00CA259B"/>
    <w:rsid w:val="00CA26DE"/>
    <w:rsid w:val="00CA332E"/>
    <w:rsid w:val="00CA345A"/>
    <w:rsid w:val="00CA35B9"/>
    <w:rsid w:val="00CA390C"/>
    <w:rsid w:val="00CA393D"/>
    <w:rsid w:val="00CA3BB3"/>
    <w:rsid w:val="00CA3D16"/>
    <w:rsid w:val="00CA47D3"/>
    <w:rsid w:val="00CA4E24"/>
    <w:rsid w:val="00CA50C9"/>
    <w:rsid w:val="00CA56C1"/>
    <w:rsid w:val="00CA60EC"/>
    <w:rsid w:val="00CA64D4"/>
    <w:rsid w:val="00CA66DB"/>
    <w:rsid w:val="00CA6F13"/>
    <w:rsid w:val="00CA7608"/>
    <w:rsid w:val="00CA7630"/>
    <w:rsid w:val="00CA7E39"/>
    <w:rsid w:val="00CA7E7E"/>
    <w:rsid w:val="00CB0363"/>
    <w:rsid w:val="00CB0665"/>
    <w:rsid w:val="00CB06CB"/>
    <w:rsid w:val="00CB0759"/>
    <w:rsid w:val="00CB07D7"/>
    <w:rsid w:val="00CB08B0"/>
    <w:rsid w:val="00CB0E0F"/>
    <w:rsid w:val="00CB0E70"/>
    <w:rsid w:val="00CB0EF1"/>
    <w:rsid w:val="00CB1025"/>
    <w:rsid w:val="00CB105F"/>
    <w:rsid w:val="00CB13D7"/>
    <w:rsid w:val="00CB1950"/>
    <w:rsid w:val="00CB1F62"/>
    <w:rsid w:val="00CB2206"/>
    <w:rsid w:val="00CB23E4"/>
    <w:rsid w:val="00CB24A7"/>
    <w:rsid w:val="00CB2964"/>
    <w:rsid w:val="00CB2BAB"/>
    <w:rsid w:val="00CB2FC2"/>
    <w:rsid w:val="00CB30B9"/>
    <w:rsid w:val="00CB325B"/>
    <w:rsid w:val="00CB3286"/>
    <w:rsid w:val="00CB33BF"/>
    <w:rsid w:val="00CB3996"/>
    <w:rsid w:val="00CB3D51"/>
    <w:rsid w:val="00CB3DC2"/>
    <w:rsid w:val="00CB3F2E"/>
    <w:rsid w:val="00CB4486"/>
    <w:rsid w:val="00CB4E07"/>
    <w:rsid w:val="00CB4F35"/>
    <w:rsid w:val="00CB53AF"/>
    <w:rsid w:val="00CB53E6"/>
    <w:rsid w:val="00CB5731"/>
    <w:rsid w:val="00CB5803"/>
    <w:rsid w:val="00CB58CB"/>
    <w:rsid w:val="00CB5C5E"/>
    <w:rsid w:val="00CB5E7F"/>
    <w:rsid w:val="00CB5EB9"/>
    <w:rsid w:val="00CB63DB"/>
    <w:rsid w:val="00CB667E"/>
    <w:rsid w:val="00CB6AE7"/>
    <w:rsid w:val="00CB71DF"/>
    <w:rsid w:val="00CB78CD"/>
    <w:rsid w:val="00CC00BB"/>
    <w:rsid w:val="00CC0849"/>
    <w:rsid w:val="00CC0BEA"/>
    <w:rsid w:val="00CC0C43"/>
    <w:rsid w:val="00CC1154"/>
    <w:rsid w:val="00CC128F"/>
    <w:rsid w:val="00CC148B"/>
    <w:rsid w:val="00CC14A5"/>
    <w:rsid w:val="00CC18DC"/>
    <w:rsid w:val="00CC1991"/>
    <w:rsid w:val="00CC1BC5"/>
    <w:rsid w:val="00CC1C4D"/>
    <w:rsid w:val="00CC1FB5"/>
    <w:rsid w:val="00CC2304"/>
    <w:rsid w:val="00CC2576"/>
    <w:rsid w:val="00CC2838"/>
    <w:rsid w:val="00CC2A96"/>
    <w:rsid w:val="00CC30D5"/>
    <w:rsid w:val="00CC3A23"/>
    <w:rsid w:val="00CC3AF9"/>
    <w:rsid w:val="00CC3B76"/>
    <w:rsid w:val="00CC48BD"/>
    <w:rsid w:val="00CC48FC"/>
    <w:rsid w:val="00CC4F94"/>
    <w:rsid w:val="00CC540A"/>
    <w:rsid w:val="00CC5E07"/>
    <w:rsid w:val="00CC609D"/>
    <w:rsid w:val="00CC60B2"/>
    <w:rsid w:val="00CC61D8"/>
    <w:rsid w:val="00CC6995"/>
    <w:rsid w:val="00CC72E5"/>
    <w:rsid w:val="00CC7559"/>
    <w:rsid w:val="00CC79D0"/>
    <w:rsid w:val="00CC7F48"/>
    <w:rsid w:val="00CD0238"/>
    <w:rsid w:val="00CD0866"/>
    <w:rsid w:val="00CD0A2E"/>
    <w:rsid w:val="00CD1128"/>
    <w:rsid w:val="00CD1408"/>
    <w:rsid w:val="00CD15E0"/>
    <w:rsid w:val="00CD177C"/>
    <w:rsid w:val="00CD17F5"/>
    <w:rsid w:val="00CD1879"/>
    <w:rsid w:val="00CD18CC"/>
    <w:rsid w:val="00CD1E15"/>
    <w:rsid w:val="00CD246B"/>
    <w:rsid w:val="00CD2A44"/>
    <w:rsid w:val="00CD2C52"/>
    <w:rsid w:val="00CD2C81"/>
    <w:rsid w:val="00CD31C7"/>
    <w:rsid w:val="00CD3389"/>
    <w:rsid w:val="00CD3D74"/>
    <w:rsid w:val="00CD3DBF"/>
    <w:rsid w:val="00CD3E93"/>
    <w:rsid w:val="00CD49C2"/>
    <w:rsid w:val="00CD4C92"/>
    <w:rsid w:val="00CD4CCD"/>
    <w:rsid w:val="00CD5365"/>
    <w:rsid w:val="00CD5853"/>
    <w:rsid w:val="00CD6427"/>
    <w:rsid w:val="00CD648F"/>
    <w:rsid w:val="00CD6BBC"/>
    <w:rsid w:val="00CD6D15"/>
    <w:rsid w:val="00CD6E28"/>
    <w:rsid w:val="00CD6FD8"/>
    <w:rsid w:val="00CD703D"/>
    <w:rsid w:val="00CD71F8"/>
    <w:rsid w:val="00CD736B"/>
    <w:rsid w:val="00CD797E"/>
    <w:rsid w:val="00CD7D27"/>
    <w:rsid w:val="00CE02C8"/>
    <w:rsid w:val="00CE0404"/>
    <w:rsid w:val="00CE0442"/>
    <w:rsid w:val="00CE0608"/>
    <w:rsid w:val="00CE09D1"/>
    <w:rsid w:val="00CE0C04"/>
    <w:rsid w:val="00CE0E5C"/>
    <w:rsid w:val="00CE100F"/>
    <w:rsid w:val="00CE1282"/>
    <w:rsid w:val="00CE1374"/>
    <w:rsid w:val="00CE1966"/>
    <w:rsid w:val="00CE2117"/>
    <w:rsid w:val="00CE2278"/>
    <w:rsid w:val="00CE2502"/>
    <w:rsid w:val="00CE25A4"/>
    <w:rsid w:val="00CE3250"/>
    <w:rsid w:val="00CE3867"/>
    <w:rsid w:val="00CE3F54"/>
    <w:rsid w:val="00CE5401"/>
    <w:rsid w:val="00CE573A"/>
    <w:rsid w:val="00CE57C3"/>
    <w:rsid w:val="00CE5891"/>
    <w:rsid w:val="00CE5929"/>
    <w:rsid w:val="00CE5C37"/>
    <w:rsid w:val="00CE5D8B"/>
    <w:rsid w:val="00CE5DAE"/>
    <w:rsid w:val="00CE6457"/>
    <w:rsid w:val="00CE6496"/>
    <w:rsid w:val="00CE64E4"/>
    <w:rsid w:val="00CE67D6"/>
    <w:rsid w:val="00CE6E1B"/>
    <w:rsid w:val="00CE7092"/>
    <w:rsid w:val="00CE73C2"/>
    <w:rsid w:val="00CE744F"/>
    <w:rsid w:val="00CE74DB"/>
    <w:rsid w:val="00CE752D"/>
    <w:rsid w:val="00CE7807"/>
    <w:rsid w:val="00CE78CA"/>
    <w:rsid w:val="00CE7B50"/>
    <w:rsid w:val="00CF03DC"/>
    <w:rsid w:val="00CF06BA"/>
    <w:rsid w:val="00CF0943"/>
    <w:rsid w:val="00CF103C"/>
    <w:rsid w:val="00CF111E"/>
    <w:rsid w:val="00CF1251"/>
    <w:rsid w:val="00CF14DF"/>
    <w:rsid w:val="00CF16EF"/>
    <w:rsid w:val="00CF1F3E"/>
    <w:rsid w:val="00CF1F6B"/>
    <w:rsid w:val="00CF2247"/>
    <w:rsid w:val="00CF2A64"/>
    <w:rsid w:val="00CF2D79"/>
    <w:rsid w:val="00CF2DC1"/>
    <w:rsid w:val="00CF31C1"/>
    <w:rsid w:val="00CF32DC"/>
    <w:rsid w:val="00CF335C"/>
    <w:rsid w:val="00CF346E"/>
    <w:rsid w:val="00CF38F9"/>
    <w:rsid w:val="00CF3DD1"/>
    <w:rsid w:val="00CF42B8"/>
    <w:rsid w:val="00CF42C3"/>
    <w:rsid w:val="00CF4B04"/>
    <w:rsid w:val="00CF4B56"/>
    <w:rsid w:val="00CF508A"/>
    <w:rsid w:val="00CF52C7"/>
    <w:rsid w:val="00CF57AA"/>
    <w:rsid w:val="00CF58BB"/>
    <w:rsid w:val="00CF5932"/>
    <w:rsid w:val="00CF5999"/>
    <w:rsid w:val="00CF62D9"/>
    <w:rsid w:val="00CF6465"/>
    <w:rsid w:val="00CF6756"/>
    <w:rsid w:val="00CF6E2E"/>
    <w:rsid w:val="00CF744F"/>
    <w:rsid w:val="00CF7655"/>
    <w:rsid w:val="00D002A3"/>
    <w:rsid w:val="00D00769"/>
    <w:rsid w:val="00D00C55"/>
    <w:rsid w:val="00D00D86"/>
    <w:rsid w:val="00D01C1B"/>
    <w:rsid w:val="00D01D45"/>
    <w:rsid w:val="00D01E56"/>
    <w:rsid w:val="00D02840"/>
    <w:rsid w:val="00D02C7F"/>
    <w:rsid w:val="00D02DCC"/>
    <w:rsid w:val="00D02F55"/>
    <w:rsid w:val="00D04D5E"/>
    <w:rsid w:val="00D04E71"/>
    <w:rsid w:val="00D05AAE"/>
    <w:rsid w:val="00D0682E"/>
    <w:rsid w:val="00D069C9"/>
    <w:rsid w:val="00D06A4C"/>
    <w:rsid w:val="00D06C78"/>
    <w:rsid w:val="00D06F47"/>
    <w:rsid w:val="00D072D5"/>
    <w:rsid w:val="00D07440"/>
    <w:rsid w:val="00D078CE"/>
    <w:rsid w:val="00D07D71"/>
    <w:rsid w:val="00D102DA"/>
    <w:rsid w:val="00D1043D"/>
    <w:rsid w:val="00D10C26"/>
    <w:rsid w:val="00D11415"/>
    <w:rsid w:val="00D1155C"/>
    <w:rsid w:val="00D11594"/>
    <w:rsid w:val="00D11983"/>
    <w:rsid w:val="00D11AFB"/>
    <w:rsid w:val="00D1217E"/>
    <w:rsid w:val="00D12A33"/>
    <w:rsid w:val="00D12F3D"/>
    <w:rsid w:val="00D13044"/>
    <w:rsid w:val="00D13169"/>
    <w:rsid w:val="00D131D2"/>
    <w:rsid w:val="00D132DF"/>
    <w:rsid w:val="00D13842"/>
    <w:rsid w:val="00D13C6E"/>
    <w:rsid w:val="00D13DF4"/>
    <w:rsid w:val="00D140C6"/>
    <w:rsid w:val="00D141BC"/>
    <w:rsid w:val="00D14511"/>
    <w:rsid w:val="00D14538"/>
    <w:rsid w:val="00D14D42"/>
    <w:rsid w:val="00D14DA5"/>
    <w:rsid w:val="00D150B1"/>
    <w:rsid w:val="00D158D5"/>
    <w:rsid w:val="00D1595F"/>
    <w:rsid w:val="00D15BCB"/>
    <w:rsid w:val="00D162D7"/>
    <w:rsid w:val="00D164E5"/>
    <w:rsid w:val="00D166DD"/>
    <w:rsid w:val="00D16ABC"/>
    <w:rsid w:val="00D16AF8"/>
    <w:rsid w:val="00D17742"/>
    <w:rsid w:val="00D178B7"/>
    <w:rsid w:val="00D17F4E"/>
    <w:rsid w:val="00D208D4"/>
    <w:rsid w:val="00D209F3"/>
    <w:rsid w:val="00D20B8E"/>
    <w:rsid w:val="00D20C73"/>
    <w:rsid w:val="00D20E16"/>
    <w:rsid w:val="00D219BA"/>
    <w:rsid w:val="00D21D6E"/>
    <w:rsid w:val="00D228EE"/>
    <w:rsid w:val="00D2303E"/>
    <w:rsid w:val="00D238C0"/>
    <w:rsid w:val="00D24118"/>
    <w:rsid w:val="00D2413E"/>
    <w:rsid w:val="00D24568"/>
    <w:rsid w:val="00D247DF"/>
    <w:rsid w:val="00D248A2"/>
    <w:rsid w:val="00D24B71"/>
    <w:rsid w:val="00D24F67"/>
    <w:rsid w:val="00D2526F"/>
    <w:rsid w:val="00D25552"/>
    <w:rsid w:val="00D25B26"/>
    <w:rsid w:val="00D26A13"/>
    <w:rsid w:val="00D26E66"/>
    <w:rsid w:val="00D27218"/>
    <w:rsid w:val="00D275E5"/>
    <w:rsid w:val="00D275EF"/>
    <w:rsid w:val="00D27755"/>
    <w:rsid w:val="00D27857"/>
    <w:rsid w:val="00D27888"/>
    <w:rsid w:val="00D27A7F"/>
    <w:rsid w:val="00D27FA9"/>
    <w:rsid w:val="00D305BC"/>
    <w:rsid w:val="00D3083E"/>
    <w:rsid w:val="00D30AF0"/>
    <w:rsid w:val="00D30CAC"/>
    <w:rsid w:val="00D30ED3"/>
    <w:rsid w:val="00D30FA4"/>
    <w:rsid w:val="00D310E0"/>
    <w:rsid w:val="00D31684"/>
    <w:rsid w:val="00D31CA7"/>
    <w:rsid w:val="00D31F8A"/>
    <w:rsid w:val="00D322C8"/>
    <w:rsid w:val="00D32585"/>
    <w:rsid w:val="00D328C5"/>
    <w:rsid w:val="00D3293D"/>
    <w:rsid w:val="00D32AD1"/>
    <w:rsid w:val="00D32D9A"/>
    <w:rsid w:val="00D32E91"/>
    <w:rsid w:val="00D331B6"/>
    <w:rsid w:val="00D33422"/>
    <w:rsid w:val="00D3401E"/>
    <w:rsid w:val="00D342A2"/>
    <w:rsid w:val="00D34506"/>
    <w:rsid w:val="00D346A5"/>
    <w:rsid w:val="00D34A46"/>
    <w:rsid w:val="00D34B50"/>
    <w:rsid w:val="00D34CCB"/>
    <w:rsid w:val="00D35326"/>
    <w:rsid w:val="00D3558A"/>
    <w:rsid w:val="00D35B63"/>
    <w:rsid w:val="00D35DFA"/>
    <w:rsid w:val="00D35EC4"/>
    <w:rsid w:val="00D36373"/>
    <w:rsid w:val="00D36423"/>
    <w:rsid w:val="00D36A50"/>
    <w:rsid w:val="00D371B2"/>
    <w:rsid w:val="00D37258"/>
    <w:rsid w:val="00D374E9"/>
    <w:rsid w:val="00D37C80"/>
    <w:rsid w:val="00D400CA"/>
    <w:rsid w:val="00D4028C"/>
    <w:rsid w:val="00D40383"/>
    <w:rsid w:val="00D40789"/>
    <w:rsid w:val="00D40BA9"/>
    <w:rsid w:val="00D40CC0"/>
    <w:rsid w:val="00D4121D"/>
    <w:rsid w:val="00D4124A"/>
    <w:rsid w:val="00D41526"/>
    <w:rsid w:val="00D416AB"/>
    <w:rsid w:val="00D41A3B"/>
    <w:rsid w:val="00D41BF8"/>
    <w:rsid w:val="00D41CDF"/>
    <w:rsid w:val="00D41D03"/>
    <w:rsid w:val="00D42381"/>
    <w:rsid w:val="00D426BF"/>
    <w:rsid w:val="00D42B7B"/>
    <w:rsid w:val="00D42FCF"/>
    <w:rsid w:val="00D43081"/>
    <w:rsid w:val="00D43132"/>
    <w:rsid w:val="00D4345D"/>
    <w:rsid w:val="00D435C2"/>
    <w:rsid w:val="00D435EC"/>
    <w:rsid w:val="00D43BF2"/>
    <w:rsid w:val="00D43DA9"/>
    <w:rsid w:val="00D43EEA"/>
    <w:rsid w:val="00D448EC"/>
    <w:rsid w:val="00D44B4E"/>
    <w:rsid w:val="00D44FCC"/>
    <w:rsid w:val="00D453D8"/>
    <w:rsid w:val="00D4576A"/>
    <w:rsid w:val="00D45778"/>
    <w:rsid w:val="00D458D0"/>
    <w:rsid w:val="00D45B67"/>
    <w:rsid w:val="00D45E3A"/>
    <w:rsid w:val="00D4660B"/>
    <w:rsid w:val="00D47820"/>
    <w:rsid w:val="00D47998"/>
    <w:rsid w:val="00D47D34"/>
    <w:rsid w:val="00D502CD"/>
    <w:rsid w:val="00D50458"/>
    <w:rsid w:val="00D50615"/>
    <w:rsid w:val="00D508EC"/>
    <w:rsid w:val="00D50C09"/>
    <w:rsid w:val="00D5103F"/>
    <w:rsid w:val="00D512B8"/>
    <w:rsid w:val="00D51551"/>
    <w:rsid w:val="00D515DF"/>
    <w:rsid w:val="00D516DB"/>
    <w:rsid w:val="00D51998"/>
    <w:rsid w:val="00D51B85"/>
    <w:rsid w:val="00D51E1A"/>
    <w:rsid w:val="00D51FB2"/>
    <w:rsid w:val="00D5245B"/>
    <w:rsid w:val="00D52D97"/>
    <w:rsid w:val="00D52ED5"/>
    <w:rsid w:val="00D53053"/>
    <w:rsid w:val="00D530DA"/>
    <w:rsid w:val="00D53189"/>
    <w:rsid w:val="00D532A0"/>
    <w:rsid w:val="00D536B6"/>
    <w:rsid w:val="00D53779"/>
    <w:rsid w:val="00D54020"/>
    <w:rsid w:val="00D545AB"/>
    <w:rsid w:val="00D5462F"/>
    <w:rsid w:val="00D5470A"/>
    <w:rsid w:val="00D54C95"/>
    <w:rsid w:val="00D54CFA"/>
    <w:rsid w:val="00D55127"/>
    <w:rsid w:val="00D5515E"/>
    <w:rsid w:val="00D5548E"/>
    <w:rsid w:val="00D559B4"/>
    <w:rsid w:val="00D5637E"/>
    <w:rsid w:val="00D56570"/>
    <w:rsid w:val="00D568BB"/>
    <w:rsid w:val="00D56C39"/>
    <w:rsid w:val="00D56D5D"/>
    <w:rsid w:val="00D57019"/>
    <w:rsid w:val="00D5729A"/>
    <w:rsid w:val="00D572C6"/>
    <w:rsid w:val="00D5764C"/>
    <w:rsid w:val="00D5790B"/>
    <w:rsid w:val="00D57A78"/>
    <w:rsid w:val="00D57B9B"/>
    <w:rsid w:val="00D57BD1"/>
    <w:rsid w:val="00D57D8C"/>
    <w:rsid w:val="00D60358"/>
    <w:rsid w:val="00D60411"/>
    <w:rsid w:val="00D605ED"/>
    <w:rsid w:val="00D60B62"/>
    <w:rsid w:val="00D61046"/>
    <w:rsid w:val="00D6119E"/>
    <w:rsid w:val="00D615E0"/>
    <w:rsid w:val="00D61676"/>
    <w:rsid w:val="00D62782"/>
    <w:rsid w:val="00D62903"/>
    <w:rsid w:val="00D62AAB"/>
    <w:rsid w:val="00D62B0F"/>
    <w:rsid w:val="00D62B93"/>
    <w:rsid w:val="00D62C06"/>
    <w:rsid w:val="00D62C9B"/>
    <w:rsid w:val="00D62F36"/>
    <w:rsid w:val="00D6325B"/>
    <w:rsid w:val="00D633CC"/>
    <w:rsid w:val="00D634BE"/>
    <w:rsid w:val="00D63B87"/>
    <w:rsid w:val="00D63CBC"/>
    <w:rsid w:val="00D6406B"/>
    <w:rsid w:val="00D640ED"/>
    <w:rsid w:val="00D64124"/>
    <w:rsid w:val="00D6456E"/>
    <w:rsid w:val="00D648CB"/>
    <w:rsid w:val="00D64BAD"/>
    <w:rsid w:val="00D65555"/>
    <w:rsid w:val="00D657D6"/>
    <w:rsid w:val="00D6645A"/>
    <w:rsid w:val="00D667F6"/>
    <w:rsid w:val="00D669CB"/>
    <w:rsid w:val="00D66D8A"/>
    <w:rsid w:val="00D66EF2"/>
    <w:rsid w:val="00D67065"/>
    <w:rsid w:val="00D67371"/>
    <w:rsid w:val="00D67708"/>
    <w:rsid w:val="00D67A93"/>
    <w:rsid w:val="00D702B8"/>
    <w:rsid w:val="00D7039D"/>
    <w:rsid w:val="00D703E5"/>
    <w:rsid w:val="00D71000"/>
    <w:rsid w:val="00D71005"/>
    <w:rsid w:val="00D71148"/>
    <w:rsid w:val="00D711AA"/>
    <w:rsid w:val="00D712B0"/>
    <w:rsid w:val="00D715F9"/>
    <w:rsid w:val="00D716D3"/>
    <w:rsid w:val="00D71C0E"/>
    <w:rsid w:val="00D72A03"/>
    <w:rsid w:val="00D72F92"/>
    <w:rsid w:val="00D730F3"/>
    <w:rsid w:val="00D73776"/>
    <w:rsid w:val="00D73892"/>
    <w:rsid w:val="00D73B16"/>
    <w:rsid w:val="00D7406F"/>
    <w:rsid w:val="00D740E6"/>
    <w:rsid w:val="00D74165"/>
    <w:rsid w:val="00D7432A"/>
    <w:rsid w:val="00D746AC"/>
    <w:rsid w:val="00D75025"/>
    <w:rsid w:val="00D755FF"/>
    <w:rsid w:val="00D756BC"/>
    <w:rsid w:val="00D757D9"/>
    <w:rsid w:val="00D770F6"/>
    <w:rsid w:val="00D775D9"/>
    <w:rsid w:val="00D779F2"/>
    <w:rsid w:val="00D77C5C"/>
    <w:rsid w:val="00D8013C"/>
    <w:rsid w:val="00D802FE"/>
    <w:rsid w:val="00D8053C"/>
    <w:rsid w:val="00D80CBD"/>
    <w:rsid w:val="00D815E5"/>
    <w:rsid w:val="00D818E9"/>
    <w:rsid w:val="00D81F78"/>
    <w:rsid w:val="00D821A6"/>
    <w:rsid w:val="00D828CC"/>
    <w:rsid w:val="00D82A11"/>
    <w:rsid w:val="00D83451"/>
    <w:rsid w:val="00D83D1F"/>
    <w:rsid w:val="00D83E21"/>
    <w:rsid w:val="00D84487"/>
    <w:rsid w:val="00D844E5"/>
    <w:rsid w:val="00D848F9"/>
    <w:rsid w:val="00D849F2"/>
    <w:rsid w:val="00D84B4A"/>
    <w:rsid w:val="00D84F9A"/>
    <w:rsid w:val="00D85DA9"/>
    <w:rsid w:val="00D86038"/>
    <w:rsid w:val="00D86180"/>
    <w:rsid w:val="00D863FD"/>
    <w:rsid w:val="00D865D0"/>
    <w:rsid w:val="00D86780"/>
    <w:rsid w:val="00D86B20"/>
    <w:rsid w:val="00D86BE4"/>
    <w:rsid w:val="00D86C64"/>
    <w:rsid w:val="00D86DAB"/>
    <w:rsid w:val="00D8700E"/>
    <w:rsid w:val="00D875C2"/>
    <w:rsid w:val="00D87761"/>
    <w:rsid w:val="00D87A74"/>
    <w:rsid w:val="00D87DCC"/>
    <w:rsid w:val="00D87F27"/>
    <w:rsid w:val="00D907E9"/>
    <w:rsid w:val="00D90877"/>
    <w:rsid w:val="00D908C9"/>
    <w:rsid w:val="00D90DC6"/>
    <w:rsid w:val="00D9130F"/>
    <w:rsid w:val="00D91931"/>
    <w:rsid w:val="00D91948"/>
    <w:rsid w:val="00D9230B"/>
    <w:rsid w:val="00D92675"/>
    <w:rsid w:val="00D928B5"/>
    <w:rsid w:val="00D92A46"/>
    <w:rsid w:val="00D931E7"/>
    <w:rsid w:val="00D932A5"/>
    <w:rsid w:val="00D935FF"/>
    <w:rsid w:val="00D93850"/>
    <w:rsid w:val="00D93D82"/>
    <w:rsid w:val="00D93E97"/>
    <w:rsid w:val="00D94050"/>
    <w:rsid w:val="00D9412F"/>
    <w:rsid w:val="00D94139"/>
    <w:rsid w:val="00D942F5"/>
    <w:rsid w:val="00D944B6"/>
    <w:rsid w:val="00D948D5"/>
    <w:rsid w:val="00D9492C"/>
    <w:rsid w:val="00D94D85"/>
    <w:rsid w:val="00D951EF"/>
    <w:rsid w:val="00D957C4"/>
    <w:rsid w:val="00D958DF"/>
    <w:rsid w:val="00D95902"/>
    <w:rsid w:val="00D95EE7"/>
    <w:rsid w:val="00D95F90"/>
    <w:rsid w:val="00D9600A"/>
    <w:rsid w:val="00D9635E"/>
    <w:rsid w:val="00D96474"/>
    <w:rsid w:val="00D96818"/>
    <w:rsid w:val="00D968A3"/>
    <w:rsid w:val="00D96AA6"/>
    <w:rsid w:val="00D96AAC"/>
    <w:rsid w:val="00D96EDA"/>
    <w:rsid w:val="00D97411"/>
    <w:rsid w:val="00D9746B"/>
    <w:rsid w:val="00D978CE"/>
    <w:rsid w:val="00D97AA2"/>
    <w:rsid w:val="00DA047E"/>
    <w:rsid w:val="00DA07FC"/>
    <w:rsid w:val="00DA0BBB"/>
    <w:rsid w:val="00DA0E70"/>
    <w:rsid w:val="00DA10FE"/>
    <w:rsid w:val="00DA121A"/>
    <w:rsid w:val="00DA1795"/>
    <w:rsid w:val="00DA20DA"/>
    <w:rsid w:val="00DA27F1"/>
    <w:rsid w:val="00DA27FB"/>
    <w:rsid w:val="00DA2A87"/>
    <w:rsid w:val="00DA2E25"/>
    <w:rsid w:val="00DA331D"/>
    <w:rsid w:val="00DA33B4"/>
    <w:rsid w:val="00DA37AC"/>
    <w:rsid w:val="00DA3878"/>
    <w:rsid w:val="00DA3B1B"/>
    <w:rsid w:val="00DA3DE4"/>
    <w:rsid w:val="00DA45A6"/>
    <w:rsid w:val="00DA484A"/>
    <w:rsid w:val="00DA4C61"/>
    <w:rsid w:val="00DA5B53"/>
    <w:rsid w:val="00DA5CB9"/>
    <w:rsid w:val="00DA5D37"/>
    <w:rsid w:val="00DA5F28"/>
    <w:rsid w:val="00DA659B"/>
    <w:rsid w:val="00DA6AAF"/>
    <w:rsid w:val="00DA6BAD"/>
    <w:rsid w:val="00DA6C9B"/>
    <w:rsid w:val="00DA6D13"/>
    <w:rsid w:val="00DA73BB"/>
    <w:rsid w:val="00DA73D9"/>
    <w:rsid w:val="00DA7492"/>
    <w:rsid w:val="00DA74A5"/>
    <w:rsid w:val="00DA7849"/>
    <w:rsid w:val="00DA7A0E"/>
    <w:rsid w:val="00DA7A68"/>
    <w:rsid w:val="00DA7C64"/>
    <w:rsid w:val="00DA7ECB"/>
    <w:rsid w:val="00DB03C6"/>
    <w:rsid w:val="00DB05C3"/>
    <w:rsid w:val="00DB09ED"/>
    <w:rsid w:val="00DB0B8D"/>
    <w:rsid w:val="00DB153C"/>
    <w:rsid w:val="00DB15CA"/>
    <w:rsid w:val="00DB17CC"/>
    <w:rsid w:val="00DB1DA3"/>
    <w:rsid w:val="00DB1FCA"/>
    <w:rsid w:val="00DB2106"/>
    <w:rsid w:val="00DB2519"/>
    <w:rsid w:val="00DB28A7"/>
    <w:rsid w:val="00DB28CE"/>
    <w:rsid w:val="00DB2B2F"/>
    <w:rsid w:val="00DB3122"/>
    <w:rsid w:val="00DB33B5"/>
    <w:rsid w:val="00DB3461"/>
    <w:rsid w:val="00DB3491"/>
    <w:rsid w:val="00DB35FB"/>
    <w:rsid w:val="00DB3F7E"/>
    <w:rsid w:val="00DB430E"/>
    <w:rsid w:val="00DB4649"/>
    <w:rsid w:val="00DB48AB"/>
    <w:rsid w:val="00DB4B0B"/>
    <w:rsid w:val="00DB4B18"/>
    <w:rsid w:val="00DB4B2A"/>
    <w:rsid w:val="00DB4C7F"/>
    <w:rsid w:val="00DB5199"/>
    <w:rsid w:val="00DB56A2"/>
    <w:rsid w:val="00DB580D"/>
    <w:rsid w:val="00DB585B"/>
    <w:rsid w:val="00DB5A8F"/>
    <w:rsid w:val="00DB5DA0"/>
    <w:rsid w:val="00DB6126"/>
    <w:rsid w:val="00DB6454"/>
    <w:rsid w:val="00DB676C"/>
    <w:rsid w:val="00DB6884"/>
    <w:rsid w:val="00DB6895"/>
    <w:rsid w:val="00DB6E79"/>
    <w:rsid w:val="00DB6F46"/>
    <w:rsid w:val="00DB7CC1"/>
    <w:rsid w:val="00DC1172"/>
    <w:rsid w:val="00DC1786"/>
    <w:rsid w:val="00DC1BA5"/>
    <w:rsid w:val="00DC1CDF"/>
    <w:rsid w:val="00DC1E2B"/>
    <w:rsid w:val="00DC2100"/>
    <w:rsid w:val="00DC237C"/>
    <w:rsid w:val="00DC2527"/>
    <w:rsid w:val="00DC284F"/>
    <w:rsid w:val="00DC339F"/>
    <w:rsid w:val="00DC40FC"/>
    <w:rsid w:val="00DC440F"/>
    <w:rsid w:val="00DC4F1E"/>
    <w:rsid w:val="00DC51A7"/>
    <w:rsid w:val="00DC5488"/>
    <w:rsid w:val="00DC5499"/>
    <w:rsid w:val="00DC58E9"/>
    <w:rsid w:val="00DC5B23"/>
    <w:rsid w:val="00DC60A4"/>
    <w:rsid w:val="00DC62EA"/>
    <w:rsid w:val="00DC6658"/>
    <w:rsid w:val="00DC6945"/>
    <w:rsid w:val="00DC6C2D"/>
    <w:rsid w:val="00DC6DCD"/>
    <w:rsid w:val="00DC740F"/>
    <w:rsid w:val="00DC74C1"/>
    <w:rsid w:val="00DC760D"/>
    <w:rsid w:val="00DC7678"/>
    <w:rsid w:val="00DC7DC5"/>
    <w:rsid w:val="00DC7E8A"/>
    <w:rsid w:val="00DC7F84"/>
    <w:rsid w:val="00DC7FC2"/>
    <w:rsid w:val="00DD0167"/>
    <w:rsid w:val="00DD056D"/>
    <w:rsid w:val="00DD05B4"/>
    <w:rsid w:val="00DD0ADD"/>
    <w:rsid w:val="00DD0F00"/>
    <w:rsid w:val="00DD122C"/>
    <w:rsid w:val="00DD16EF"/>
    <w:rsid w:val="00DD1837"/>
    <w:rsid w:val="00DD1905"/>
    <w:rsid w:val="00DD194E"/>
    <w:rsid w:val="00DD1C93"/>
    <w:rsid w:val="00DD1E0F"/>
    <w:rsid w:val="00DD217C"/>
    <w:rsid w:val="00DD233B"/>
    <w:rsid w:val="00DD2370"/>
    <w:rsid w:val="00DD2404"/>
    <w:rsid w:val="00DD2F84"/>
    <w:rsid w:val="00DD3536"/>
    <w:rsid w:val="00DD3DB1"/>
    <w:rsid w:val="00DD41ED"/>
    <w:rsid w:val="00DD4356"/>
    <w:rsid w:val="00DD45EC"/>
    <w:rsid w:val="00DD483A"/>
    <w:rsid w:val="00DD4C71"/>
    <w:rsid w:val="00DD4EF9"/>
    <w:rsid w:val="00DD5246"/>
    <w:rsid w:val="00DD58ED"/>
    <w:rsid w:val="00DD58F5"/>
    <w:rsid w:val="00DD59AB"/>
    <w:rsid w:val="00DD5C06"/>
    <w:rsid w:val="00DD6120"/>
    <w:rsid w:val="00DD6386"/>
    <w:rsid w:val="00DD63D5"/>
    <w:rsid w:val="00DD6AB3"/>
    <w:rsid w:val="00DD6B16"/>
    <w:rsid w:val="00DD6C97"/>
    <w:rsid w:val="00DD7053"/>
    <w:rsid w:val="00DD74AD"/>
    <w:rsid w:val="00DD789A"/>
    <w:rsid w:val="00DD7A63"/>
    <w:rsid w:val="00DE0005"/>
    <w:rsid w:val="00DE0049"/>
    <w:rsid w:val="00DE01CF"/>
    <w:rsid w:val="00DE033B"/>
    <w:rsid w:val="00DE06CD"/>
    <w:rsid w:val="00DE0BA0"/>
    <w:rsid w:val="00DE0ED8"/>
    <w:rsid w:val="00DE0FFF"/>
    <w:rsid w:val="00DE169D"/>
    <w:rsid w:val="00DE1D7F"/>
    <w:rsid w:val="00DE1DBE"/>
    <w:rsid w:val="00DE1E2B"/>
    <w:rsid w:val="00DE1EA3"/>
    <w:rsid w:val="00DE1F43"/>
    <w:rsid w:val="00DE2227"/>
    <w:rsid w:val="00DE22D9"/>
    <w:rsid w:val="00DE265E"/>
    <w:rsid w:val="00DE2EDA"/>
    <w:rsid w:val="00DE39E4"/>
    <w:rsid w:val="00DE39F0"/>
    <w:rsid w:val="00DE3CEE"/>
    <w:rsid w:val="00DE43FC"/>
    <w:rsid w:val="00DE4758"/>
    <w:rsid w:val="00DE49FD"/>
    <w:rsid w:val="00DE4A05"/>
    <w:rsid w:val="00DE4F03"/>
    <w:rsid w:val="00DE4FA9"/>
    <w:rsid w:val="00DE5550"/>
    <w:rsid w:val="00DE601A"/>
    <w:rsid w:val="00DE62AA"/>
    <w:rsid w:val="00DE684F"/>
    <w:rsid w:val="00DE6F16"/>
    <w:rsid w:val="00DE718A"/>
    <w:rsid w:val="00DF0224"/>
    <w:rsid w:val="00DF0684"/>
    <w:rsid w:val="00DF0872"/>
    <w:rsid w:val="00DF0A22"/>
    <w:rsid w:val="00DF139D"/>
    <w:rsid w:val="00DF168B"/>
    <w:rsid w:val="00DF2016"/>
    <w:rsid w:val="00DF2646"/>
    <w:rsid w:val="00DF27EF"/>
    <w:rsid w:val="00DF2D9C"/>
    <w:rsid w:val="00DF313C"/>
    <w:rsid w:val="00DF3457"/>
    <w:rsid w:val="00DF3655"/>
    <w:rsid w:val="00DF3C0C"/>
    <w:rsid w:val="00DF3FE8"/>
    <w:rsid w:val="00DF43B3"/>
    <w:rsid w:val="00DF4840"/>
    <w:rsid w:val="00DF4E43"/>
    <w:rsid w:val="00DF525A"/>
    <w:rsid w:val="00DF53FE"/>
    <w:rsid w:val="00DF55B6"/>
    <w:rsid w:val="00DF560F"/>
    <w:rsid w:val="00DF5A99"/>
    <w:rsid w:val="00DF5BC0"/>
    <w:rsid w:val="00DF5D98"/>
    <w:rsid w:val="00DF63D2"/>
    <w:rsid w:val="00DF647E"/>
    <w:rsid w:val="00DF6778"/>
    <w:rsid w:val="00DF6862"/>
    <w:rsid w:val="00DF6CB1"/>
    <w:rsid w:val="00DF7176"/>
    <w:rsid w:val="00DF7674"/>
    <w:rsid w:val="00DF7741"/>
    <w:rsid w:val="00DF797F"/>
    <w:rsid w:val="00DF7A37"/>
    <w:rsid w:val="00DF7F92"/>
    <w:rsid w:val="00E00390"/>
    <w:rsid w:val="00E003A7"/>
    <w:rsid w:val="00E004F7"/>
    <w:rsid w:val="00E00654"/>
    <w:rsid w:val="00E0073B"/>
    <w:rsid w:val="00E00DAA"/>
    <w:rsid w:val="00E00DD2"/>
    <w:rsid w:val="00E00FC1"/>
    <w:rsid w:val="00E01037"/>
    <w:rsid w:val="00E010D6"/>
    <w:rsid w:val="00E01110"/>
    <w:rsid w:val="00E02715"/>
    <w:rsid w:val="00E02A26"/>
    <w:rsid w:val="00E0316C"/>
    <w:rsid w:val="00E031C8"/>
    <w:rsid w:val="00E0331F"/>
    <w:rsid w:val="00E03880"/>
    <w:rsid w:val="00E03BCF"/>
    <w:rsid w:val="00E0420A"/>
    <w:rsid w:val="00E048E2"/>
    <w:rsid w:val="00E04F60"/>
    <w:rsid w:val="00E0510E"/>
    <w:rsid w:val="00E051B5"/>
    <w:rsid w:val="00E052EF"/>
    <w:rsid w:val="00E054D8"/>
    <w:rsid w:val="00E05529"/>
    <w:rsid w:val="00E055FD"/>
    <w:rsid w:val="00E05FB4"/>
    <w:rsid w:val="00E0600E"/>
    <w:rsid w:val="00E06814"/>
    <w:rsid w:val="00E07650"/>
    <w:rsid w:val="00E0778E"/>
    <w:rsid w:val="00E07F9C"/>
    <w:rsid w:val="00E10534"/>
    <w:rsid w:val="00E106CD"/>
    <w:rsid w:val="00E108B0"/>
    <w:rsid w:val="00E10C35"/>
    <w:rsid w:val="00E11418"/>
    <w:rsid w:val="00E1159D"/>
    <w:rsid w:val="00E118E2"/>
    <w:rsid w:val="00E11A65"/>
    <w:rsid w:val="00E11B3E"/>
    <w:rsid w:val="00E11CD5"/>
    <w:rsid w:val="00E11E54"/>
    <w:rsid w:val="00E1200F"/>
    <w:rsid w:val="00E12080"/>
    <w:rsid w:val="00E12237"/>
    <w:rsid w:val="00E12882"/>
    <w:rsid w:val="00E12B6B"/>
    <w:rsid w:val="00E12EF5"/>
    <w:rsid w:val="00E12FA0"/>
    <w:rsid w:val="00E13293"/>
    <w:rsid w:val="00E139FC"/>
    <w:rsid w:val="00E13A61"/>
    <w:rsid w:val="00E13C63"/>
    <w:rsid w:val="00E13C95"/>
    <w:rsid w:val="00E13EB2"/>
    <w:rsid w:val="00E1425B"/>
    <w:rsid w:val="00E15136"/>
    <w:rsid w:val="00E151AF"/>
    <w:rsid w:val="00E156F0"/>
    <w:rsid w:val="00E158A3"/>
    <w:rsid w:val="00E15FDA"/>
    <w:rsid w:val="00E162DD"/>
    <w:rsid w:val="00E16312"/>
    <w:rsid w:val="00E169CE"/>
    <w:rsid w:val="00E17043"/>
    <w:rsid w:val="00E1722D"/>
    <w:rsid w:val="00E17927"/>
    <w:rsid w:val="00E179E0"/>
    <w:rsid w:val="00E20072"/>
    <w:rsid w:val="00E201F9"/>
    <w:rsid w:val="00E2078F"/>
    <w:rsid w:val="00E21446"/>
    <w:rsid w:val="00E2150C"/>
    <w:rsid w:val="00E216D4"/>
    <w:rsid w:val="00E219AA"/>
    <w:rsid w:val="00E21F48"/>
    <w:rsid w:val="00E228A4"/>
    <w:rsid w:val="00E23187"/>
    <w:rsid w:val="00E232A2"/>
    <w:rsid w:val="00E233F7"/>
    <w:rsid w:val="00E23909"/>
    <w:rsid w:val="00E239D0"/>
    <w:rsid w:val="00E23A28"/>
    <w:rsid w:val="00E23A4A"/>
    <w:rsid w:val="00E23CAD"/>
    <w:rsid w:val="00E2444C"/>
    <w:rsid w:val="00E244D1"/>
    <w:rsid w:val="00E2461B"/>
    <w:rsid w:val="00E25060"/>
    <w:rsid w:val="00E25558"/>
    <w:rsid w:val="00E25CA6"/>
    <w:rsid w:val="00E25E1C"/>
    <w:rsid w:val="00E265AC"/>
    <w:rsid w:val="00E26602"/>
    <w:rsid w:val="00E26DB7"/>
    <w:rsid w:val="00E27127"/>
    <w:rsid w:val="00E2719F"/>
    <w:rsid w:val="00E272CD"/>
    <w:rsid w:val="00E273E3"/>
    <w:rsid w:val="00E27609"/>
    <w:rsid w:val="00E2799C"/>
    <w:rsid w:val="00E27D03"/>
    <w:rsid w:val="00E27E57"/>
    <w:rsid w:val="00E30879"/>
    <w:rsid w:val="00E30B48"/>
    <w:rsid w:val="00E30F38"/>
    <w:rsid w:val="00E3105C"/>
    <w:rsid w:val="00E31063"/>
    <w:rsid w:val="00E312BA"/>
    <w:rsid w:val="00E31321"/>
    <w:rsid w:val="00E31685"/>
    <w:rsid w:val="00E31700"/>
    <w:rsid w:val="00E31852"/>
    <w:rsid w:val="00E31C73"/>
    <w:rsid w:val="00E31CBD"/>
    <w:rsid w:val="00E31F10"/>
    <w:rsid w:val="00E327CB"/>
    <w:rsid w:val="00E32A37"/>
    <w:rsid w:val="00E32C2C"/>
    <w:rsid w:val="00E32C6C"/>
    <w:rsid w:val="00E32FFF"/>
    <w:rsid w:val="00E332AB"/>
    <w:rsid w:val="00E33682"/>
    <w:rsid w:val="00E34044"/>
    <w:rsid w:val="00E34062"/>
    <w:rsid w:val="00E35A90"/>
    <w:rsid w:val="00E362F9"/>
    <w:rsid w:val="00E36481"/>
    <w:rsid w:val="00E36DC7"/>
    <w:rsid w:val="00E370E7"/>
    <w:rsid w:val="00E3733D"/>
    <w:rsid w:val="00E37947"/>
    <w:rsid w:val="00E37C21"/>
    <w:rsid w:val="00E37C61"/>
    <w:rsid w:val="00E37C69"/>
    <w:rsid w:val="00E37EE1"/>
    <w:rsid w:val="00E401E9"/>
    <w:rsid w:val="00E40369"/>
    <w:rsid w:val="00E40545"/>
    <w:rsid w:val="00E4213A"/>
    <w:rsid w:val="00E423A0"/>
    <w:rsid w:val="00E42630"/>
    <w:rsid w:val="00E426D7"/>
    <w:rsid w:val="00E427B8"/>
    <w:rsid w:val="00E428AB"/>
    <w:rsid w:val="00E428E0"/>
    <w:rsid w:val="00E42A95"/>
    <w:rsid w:val="00E42C47"/>
    <w:rsid w:val="00E42E25"/>
    <w:rsid w:val="00E43383"/>
    <w:rsid w:val="00E43AD5"/>
    <w:rsid w:val="00E43CF8"/>
    <w:rsid w:val="00E44075"/>
    <w:rsid w:val="00E44C7A"/>
    <w:rsid w:val="00E44C99"/>
    <w:rsid w:val="00E44C9D"/>
    <w:rsid w:val="00E44D64"/>
    <w:rsid w:val="00E452DF"/>
    <w:rsid w:val="00E4577B"/>
    <w:rsid w:val="00E4591C"/>
    <w:rsid w:val="00E45C15"/>
    <w:rsid w:val="00E45DCC"/>
    <w:rsid w:val="00E4650F"/>
    <w:rsid w:val="00E46775"/>
    <w:rsid w:val="00E46926"/>
    <w:rsid w:val="00E46C1C"/>
    <w:rsid w:val="00E46C32"/>
    <w:rsid w:val="00E474A1"/>
    <w:rsid w:val="00E47505"/>
    <w:rsid w:val="00E479EA"/>
    <w:rsid w:val="00E47D3F"/>
    <w:rsid w:val="00E50074"/>
    <w:rsid w:val="00E501E8"/>
    <w:rsid w:val="00E50311"/>
    <w:rsid w:val="00E50640"/>
    <w:rsid w:val="00E5086E"/>
    <w:rsid w:val="00E5120F"/>
    <w:rsid w:val="00E51AA2"/>
    <w:rsid w:val="00E51AB0"/>
    <w:rsid w:val="00E521BE"/>
    <w:rsid w:val="00E52711"/>
    <w:rsid w:val="00E52805"/>
    <w:rsid w:val="00E52816"/>
    <w:rsid w:val="00E52B7F"/>
    <w:rsid w:val="00E534EF"/>
    <w:rsid w:val="00E53642"/>
    <w:rsid w:val="00E536DE"/>
    <w:rsid w:val="00E53976"/>
    <w:rsid w:val="00E540FB"/>
    <w:rsid w:val="00E54335"/>
    <w:rsid w:val="00E546BE"/>
    <w:rsid w:val="00E546D4"/>
    <w:rsid w:val="00E54A55"/>
    <w:rsid w:val="00E54D4D"/>
    <w:rsid w:val="00E54EBC"/>
    <w:rsid w:val="00E54EC8"/>
    <w:rsid w:val="00E553A8"/>
    <w:rsid w:val="00E55CA9"/>
    <w:rsid w:val="00E55DA6"/>
    <w:rsid w:val="00E56042"/>
    <w:rsid w:val="00E56B69"/>
    <w:rsid w:val="00E56CE1"/>
    <w:rsid w:val="00E5726C"/>
    <w:rsid w:val="00E57E51"/>
    <w:rsid w:val="00E60258"/>
    <w:rsid w:val="00E6034B"/>
    <w:rsid w:val="00E60754"/>
    <w:rsid w:val="00E6084E"/>
    <w:rsid w:val="00E61070"/>
    <w:rsid w:val="00E6126A"/>
    <w:rsid w:val="00E615A0"/>
    <w:rsid w:val="00E61719"/>
    <w:rsid w:val="00E61920"/>
    <w:rsid w:val="00E61DB6"/>
    <w:rsid w:val="00E61ECE"/>
    <w:rsid w:val="00E61F58"/>
    <w:rsid w:val="00E622F5"/>
    <w:rsid w:val="00E625ED"/>
    <w:rsid w:val="00E631BE"/>
    <w:rsid w:val="00E63232"/>
    <w:rsid w:val="00E6359F"/>
    <w:rsid w:val="00E6369C"/>
    <w:rsid w:val="00E638C6"/>
    <w:rsid w:val="00E63B4F"/>
    <w:rsid w:val="00E644F3"/>
    <w:rsid w:val="00E644F5"/>
    <w:rsid w:val="00E64727"/>
    <w:rsid w:val="00E647F1"/>
    <w:rsid w:val="00E6487E"/>
    <w:rsid w:val="00E649CB"/>
    <w:rsid w:val="00E64A8C"/>
    <w:rsid w:val="00E65112"/>
    <w:rsid w:val="00E65141"/>
    <w:rsid w:val="00E65453"/>
    <w:rsid w:val="00E654D2"/>
    <w:rsid w:val="00E65BC3"/>
    <w:rsid w:val="00E66150"/>
    <w:rsid w:val="00E66B46"/>
    <w:rsid w:val="00E66BC8"/>
    <w:rsid w:val="00E66E95"/>
    <w:rsid w:val="00E677B9"/>
    <w:rsid w:val="00E67928"/>
    <w:rsid w:val="00E67B8D"/>
    <w:rsid w:val="00E67D52"/>
    <w:rsid w:val="00E704FA"/>
    <w:rsid w:val="00E70800"/>
    <w:rsid w:val="00E70B46"/>
    <w:rsid w:val="00E71001"/>
    <w:rsid w:val="00E71247"/>
    <w:rsid w:val="00E71CCA"/>
    <w:rsid w:val="00E71E41"/>
    <w:rsid w:val="00E722B2"/>
    <w:rsid w:val="00E7237D"/>
    <w:rsid w:val="00E725EC"/>
    <w:rsid w:val="00E72750"/>
    <w:rsid w:val="00E72918"/>
    <w:rsid w:val="00E72938"/>
    <w:rsid w:val="00E72949"/>
    <w:rsid w:val="00E730DF"/>
    <w:rsid w:val="00E737F1"/>
    <w:rsid w:val="00E73DDF"/>
    <w:rsid w:val="00E74721"/>
    <w:rsid w:val="00E74A35"/>
    <w:rsid w:val="00E74DE8"/>
    <w:rsid w:val="00E74EA3"/>
    <w:rsid w:val="00E75749"/>
    <w:rsid w:val="00E758DE"/>
    <w:rsid w:val="00E75DCC"/>
    <w:rsid w:val="00E76915"/>
    <w:rsid w:val="00E76C05"/>
    <w:rsid w:val="00E76CE2"/>
    <w:rsid w:val="00E76D14"/>
    <w:rsid w:val="00E77617"/>
    <w:rsid w:val="00E8024C"/>
    <w:rsid w:val="00E8042C"/>
    <w:rsid w:val="00E8047B"/>
    <w:rsid w:val="00E80666"/>
    <w:rsid w:val="00E80DDD"/>
    <w:rsid w:val="00E80F5A"/>
    <w:rsid w:val="00E80FB8"/>
    <w:rsid w:val="00E81CEC"/>
    <w:rsid w:val="00E82E2A"/>
    <w:rsid w:val="00E8338C"/>
    <w:rsid w:val="00E834AA"/>
    <w:rsid w:val="00E83747"/>
    <w:rsid w:val="00E83B57"/>
    <w:rsid w:val="00E83CF2"/>
    <w:rsid w:val="00E8442C"/>
    <w:rsid w:val="00E848D1"/>
    <w:rsid w:val="00E84AC5"/>
    <w:rsid w:val="00E856EB"/>
    <w:rsid w:val="00E85786"/>
    <w:rsid w:val="00E8582D"/>
    <w:rsid w:val="00E8589C"/>
    <w:rsid w:val="00E85DE1"/>
    <w:rsid w:val="00E85EAB"/>
    <w:rsid w:val="00E860AB"/>
    <w:rsid w:val="00E8621B"/>
    <w:rsid w:val="00E86285"/>
    <w:rsid w:val="00E8628A"/>
    <w:rsid w:val="00E864A9"/>
    <w:rsid w:val="00E86B0F"/>
    <w:rsid w:val="00E86C42"/>
    <w:rsid w:val="00E86D5B"/>
    <w:rsid w:val="00E8704F"/>
    <w:rsid w:val="00E875DC"/>
    <w:rsid w:val="00E87927"/>
    <w:rsid w:val="00E910EA"/>
    <w:rsid w:val="00E91408"/>
    <w:rsid w:val="00E91459"/>
    <w:rsid w:val="00E914EE"/>
    <w:rsid w:val="00E91BF8"/>
    <w:rsid w:val="00E91C6A"/>
    <w:rsid w:val="00E920D4"/>
    <w:rsid w:val="00E924AA"/>
    <w:rsid w:val="00E924AB"/>
    <w:rsid w:val="00E9256C"/>
    <w:rsid w:val="00E92809"/>
    <w:rsid w:val="00E92B04"/>
    <w:rsid w:val="00E936E1"/>
    <w:rsid w:val="00E93C4A"/>
    <w:rsid w:val="00E93DA2"/>
    <w:rsid w:val="00E9469C"/>
    <w:rsid w:val="00E95076"/>
    <w:rsid w:val="00E9543D"/>
    <w:rsid w:val="00E9564F"/>
    <w:rsid w:val="00E960F9"/>
    <w:rsid w:val="00E96482"/>
    <w:rsid w:val="00E9714F"/>
    <w:rsid w:val="00E9738A"/>
    <w:rsid w:val="00E974AA"/>
    <w:rsid w:val="00E97A6A"/>
    <w:rsid w:val="00E97A6B"/>
    <w:rsid w:val="00E97E43"/>
    <w:rsid w:val="00EA036C"/>
    <w:rsid w:val="00EA03DD"/>
    <w:rsid w:val="00EA0885"/>
    <w:rsid w:val="00EA0A64"/>
    <w:rsid w:val="00EA0A8A"/>
    <w:rsid w:val="00EA0F87"/>
    <w:rsid w:val="00EA102B"/>
    <w:rsid w:val="00EA116A"/>
    <w:rsid w:val="00EA116C"/>
    <w:rsid w:val="00EA1395"/>
    <w:rsid w:val="00EA1435"/>
    <w:rsid w:val="00EA1737"/>
    <w:rsid w:val="00EA179A"/>
    <w:rsid w:val="00EA1B2B"/>
    <w:rsid w:val="00EA1BE1"/>
    <w:rsid w:val="00EA1E72"/>
    <w:rsid w:val="00EA2113"/>
    <w:rsid w:val="00EA2337"/>
    <w:rsid w:val="00EA235B"/>
    <w:rsid w:val="00EA25BB"/>
    <w:rsid w:val="00EA26DD"/>
    <w:rsid w:val="00EA276C"/>
    <w:rsid w:val="00EA289D"/>
    <w:rsid w:val="00EA2DEA"/>
    <w:rsid w:val="00EA30A4"/>
    <w:rsid w:val="00EA316C"/>
    <w:rsid w:val="00EA368B"/>
    <w:rsid w:val="00EA3708"/>
    <w:rsid w:val="00EA3B6D"/>
    <w:rsid w:val="00EA3D28"/>
    <w:rsid w:val="00EA401A"/>
    <w:rsid w:val="00EA41AE"/>
    <w:rsid w:val="00EA4456"/>
    <w:rsid w:val="00EA4806"/>
    <w:rsid w:val="00EA4E81"/>
    <w:rsid w:val="00EA5301"/>
    <w:rsid w:val="00EA5515"/>
    <w:rsid w:val="00EA6167"/>
    <w:rsid w:val="00EA6646"/>
    <w:rsid w:val="00EA6765"/>
    <w:rsid w:val="00EA67D5"/>
    <w:rsid w:val="00EA683C"/>
    <w:rsid w:val="00EA6D8A"/>
    <w:rsid w:val="00EA6ED9"/>
    <w:rsid w:val="00EA7279"/>
    <w:rsid w:val="00EA73E3"/>
    <w:rsid w:val="00EA7476"/>
    <w:rsid w:val="00EA7738"/>
    <w:rsid w:val="00EA7829"/>
    <w:rsid w:val="00EB0573"/>
    <w:rsid w:val="00EB07B6"/>
    <w:rsid w:val="00EB1003"/>
    <w:rsid w:val="00EB1092"/>
    <w:rsid w:val="00EB1300"/>
    <w:rsid w:val="00EB1574"/>
    <w:rsid w:val="00EB158F"/>
    <w:rsid w:val="00EB1906"/>
    <w:rsid w:val="00EB1926"/>
    <w:rsid w:val="00EB1AF9"/>
    <w:rsid w:val="00EB1C99"/>
    <w:rsid w:val="00EB1EAB"/>
    <w:rsid w:val="00EB214E"/>
    <w:rsid w:val="00EB2288"/>
    <w:rsid w:val="00EB2356"/>
    <w:rsid w:val="00EB24CF"/>
    <w:rsid w:val="00EB2895"/>
    <w:rsid w:val="00EB2990"/>
    <w:rsid w:val="00EB2A65"/>
    <w:rsid w:val="00EB3559"/>
    <w:rsid w:val="00EB3F1A"/>
    <w:rsid w:val="00EB41D2"/>
    <w:rsid w:val="00EB421B"/>
    <w:rsid w:val="00EB430D"/>
    <w:rsid w:val="00EB4465"/>
    <w:rsid w:val="00EB46BF"/>
    <w:rsid w:val="00EB5107"/>
    <w:rsid w:val="00EB51C6"/>
    <w:rsid w:val="00EB5658"/>
    <w:rsid w:val="00EB573B"/>
    <w:rsid w:val="00EB57EB"/>
    <w:rsid w:val="00EB5B11"/>
    <w:rsid w:val="00EB5C24"/>
    <w:rsid w:val="00EB5CA0"/>
    <w:rsid w:val="00EB62DF"/>
    <w:rsid w:val="00EB6617"/>
    <w:rsid w:val="00EB6894"/>
    <w:rsid w:val="00EB68F3"/>
    <w:rsid w:val="00EB68FB"/>
    <w:rsid w:val="00EB6B59"/>
    <w:rsid w:val="00EB6C2A"/>
    <w:rsid w:val="00EB6CD0"/>
    <w:rsid w:val="00EB7191"/>
    <w:rsid w:val="00EB71CB"/>
    <w:rsid w:val="00EB7281"/>
    <w:rsid w:val="00EC0497"/>
    <w:rsid w:val="00EC0649"/>
    <w:rsid w:val="00EC06BD"/>
    <w:rsid w:val="00EC0ACE"/>
    <w:rsid w:val="00EC0B82"/>
    <w:rsid w:val="00EC0CE0"/>
    <w:rsid w:val="00EC0DD9"/>
    <w:rsid w:val="00EC0E6A"/>
    <w:rsid w:val="00EC11DE"/>
    <w:rsid w:val="00EC1344"/>
    <w:rsid w:val="00EC1484"/>
    <w:rsid w:val="00EC157B"/>
    <w:rsid w:val="00EC17C0"/>
    <w:rsid w:val="00EC18AC"/>
    <w:rsid w:val="00EC21E1"/>
    <w:rsid w:val="00EC2262"/>
    <w:rsid w:val="00EC22F9"/>
    <w:rsid w:val="00EC237A"/>
    <w:rsid w:val="00EC24C1"/>
    <w:rsid w:val="00EC24D1"/>
    <w:rsid w:val="00EC2D86"/>
    <w:rsid w:val="00EC2FDE"/>
    <w:rsid w:val="00EC3261"/>
    <w:rsid w:val="00EC38DA"/>
    <w:rsid w:val="00EC3EA2"/>
    <w:rsid w:val="00EC3F42"/>
    <w:rsid w:val="00EC3FE2"/>
    <w:rsid w:val="00EC429F"/>
    <w:rsid w:val="00EC43D3"/>
    <w:rsid w:val="00EC4D5F"/>
    <w:rsid w:val="00EC4EED"/>
    <w:rsid w:val="00EC5594"/>
    <w:rsid w:val="00EC5614"/>
    <w:rsid w:val="00EC5D0C"/>
    <w:rsid w:val="00EC5EF1"/>
    <w:rsid w:val="00EC661A"/>
    <w:rsid w:val="00EC67E6"/>
    <w:rsid w:val="00EC6933"/>
    <w:rsid w:val="00EC6B6D"/>
    <w:rsid w:val="00EC6CC3"/>
    <w:rsid w:val="00EC71A5"/>
    <w:rsid w:val="00EC7697"/>
    <w:rsid w:val="00EC7FF6"/>
    <w:rsid w:val="00ED135C"/>
    <w:rsid w:val="00ED16FD"/>
    <w:rsid w:val="00ED1755"/>
    <w:rsid w:val="00ED1AEA"/>
    <w:rsid w:val="00ED1BDC"/>
    <w:rsid w:val="00ED1E37"/>
    <w:rsid w:val="00ED1F47"/>
    <w:rsid w:val="00ED202B"/>
    <w:rsid w:val="00ED2157"/>
    <w:rsid w:val="00ED295B"/>
    <w:rsid w:val="00ED30FD"/>
    <w:rsid w:val="00ED3750"/>
    <w:rsid w:val="00ED3CD3"/>
    <w:rsid w:val="00ED3EA4"/>
    <w:rsid w:val="00ED4481"/>
    <w:rsid w:val="00ED4657"/>
    <w:rsid w:val="00ED46D2"/>
    <w:rsid w:val="00ED4CE5"/>
    <w:rsid w:val="00ED4F77"/>
    <w:rsid w:val="00ED50B8"/>
    <w:rsid w:val="00ED53A0"/>
    <w:rsid w:val="00ED548B"/>
    <w:rsid w:val="00ED5E25"/>
    <w:rsid w:val="00ED623B"/>
    <w:rsid w:val="00ED640E"/>
    <w:rsid w:val="00ED67E2"/>
    <w:rsid w:val="00ED6A05"/>
    <w:rsid w:val="00ED6A0A"/>
    <w:rsid w:val="00ED6CDF"/>
    <w:rsid w:val="00ED7473"/>
    <w:rsid w:val="00ED7DE6"/>
    <w:rsid w:val="00EE00C8"/>
    <w:rsid w:val="00EE04C8"/>
    <w:rsid w:val="00EE0F6D"/>
    <w:rsid w:val="00EE1173"/>
    <w:rsid w:val="00EE135F"/>
    <w:rsid w:val="00EE17D0"/>
    <w:rsid w:val="00EE1823"/>
    <w:rsid w:val="00EE20DF"/>
    <w:rsid w:val="00EE2474"/>
    <w:rsid w:val="00EE25CA"/>
    <w:rsid w:val="00EE28F0"/>
    <w:rsid w:val="00EE2B0F"/>
    <w:rsid w:val="00EE2E32"/>
    <w:rsid w:val="00EE2EA6"/>
    <w:rsid w:val="00EE3754"/>
    <w:rsid w:val="00EE3CC8"/>
    <w:rsid w:val="00EE3CD1"/>
    <w:rsid w:val="00EE42DD"/>
    <w:rsid w:val="00EE4697"/>
    <w:rsid w:val="00EE46F1"/>
    <w:rsid w:val="00EE486E"/>
    <w:rsid w:val="00EE4A0F"/>
    <w:rsid w:val="00EE50DD"/>
    <w:rsid w:val="00EE50EA"/>
    <w:rsid w:val="00EE5133"/>
    <w:rsid w:val="00EE5A17"/>
    <w:rsid w:val="00EE5C44"/>
    <w:rsid w:val="00EE62E8"/>
    <w:rsid w:val="00EE6431"/>
    <w:rsid w:val="00EE680E"/>
    <w:rsid w:val="00EE6939"/>
    <w:rsid w:val="00EE71F0"/>
    <w:rsid w:val="00EE74F5"/>
    <w:rsid w:val="00EF00BC"/>
    <w:rsid w:val="00EF00E1"/>
    <w:rsid w:val="00EF02AD"/>
    <w:rsid w:val="00EF0393"/>
    <w:rsid w:val="00EF0B50"/>
    <w:rsid w:val="00EF0C17"/>
    <w:rsid w:val="00EF11C4"/>
    <w:rsid w:val="00EF153D"/>
    <w:rsid w:val="00EF18AF"/>
    <w:rsid w:val="00EF1A5A"/>
    <w:rsid w:val="00EF1E82"/>
    <w:rsid w:val="00EF1EB2"/>
    <w:rsid w:val="00EF1FBF"/>
    <w:rsid w:val="00EF228A"/>
    <w:rsid w:val="00EF2BC0"/>
    <w:rsid w:val="00EF31E3"/>
    <w:rsid w:val="00EF322A"/>
    <w:rsid w:val="00EF38E7"/>
    <w:rsid w:val="00EF3FD0"/>
    <w:rsid w:val="00EF4431"/>
    <w:rsid w:val="00EF44C3"/>
    <w:rsid w:val="00EF46E4"/>
    <w:rsid w:val="00EF4EF0"/>
    <w:rsid w:val="00EF4F2D"/>
    <w:rsid w:val="00EF4FD4"/>
    <w:rsid w:val="00EF508B"/>
    <w:rsid w:val="00EF51DE"/>
    <w:rsid w:val="00EF52B1"/>
    <w:rsid w:val="00EF54B4"/>
    <w:rsid w:val="00EF5693"/>
    <w:rsid w:val="00EF57CD"/>
    <w:rsid w:val="00EF57E4"/>
    <w:rsid w:val="00EF5BEA"/>
    <w:rsid w:val="00EF611D"/>
    <w:rsid w:val="00EF6422"/>
    <w:rsid w:val="00F00397"/>
    <w:rsid w:val="00F008B9"/>
    <w:rsid w:val="00F008D1"/>
    <w:rsid w:val="00F01885"/>
    <w:rsid w:val="00F01C1A"/>
    <w:rsid w:val="00F01DA9"/>
    <w:rsid w:val="00F0225C"/>
    <w:rsid w:val="00F023E7"/>
    <w:rsid w:val="00F024CC"/>
    <w:rsid w:val="00F02A5D"/>
    <w:rsid w:val="00F02E79"/>
    <w:rsid w:val="00F02E7A"/>
    <w:rsid w:val="00F02FB2"/>
    <w:rsid w:val="00F0317B"/>
    <w:rsid w:val="00F0329A"/>
    <w:rsid w:val="00F0341B"/>
    <w:rsid w:val="00F036E3"/>
    <w:rsid w:val="00F04052"/>
    <w:rsid w:val="00F04081"/>
    <w:rsid w:val="00F0452C"/>
    <w:rsid w:val="00F047FA"/>
    <w:rsid w:val="00F0519D"/>
    <w:rsid w:val="00F051E7"/>
    <w:rsid w:val="00F052FA"/>
    <w:rsid w:val="00F05B63"/>
    <w:rsid w:val="00F05FF9"/>
    <w:rsid w:val="00F0670C"/>
    <w:rsid w:val="00F06D46"/>
    <w:rsid w:val="00F06E9B"/>
    <w:rsid w:val="00F073DF"/>
    <w:rsid w:val="00F0747B"/>
    <w:rsid w:val="00F07766"/>
    <w:rsid w:val="00F07F71"/>
    <w:rsid w:val="00F1033E"/>
    <w:rsid w:val="00F10431"/>
    <w:rsid w:val="00F10929"/>
    <w:rsid w:val="00F10F1C"/>
    <w:rsid w:val="00F1159B"/>
    <w:rsid w:val="00F116D4"/>
    <w:rsid w:val="00F12172"/>
    <w:rsid w:val="00F1278E"/>
    <w:rsid w:val="00F12AEF"/>
    <w:rsid w:val="00F13045"/>
    <w:rsid w:val="00F131F2"/>
    <w:rsid w:val="00F13355"/>
    <w:rsid w:val="00F13E84"/>
    <w:rsid w:val="00F140DF"/>
    <w:rsid w:val="00F142E1"/>
    <w:rsid w:val="00F144DC"/>
    <w:rsid w:val="00F14546"/>
    <w:rsid w:val="00F14742"/>
    <w:rsid w:val="00F148A0"/>
    <w:rsid w:val="00F14949"/>
    <w:rsid w:val="00F14BC0"/>
    <w:rsid w:val="00F14C52"/>
    <w:rsid w:val="00F14DD5"/>
    <w:rsid w:val="00F150B0"/>
    <w:rsid w:val="00F15C1D"/>
    <w:rsid w:val="00F15F00"/>
    <w:rsid w:val="00F16192"/>
    <w:rsid w:val="00F162AE"/>
    <w:rsid w:val="00F16776"/>
    <w:rsid w:val="00F16828"/>
    <w:rsid w:val="00F16E4A"/>
    <w:rsid w:val="00F17209"/>
    <w:rsid w:val="00F17F7A"/>
    <w:rsid w:val="00F20203"/>
    <w:rsid w:val="00F20209"/>
    <w:rsid w:val="00F20653"/>
    <w:rsid w:val="00F209E2"/>
    <w:rsid w:val="00F20FF1"/>
    <w:rsid w:val="00F21116"/>
    <w:rsid w:val="00F2147C"/>
    <w:rsid w:val="00F21925"/>
    <w:rsid w:val="00F224A3"/>
    <w:rsid w:val="00F22919"/>
    <w:rsid w:val="00F22E59"/>
    <w:rsid w:val="00F22FE2"/>
    <w:rsid w:val="00F234FD"/>
    <w:rsid w:val="00F2351E"/>
    <w:rsid w:val="00F23681"/>
    <w:rsid w:val="00F23793"/>
    <w:rsid w:val="00F23C6D"/>
    <w:rsid w:val="00F24676"/>
    <w:rsid w:val="00F24CBD"/>
    <w:rsid w:val="00F24FFE"/>
    <w:rsid w:val="00F25001"/>
    <w:rsid w:val="00F25104"/>
    <w:rsid w:val="00F2515F"/>
    <w:rsid w:val="00F2528F"/>
    <w:rsid w:val="00F256FB"/>
    <w:rsid w:val="00F2591B"/>
    <w:rsid w:val="00F25BCD"/>
    <w:rsid w:val="00F261B8"/>
    <w:rsid w:val="00F2631E"/>
    <w:rsid w:val="00F26953"/>
    <w:rsid w:val="00F26CE9"/>
    <w:rsid w:val="00F26D78"/>
    <w:rsid w:val="00F26EF9"/>
    <w:rsid w:val="00F27107"/>
    <w:rsid w:val="00F2730E"/>
    <w:rsid w:val="00F2733D"/>
    <w:rsid w:val="00F273E2"/>
    <w:rsid w:val="00F27674"/>
    <w:rsid w:val="00F27AA6"/>
    <w:rsid w:val="00F27C6A"/>
    <w:rsid w:val="00F302F3"/>
    <w:rsid w:val="00F311A8"/>
    <w:rsid w:val="00F31785"/>
    <w:rsid w:val="00F317A6"/>
    <w:rsid w:val="00F31834"/>
    <w:rsid w:val="00F3205F"/>
    <w:rsid w:val="00F3234A"/>
    <w:rsid w:val="00F3276F"/>
    <w:rsid w:val="00F32859"/>
    <w:rsid w:val="00F32AC8"/>
    <w:rsid w:val="00F32CB4"/>
    <w:rsid w:val="00F330D4"/>
    <w:rsid w:val="00F335DC"/>
    <w:rsid w:val="00F33731"/>
    <w:rsid w:val="00F33B32"/>
    <w:rsid w:val="00F33F21"/>
    <w:rsid w:val="00F3402B"/>
    <w:rsid w:val="00F34245"/>
    <w:rsid w:val="00F349BA"/>
    <w:rsid w:val="00F34B5D"/>
    <w:rsid w:val="00F34BB8"/>
    <w:rsid w:val="00F34C75"/>
    <w:rsid w:val="00F35583"/>
    <w:rsid w:val="00F356F4"/>
    <w:rsid w:val="00F357A4"/>
    <w:rsid w:val="00F35C4F"/>
    <w:rsid w:val="00F368DB"/>
    <w:rsid w:val="00F36DEC"/>
    <w:rsid w:val="00F3708C"/>
    <w:rsid w:val="00F3746F"/>
    <w:rsid w:val="00F37481"/>
    <w:rsid w:val="00F37771"/>
    <w:rsid w:val="00F4031C"/>
    <w:rsid w:val="00F40F0E"/>
    <w:rsid w:val="00F410D0"/>
    <w:rsid w:val="00F411A5"/>
    <w:rsid w:val="00F41429"/>
    <w:rsid w:val="00F41791"/>
    <w:rsid w:val="00F41A99"/>
    <w:rsid w:val="00F41AA2"/>
    <w:rsid w:val="00F41AAD"/>
    <w:rsid w:val="00F41CF3"/>
    <w:rsid w:val="00F41EC4"/>
    <w:rsid w:val="00F41F8E"/>
    <w:rsid w:val="00F41FE5"/>
    <w:rsid w:val="00F423FD"/>
    <w:rsid w:val="00F4368F"/>
    <w:rsid w:val="00F43732"/>
    <w:rsid w:val="00F43960"/>
    <w:rsid w:val="00F43C50"/>
    <w:rsid w:val="00F43DE1"/>
    <w:rsid w:val="00F440A5"/>
    <w:rsid w:val="00F441BD"/>
    <w:rsid w:val="00F44399"/>
    <w:rsid w:val="00F447ED"/>
    <w:rsid w:val="00F44F05"/>
    <w:rsid w:val="00F44FC6"/>
    <w:rsid w:val="00F45242"/>
    <w:rsid w:val="00F453F7"/>
    <w:rsid w:val="00F45EC3"/>
    <w:rsid w:val="00F460F1"/>
    <w:rsid w:val="00F4633F"/>
    <w:rsid w:val="00F466D8"/>
    <w:rsid w:val="00F46CD4"/>
    <w:rsid w:val="00F46FF9"/>
    <w:rsid w:val="00F47292"/>
    <w:rsid w:val="00F47530"/>
    <w:rsid w:val="00F47B38"/>
    <w:rsid w:val="00F47C22"/>
    <w:rsid w:val="00F47CBD"/>
    <w:rsid w:val="00F501AE"/>
    <w:rsid w:val="00F50783"/>
    <w:rsid w:val="00F50869"/>
    <w:rsid w:val="00F5086C"/>
    <w:rsid w:val="00F50EC0"/>
    <w:rsid w:val="00F51433"/>
    <w:rsid w:val="00F5157D"/>
    <w:rsid w:val="00F51790"/>
    <w:rsid w:val="00F524E0"/>
    <w:rsid w:val="00F527D6"/>
    <w:rsid w:val="00F5293A"/>
    <w:rsid w:val="00F52AD0"/>
    <w:rsid w:val="00F52F78"/>
    <w:rsid w:val="00F53290"/>
    <w:rsid w:val="00F53362"/>
    <w:rsid w:val="00F533CE"/>
    <w:rsid w:val="00F535C4"/>
    <w:rsid w:val="00F53928"/>
    <w:rsid w:val="00F53B56"/>
    <w:rsid w:val="00F53BCB"/>
    <w:rsid w:val="00F53FFB"/>
    <w:rsid w:val="00F54064"/>
    <w:rsid w:val="00F54307"/>
    <w:rsid w:val="00F54997"/>
    <w:rsid w:val="00F54AE4"/>
    <w:rsid w:val="00F55226"/>
    <w:rsid w:val="00F55A98"/>
    <w:rsid w:val="00F55E9A"/>
    <w:rsid w:val="00F56A0A"/>
    <w:rsid w:val="00F56D63"/>
    <w:rsid w:val="00F56EFF"/>
    <w:rsid w:val="00F576A4"/>
    <w:rsid w:val="00F576C9"/>
    <w:rsid w:val="00F60485"/>
    <w:rsid w:val="00F60771"/>
    <w:rsid w:val="00F60C9C"/>
    <w:rsid w:val="00F6131D"/>
    <w:rsid w:val="00F61399"/>
    <w:rsid w:val="00F61730"/>
    <w:rsid w:val="00F61913"/>
    <w:rsid w:val="00F61F02"/>
    <w:rsid w:val="00F62D33"/>
    <w:rsid w:val="00F62F80"/>
    <w:rsid w:val="00F632C4"/>
    <w:rsid w:val="00F63712"/>
    <w:rsid w:val="00F63A1D"/>
    <w:rsid w:val="00F63A87"/>
    <w:rsid w:val="00F64280"/>
    <w:rsid w:val="00F6461E"/>
    <w:rsid w:val="00F64AEC"/>
    <w:rsid w:val="00F64ECC"/>
    <w:rsid w:val="00F65327"/>
    <w:rsid w:val="00F6544A"/>
    <w:rsid w:val="00F655C6"/>
    <w:rsid w:val="00F66290"/>
    <w:rsid w:val="00F662A5"/>
    <w:rsid w:val="00F6663E"/>
    <w:rsid w:val="00F667D5"/>
    <w:rsid w:val="00F669BB"/>
    <w:rsid w:val="00F66C18"/>
    <w:rsid w:val="00F66D4F"/>
    <w:rsid w:val="00F67308"/>
    <w:rsid w:val="00F674FD"/>
    <w:rsid w:val="00F6771E"/>
    <w:rsid w:val="00F67FE3"/>
    <w:rsid w:val="00F70706"/>
    <w:rsid w:val="00F70719"/>
    <w:rsid w:val="00F71508"/>
    <w:rsid w:val="00F71509"/>
    <w:rsid w:val="00F71623"/>
    <w:rsid w:val="00F7176C"/>
    <w:rsid w:val="00F717EB"/>
    <w:rsid w:val="00F71986"/>
    <w:rsid w:val="00F720CC"/>
    <w:rsid w:val="00F72538"/>
    <w:rsid w:val="00F725C3"/>
    <w:rsid w:val="00F72679"/>
    <w:rsid w:val="00F7270F"/>
    <w:rsid w:val="00F72805"/>
    <w:rsid w:val="00F72A48"/>
    <w:rsid w:val="00F72B90"/>
    <w:rsid w:val="00F72F8D"/>
    <w:rsid w:val="00F730ED"/>
    <w:rsid w:val="00F7317C"/>
    <w:rsid w:val="00F73579"/>
    <w:rsid w:val="00F736F1"/>
    <w:rsid w:val="00F73AFF"/>
    <w:rsid w:val="00F73E85"/>
    <w:rsid w:val="00F73EC7"/>
    <w:rsid w:val="00F73F05"/>
    <w:rsid w:val="00F74009"/>
    <w:rsid w:val="00F74084"/>
    <w:rsid w:val="00F743C2"/>
    <w:rsid w:val="00F74678"/>
    <w:rsid w:val="00F74993"/>
    <w:rsid w:val="00F74BD3"/>
    <w:rsid w:val="00F75835"/>
    <w:rsid w:val="00F75A40"/>
    <w:rsid w:val="00F760E8"/>
    <w:rsid w:val="00F765BB"/>
    <w:rsid w:val="00F7661A"/>
    <w:rsid w:val="00F766F9"/>
    <w:rsid w:val="00F76C16"/>
    <w:rsid w:val="00F76EDA"/>
    <w:rsid w:val="00F771FE"/>
    <w:rsid w:val="00F7776E"/>
    <w:rsid w:val="00F77C79"/>
    <w:rsid w:val="00F802FF"/>
    <w:rsid w:val="00F8051A"/>
    <w:rsid w:val="00F805A4"/>
    <w:rsid w:val="00F80832"/>
    <w:rsid w:val="00F80C59"/>
    <w:rsid w:val="00F81468"/>
    <w:rsid w:val="00F81B60"/>
    <w:rsid w:val="00F82906"/>
    <w:rsid w:val="00F82B4B"/>
    <w:rsid w:val="00F8314A"/>
    <w:rsid w:val="00F831C4"/>
    <w:rsid w:val="00F832CF"/>
    <w:rsid w:val="00F8344E"/>
    <w:rsid w:val="00F83491"/>
    <w:rsid w:val="00F83728"/>
    <w:rsid w:val="00F838E5"/>
    <w:rsid w:val="00F841B5"/>
    <w:rsid w:val="00F84290"/>
    <w:rsid w:val="00F8429D"/>
    <w:rsid w:val="00F84716"/>
    <w:rsid w:val="00F84A04"/>
    <w:rsid w:val="00F84CCF"/>
    <w:rsid w:val="00F84F62"/>
    <w:rsid w:val="00F854D5"/>
    <w:rsid w:val="00F85700"/>
    <w:rsid w:val="00F85A92"/>
    <w:rsid w:val="00F85AAC"/>
    <w:rsid w:val="00F85E18"/>
    <w:rsid w:val="00F86295"/>
    <w:rsid w:val="00F86838"/>
    <w:rsid w:val="00F8694F"/>
    <w:rsid w:val="00F86C1F"/>
    <w:rsid w:val="00F878D1"/>
    <w:rsid w:val="00F87CC2"/>
    <w:rsid w:val="00F90148"/>
    <w:rsid w:val="00F901C7"/>
    <w:rsid w:val="00F9041C"/>
    <w:rsid w:val="00F90DD7"/>
    <w:rsid w:val="00F911C5"/>
    <w:rsid w:val="00F914EB"/>
    <w:rsid w:val="00F9154F"/>
    <w:rsid w:val="00F91930"/>
    <w:rsid w:val="00F92010"/>
    <w:rsid w:val="00F92DB2"/>
    <w:rsid w:val="00F933AA"/>
    <w:rsid w:val="00F93915"/>
    <w:rsid w:val="00F93AA5"/>
    <w:rsid w:val="00F93E95"/>
    <w:rsid w:val="00F9420C"/>
    <w:rsid w:val="00F950D1"/>
    <w:rsid w:val="00F953C9"/>
    <w:rsid w:val="00F957F3"/>
    <w:rsid w:val="00F95833"/>
    <w:rsid w:val="00F9592B"/>
    <w:rsid w:val="00F95E29"/>
    <w:rsid w:val="00F9609C"/>
    <w:rsid w:val="00F962B0"/>
    <w:rsid w:val="00F969A9"/>
    <w:rsid w:val="00F96B62"/>
    <w:rsid w:val="00F970BE"/>
    <w:rsid w:val="00F979BF"/>
    <w:rsid w:val="00F97B48"/>
    <w:rsid w:val="00F97CB5"/>
    <w:rsid w:val="00FA001F"/>
    <w:rsid w:val="00FA013F"/>
    <w:rsid w:val="00FA0522"/>
    <w:rsid w:val="00FA099F"/>
    <w:rsid w:val="00FA0C75"/>
    <w:rsid w:val="00FA0FE1"/>
    <w:rsid w:val="00FA115B"/>
    <w:rsid w:val="00FA14BA"/>
    <w:rsid w:val="00FA163D"/>
    <w:rsid w:val="00FA17F9"/>
    <w:rsid w:val="00FA18C1"/>
    <w:rsid w:val="00FA1B85"/>
    <w:rsid w:val="00FA1EFA"/>
    <w:rsid w:val="00FA252D"/>
    <w:rsid w:val="00FA2635"/>
    <w:rsid w:val="00FA28A8"/>
    <w:rsid w:val="00FA2D5B"/>
    <w:rsid w:val="00FA3534"/>
    <w:rsid w:val="00FA3789"/>
    <w:rsid w:val="00FA37B9"/>
    <w:rsid w:val="00FA3947"/>
    <w:rsid w:val="00FA3E06"/>
    <w:rsid w:val="00FA48B0"/>
    <w:rsid w:val="00FA4AD4"/>
    <w:rsid w:val="00FA5231"/>
    <w:rsid w:val="00FA541D"/>
    <w:rsid w:val="00FA56CB"/>
    <w:rsid w:val="00FA5928"/>
    <w:rsid w:val="00FA5A93"/>
    <w:rsid w:val="00FA5DE4"/>
    <w:rsid w:val="00FA649C"/>
    <w:rsid w:val="00FA67A1"/>
    <w:rsid w:val="00FA693E"/>
    <w:rsid w:val="00FA6A2A"/>
    <w:rsid w:val="00FA6E9A"/>
    <w:rsid w:val="00FA6EDE"/>
    <w:rsid w:val="00FA7094"/>
    <w:rsid w:val="00FA7647"/>
    <w:rsid w:val="00FA76CE"/>
    <w:rsid w:val="00FA7707"/>
    <w:rsid w:val="00FA79D6"/>
    <w:rsid w:val="00FA7A98"/>
    <w:rsid w:val="00FB05BD"/>
    <w:rsid w:val="00FB0879"/>
    <w:rsid w:val="00FB0971"/>
    <w:rsid w:val="00FB1989"/>
    <w:rsid w:val="00FB19A8"/>
    <w:rsid w:val="00FB2341"/>
    <w:rsid w:val="00FB255D"/>
    <w:rsid w:val="00FB2602"/>
    <w:rsid w:val="00FB2772"/>
    <w:rsid w:val="00FB2A88"/>
    <w:rsid w:val="00FB2D78"/>
    <w:rsid w:val="00FB2FA2"/>
    <w:rsid w:val="00FB314B"/>
    <w:rsid w:val="00FB32CE"/>
    <w:rsid w:val="00FB3339"/>
    <w:rsid w:val="00FB36D0"/>
    <w:rsid w:val="00FB3E56"/>
    <w:rsid w:val="00FB4168"/>
    <w:rsid w:val="00FB421E"/>
    <w:rsid w:val="00FB4437"/>
    <w:rsid w:val="00FB473F"/>
    <w:rsid w:val="00FB4918"/>
    <w:rsid w:val="00FB4CC9"/>
    <w:rsid w:val="00FB4D01"/>
    <w:rsid w:val="00FB4EE1"/>
    <w:rsid w:val="00FB5937"/>
    <w:rsid w:val="00FB5952"/>
    <w:rsid w:val="00FB5DBC"/>
    <w:rsid w:val="00FB6297"/>
    <w:rsid w:val="00FB62E0"/>
    <w:rsid w:val="00FB6783"/>
    <w:rsid w:val="00FB685B"/>
    <w:rsid w:val="00FB6F44"/>
    <w:rsid w:val="00FB778F"/>
    <w:rsid w:val="00FB78C3"/>
    <w:rsid w:val="00FB7DD0"/>
    <w:rsid w:val="00FB7E89"/>
    <w:rsid w:val="00FC0244"/>
    <w:rsid w:val="00FC08A3"/>
    <w:rsid w:val="00FC08AA"/>
    <w:rsid w:val="00FC148B"/>
    <w:rsid w:val="00FC16ED"/>
    <w:rsid w:val="00FC17BD"/>
    <w:rsid w:val="00FC1BA0"/>
    <w:rsid w:val="00FC1C2C"/>
    <w:rsid w:val="00FC1DBA"/>
    <w:rsid w:val="00FC1DCE"/>
    <w:rsid w:val="00FC1E06"/>
    <w:rsid w:val="00FC2258"/>
    <w:rsid w:val="00FC2730"/>
    <w:rsid w:val="00FC3151"/>
    <w:rsid w:val="00FC3209"/>
    <w:rsid w:val="00FC3406"/>
    <w:rsid w:val="00FC35A6"/>
    <w:rsid w:val="00FC369D"/>
    <w:rsid w:val="00FC3C7E"/>
    <w:rsid w:val="00FC3CBE"/>
    <w:rsid w:val="00FC405B"/>
    <w:rsid w:val="00FC45EF"/>
    <w:rsid w:val="00FC47CC"/>
    <w:rsid w:val="00FC4B4B"/>
    <w:rsid w:val="00FC525E"/>
    <w:rsid w:val="00FC5369"/>
    <w:rsid w:val="00FC5F67"/>
    <w:rsid w:val="00FC6042"/>
    <w:rsid w:val="00FC6287"/>
    <w:rsid w:val="00FC6365"/>
    <w:rsid w:val="00FC64D0"/>
    <w:rsid w:val="00FC757A"/>
    <w:rsid w:val="00FC75F7"/>
    <w:rsid w:val="00FC78A4"/>
    <w:rsid w:val="00FC7F58"/>
    <w:rsid w:val="00FD0001"/>
    <w:rsid w:val="00FD014C"/>
    <w:rsid w:val="00FD0A42"/>
    <w:rsid w:val="00FD1109"/>
    <w:rsid w:val="00FD11F1"/>
    <w:rsid w:val="00FD154E"/>
    <w:rsid w:val="00FD1874"/>
    <w:rsid w:val="00FD1E61"/>
    <w:rsid w:val="00FD1EEE"/>
    <w:rsid w:val="00FD2141"/>
    <w:rsid w:val="00FD23CA"/>
    <w:rsid w:val="00FD263C"/>
    <w:rsid w:val="00FD2788"/>
    <w:rsid w:val="00FD28CF"/>
    <w:rsid w:val="00FD291A"/>
    <w:rsid w:val="00FD296A"/>
    <w:rsid w:val="00FD2AFD"/>
    <w:rsid w:val="00FD2EE9"/>
    <w:rsid w:val="00FD3702"/>
    <w:rsid w:val="00FD3C49"/>
    <w:rsid w:val="00FD3FF3"/>
    <w:rsid w:val="00FD439D"/>
    <w:rsid w:val="00FD4509"/>
    <w:rsid w:val="00FD4513"/>
    <w:rsid w:val="00FD479F"/>
    <w:rsid w:val="00FD4CC9"/>
    <w:rsid w:val="00FD4E45"/>
    <w:rsid w:val="00FD4FE9"/>
    <w:rsid w:val="00FD505D"/>
    <w:rsid w:val="00FD56AD"/>
    <w:rsid w:val="00FD599C"/>
    <w:rsid w:val="00FD5BF9"/>
    <w:rsid w:val="00FD5C42"/>
    <w:rsid w:val="00FD648B"/>
    <w:rsid w:val="00FD681A"/>
    <w:rsid w:val="00FD708F"/>
    <w:rsid w:val="00FD76B1"/>
    <w:rsid w:val="00FD7884"/>
    <w:rsid w:val="00FD7A5A"/>
    <w:rsid w:val="00FE04B8"/>
    <w:rsid w:val="00FE04E2"/>
    <w:rsid w:val="00FE05D6"/>
    <w:rsid w:val="00FE06E0"/>
    <w:rsid w:val="00FE0A1D"/>
    <w:rsid w:val="00FE0AE2"/>
    <w:rsid w:val="00FE0B9E"/>
    <w:rsid w:val="00FE107D"/>
    <w:rsid w:val="00FE1249"/>
    <w:rsid w:val="00FE128D"/>
    <w:rsid w:val="00FE1414"/>
    <w:rsid w:val="00FE2184"/>
    <w:rsid w:val="00FE21B3"/>
    <w:rsid w:val="00FE2333"/>
    <w:rsid w:val="00FE2789"/>
    <w:rsid w:val="00FE27C4"/>
    <w:rsid w:val="00FE27F4"/>
    <w:rsid w:val="00FE29DB"/>
    <w:rsid w:val="00FE2A6B"/>
    <w:rsid w:val="00FE30F6"/>
    <w:rsid w:val="00FE3ABA"/>
    <w:rsid w:val="00FE3FF7"/>
    <w:rsid w:val="00FE40DB"/>
    <w:rsid w:val="00FE44C9"/>
    <w:rsid w:val="00FE4A60"/>
    <w:rsid w:val="00FE4C3C"/>
    <w:rsid w:val="00FE4CD8"/>
    <w:rsid w:val="00FE4D9B"/>
    <w:rsid w:val="00FE4DCC"/>
    <w:rsid w:val="00FE4E8D"/>
    <w:rsid w:val="00FE5540"/>
    <w:rsid w:val="00FE560B"/>
    <w:rsid w:val="00FE56E8"/>
    <w:rsid w:val="00FE56FF"/>
    <w:rsid w:val="00FE5B80"/>
    <w:rsid w:val="00FE5F3B"/>
    <w:rsid w:val="00FE6021"/>
    <w:rsid w:val="00FE634B"/>
    <w:rsid w:val="00FE6358"/>
    <w:rsid w:val="00FE63FD"/>
    <w:rsid w:val="00FE6EB2"/>
    <w:rsid w:val="00FF05EF"/>
    <w:rsid w:val="00FF0A05"/>
    <w:rsid w:val="00FF0CFB"/>
    <w:rsid w:val="00FF1095"/>
    <w:rsid w:val="00FF1163"/>
    <w:rsid w:val="00FF11CD"/>
    <w:rsid w:val="00FF13DC"/>
    <w:rsid w:val="00FF16BE"/>
    <w:rsid w:val="00FF208B"/>
    <w:rsid w:val="00FF2163"/>
    <w:rsid w:val="00FF2237"/>
    <w:rsid w:val="00FF2ADE"/>
    <w:rsid w:val="00FF2D1C"/>
    <w:rsid w:val="00FF2D24"/>
    <w:rsid w:val="00FF2F4C"/>
    <w:rsid w:val="00FF360A"/>
    <w:rsid w:val="00FF3B8E"/>
    <w:rsid w:val="00FF3BB2"/>
    <w:rsid w:val="00FF4194"/>
    <w:rsid w:val="00FF4B37"/>
    <w:rsid w:val="00FF5327"/>
    <w:rsid w:val="00FF60E3"/>
    <w:rsid w:val="00FF6347"/>
    <w:rsid w:val="00FF65A5"/>
    <w:rsid w:val="00FF65BA"/>
    <w:rsid w:val="00FF6BBB"/>
    <w:rsid w:val="00FF701E"/>
    <w:rsid w:val="00FF744F"/>
    <w:rsid w:val="00FF7652"/>
    <w:rsid w:val="00FF7D47"/>
    <w:rsid w:val="00FF7EB5"/>
    <w:rsid w:val="00FF7FD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o:colormru v:ext="edit" colors="#bd1f2b,#cf1e24,#d90b13,#e31c18"/>
    </o:shapedefaults>
    <o:shapelayout v:ext="edit">
      <o:idmap v:ext="edit" data="1"/>
    </o:shapelayout>
  </w:shapeDefaults>
  <w:decimalSymbol w:val=","/>
  <w:listSeparator w:val=";"/>
  <w15:docId w15:val="{D63B47DE-BE1F-4578-B870-0A602D901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36550"/>
    <w:pPr>
      <w:widowControl w:val="0"/>
      <w:overflowPunct w:val="0"/>
      <w:autoSpaceDE w:val="0"/>
      <w:autoSpaceDN w:val="0"/>
      <w:adjustRightInd w:val="0"/>
      <w:spacing w:before="100" w:after="100"/>
    </w:pPr>
    <w:rPr>
      <w:kern w:val="28"/>
    </w:rPr>
  </w:style>
  <w:style w:type="paragraph" w:styleId="Titolo1">
    <w:name w:val="heading 1"/>
    <w:basedOn w:val="Normale"/>
    <w:next w:val="Normale"/>
    <w:link w:val="Titolo1Carattere"/>
    <w:uiPriority w:val="99"/>
    <w:qFormat/>
    <w:rsid w:val="00BC3FFD"/>
    <w:pPr>
      <w:keepNext/>
      <w:spacing w:before="0" w:after="120"/>
      <w:jc w:val="both"/>
      <w:outlineLvl w:val="0"/>
    </w:pPr>
    <w:rPr>
      <w:rFonts w:ascii="Cambria" w:hAnsi="Cambria"/>
      <w:b/>
      <w:kern w:val="32"/>
      <w:sz w:val="32"/>
    </w:rPr>
  </w:style>
  <w:style w:type="paragraph" w:styleId="Titolo3">
    <w:name w:val="heading 3"/>
    <w:basedOn w:val="Normale"/>
    <w:next w:val="Normale"/>
    <w:link w:val="Titolo3Carattere"/>
    <w:unhideWhenUsed/>
    <w:qFormat/>
    <w:locked/>
    <w:rsid w:val="00FF2F4C"/>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qFormat/>
    <w:locked/>
    <w:rsid w:val="00CD17F5"/>
    <w:pPr>
      <w:keepNext/>
      <w:keepLines/>
      <w:spacing w:before="200" w:after="0"/>
      <w:outlineLvl w:val="3"/>
    </w:pPr>
    <w:rPr>
      <w:rFonts w:ascii="Cambria" w:hAnsi="Cambria"/>
      <w:b/>
      <w:bCs/>
      <w:i/>
      <w:i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226782"/>
    <w:rPr>
      <w:rFonts w:ascii="Cambria" w:hAnsi="Cambria" w:cs="Times New Roman"/>
      <w:b/>
      <w:kern w:val="32"/>
      <w:sz w:val="32"/>
    </w:rPr>
  </w:style>
  <w:style w:type="character" w:customStyle="1" w:styleId="Titolo3Carattere">
    <w:name w:val="Titolo 3 Carattere"/>
    <w:basedOn w:val="Carpredefinitoparagrafo"/>
    <w:link w:val="Titolo3"/>
    <w:rsid w:val="00FF2F4C"/>
    <w:rPr>
      <w:rFonts w:asciiTheme="majorHAnsi" w:eastAsiaTheme="majorEastAsia" w:hAnsiTheme="majorHAnsi" w:cstheme="majorBidi"/>
      <w:b/>
      <w:bCs/>
      <w:color w:val="4F81BD" w:themeColor="accent1"/>
      <w:kern w:val="28"/>
    </w:rPr>
  </w:style>
  <w:style w:type="character" w:customStyle="1" w:styleId="Titolo4Carattere">
    <w:name w:val="Titolo 4 Carattere"/>
    <w:link w:val="Titolo4"/>
    <w:uiPriority w:val="9"/>
    <w:rsid w:val="00CD17F5"/>
    <w:rPr>
      <w:rFonts w:ascii="Cambria" w:eastAsia="Times New Roman" w:hAnsi="Cambria" w:cs="Times New Roman"/>
      <w:b/>
      <w:bCs/>
      <w:i/>
      <w:iCs/>
      <w:color w:val="4F81BD"/>
      <w:kern w:val="28"/>
      <w:sz w:val="20"/>
      <w:szCs w:val="20"/>
    </w:rPr>
  </w:style>
  <w:style w:type="paragraph" w:styleId="Corpotesto">
    <w:name w:val="Body Text"/>
    <w:basedOn w:val="Normale"/>
    <w:link w:val="CorpotestoCarattere"/>
    <w:uiPriority w:val="99"/>
    <w:rsid w:val="00BC3FFD"/>
    <w:pPr>
      <w:spacing w:before="0" w:after="0" w:line="360" w:lineRule="auto"/>
    </w:pPr>
  </w:style>
  <w:style w:type="character" w:customStyle="1" w:styleId="CorpotestoCarattere">
    <w:name w:val="Corpo testo Carattere"/>
    <w:link w:val="Corpotesto"/>
    <w:uiPriority w:val="99"/>
    <w:locked/>
    <w:rsid w:val="00226782"/>
    <w:rPr>
      <w:rFonts w:cs="Times New Roman"/>
      <w:kern w:val="28"/>
      <w:sz w:val="20"/>
    </w:rPr>
  </w:style>
  <w:style w:type="paragraph" w:styleId="Pidipagina">
    <w:name w:val="footer"/>
    <w:basedOn w:val="Normale"/>
    <w:link w:val="PidipaginaCarattere"/>
    <w:uiPriority w:val="99"/>
    <w:rsid w:val="00BC3FFD"/>
    <w:pPr>
      <w:tabs>
        <w:tab w:val="center" w:pos="4818"/>
        <w:tab w:val="right" w:pos="9637"/>
      </w:tabs>
      <w:spacing w:before="0" w:after="0"/>
      <w:jc w:val="both"/>
    </w:pPr>
  </w:style>
  <w:style w:type="character" w:customStyle="1" w:styleId="PidipaginaCarattere">
    <w:name w:val="Piè di pagina Carattere"/>
    <w:link w:val="Pidipagina"/>
    <w:uiPriority w:val="99"/>
    <w:locked/>
    <w:rsid w:val="00226782"/>
    <w:rPr>
      <w:rFonts w:cs="Times New Roman"/>
      <w:kern w:val="28"/>
      <w:sz w:val="20"/>
    </w:rPr>
  </w:style>
  <w:style w:type="character" w:styleId="Collegamentoipertestuale">
    <w:name w:val="Hyperlink"/>
    <w:uiPriority w:val="99"/>
    <w:rsid w:val="001F7282"/>
    <w:rPr>
      <w:rFonts w:cs="Times New Roman"/>
      <w:color w:val="0000FF"/>
      <w:u w:val="single"/>
    </w:rPr>
  </w:style>
  <w:style w:type="paragraph" w:styleId="Intestazione">
    <w:name w:val="header"/>
    <w:basedOn w:val="Normale"/>
    <w:link w:val="IntestazioneCarattere"/>
    <w:uiPriority w:val="99"/>
    <w:rsid w:val="000F6161"/>
    <w:pPr>
      <w:tabs>
        <w:tab w:val="center" w:pos="4819"/>
        <w:tab w:val="right" w:pos="9638"/>
      </w:tabs>
    </w:pPr>
  </w:style>
  <w:style w:type="character" w:customStyle="1" w:styleId="IntestazioneCarattere">
    <w:name w:val="Intestazione Carattere"/>
    <w:link w:val="Intestazione"/>
    <w:uiPriority w:val="99"/>
    <w:locked/>
    <w:rsid w:val="00226782"/>
    <w:rPr>
      <w:rFonts w:cs="Times New Roman"/>
      <w:kern w:val="28"/>
      <w:sz w:val="20"/>
    </w:rPr>
  </w:style>
  <w:style w:type="character" w:styleId="Numeropagina">
    <w:name w:val="page number"/>
    <w:uiPriority w:val="99"/>
    <w:rsid w:val="0026018C"/>
    <w:rPr>
      <w:rFonts w:cs="Times New Roman"/>
    </w:rPr>
  </w:style>
  <w:style w:type="paragraph" w:styleId="Testofumetto">
    <w:name w:val="Balloon Text"/>
    <w:basedOn w:val="Normale"/>
    <w:link w:val="TestofumettoCarattere"/>
    <w:uiPriority w:val="99"/>
    <w:semiHidden/>
    <w:rsid w:val="00486F36"/>
    <w:rPr>
      <w:sz w:val="2"/>
    </w:rPr>
  </w:style>
  <w:style w:type="character" w:customStyle="1" w:styleId="TestofumettoCarattere">
    <w:name w:val="Testo fumetto Carattere"/>
    <w:link w:val="Testofumetto"/>
    <w:uiPriority w:val="99"/>
    <w:semiHidden/>
    <w:locked/>
    <w:rsid w:val="00226782"/>
    <w:rPr>
      <w:rFonts w:cs="Times New Roman"/>
      <w:kern w:val="28"/>
      <w:sz w:val="2"/>
    </w:rPr>
  </w:style>
  <w:style w:type="paragraph" w:styleId="NormaleWeb">
    <w:name w:val="Normal (Web)"/>
    <w:basedOn w:val="Normale"/>
    <w:uiPriority w:val="99"/>
    <w:rsid w:val="00100058"/>
    <w:pPr>
      <w:widowControl/>
      <w:overflowPunct/>
      <w:autoSpaceDE/>
      <w:autoSpaceDN/>
      <w:adjustRightInd/>
      <w:spacing w:beforeAutospacing="1" w:afterAutospacing="1"/>
    </w:pPr>
    <w:rPr>
      <w:kern w:val="0"/>
      <w:sz w:val="24"/>
      <w:szCs w:val="24"/>
    </w:rPr>
  </w:style>
  <w:style w:type="paragraph" w:styleId="PreformattatoHTML">
    <w:name w:val="HTML Preformatted"/>
    <w:basedOn w:val="Normale"/>
    <w:link w:val="PreformattatoHTMLCarattere"/>
    <w:uiPriority w:val="99"/>
    <w:rsid w:val="009060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after="0"/>
    </w:pPr>
    <w:rPr>
      <w:rFonts w:ascii="Courier New" w:hAnsi="Courier New"/>
    </w:rPr>
  </w:style>
  <w:style w:type="character" w:customStyle="1" w:styleId="PreformattatoHTMLCarattere">
    <w:name w:val="Preformattato HTML Carattere"/>
    <w:link w:val="PreformattatoHTML"/>
    <w:uiPriority w:val="99"/>
    <w:locked/>
    <w:rsid w:val="00226782"/>
    <w:rPr>
      <w:rFonts w:ascii="Courier New" w:hAnsi="Courier New" w:cs="Times New Roman"/>
      <w:kern w:val="28"/>
      <w:sz w:val="20"/>
    </w:rPr>
  </w:style>
  <w:style w:type="character" w:styleId="Enfasigrassetto">
    <w:name w:val="Strong"/>
    <w:uiPriority w:val="99"/>
    <w:qFormat/>
    <w:rsid w:val="008C6EAA"/>
    <w:rPr>
      <w:rFonts w:cs="Times New Roman"/>
      <w:b/>
    </w:rPr>
  </w:style>
  <w:style w:type="table" w:styleId="Grigliatabella">
    <w:name w:val="Table Grid"/>
    <w:basedOn w:val="Tabellanormale"/>
    <w:uiPriority w:val="99"/>
    <w:locked/>
    <w:rsid w:val="00E75DC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uiPriority w:val="99"/>
    <w:rsid w:val="00E75DCC"/>
  </w:style>
  <w:style w:type="paragraph" w:styleId="Testonotaapidipagina">
    <w:name w:val="footnote text"/>
    <w:basedOn w:val="Normale"/>
    <w:link w:val="TestonotaapidipaginaCarattere"/>
    <w:uiPriority w:val="99"/>
    <w:rsid w:val="006C145B"/>
  </w:style>
  <w:style w:type="character" w:customStyle="1" w:styleId="TestonotaapidipaginaCarattere">
    <w:name w:val="Testo nota a piè di pagina Carattere"/>
    <w:link w:val="Testonotaapidipagina"/>
    <w:uiPriority w:val="99"/>
    <w:locked/>
    <w:rsid w:val="00F05FF9"/>
    <w:rPr>
      <w:rFonts w:cs="Times New Roman"/>
      <w:kern w:val="28"/>
      <w:sz w:val="20"/>
    </w:rPr>
  </w:style>
  <w:style w:type="character" w:styleId="Rimandonotaapidipagina">
    <w:name w:val="footnote reference"/>
    <w:rsid w:val="006C145B"/>
    <w:rPr>
      <w:rFonts w:cs="Times New Roman"/>
      <w:vertAlign w:val="superscript"/>
    </w:rPr>
  </w:style>
  <w:style w:type="character" w:styleId="Enfasicorsivo">
    <w:name w:val="Emphasis"/>
    <w:uiPriority w:val="99"/>
    <w:qFormat/>
    <w:locked/>
    <w:rsid w:val="00E80FB8"/>
    <w:rPr>
      <w:rFonts w:cs="Times New Roman"/>
      <w:i/>
    </w:rPr>
  </w:style>
  <w:style w:type="paragraph" w:customStyle="1" w:styleId="Grigliamedia1-Colore21">
    <w:name w:val="Griglia media 1 - Colore 21"/>
    <w:basedOn w:val="Normale"/>
    <w:uiPriority w:val="34"/>
    <w:qFormat/>
    <w:rsid w:val="0022535F"/>
    <w:pPr>
      <w:ind w:left="720"/>
      <w:contextualSpacing/>
    </w:pPr>
  </w:style>
  <w:style w:type="character" w:styleId="Rimandocommento">
    <w:name w:val="annotation reference"/>
    <w:uiPriority w:val="99"/>
    <w:semiHidden/>
    <w:unhideWhenUsed/>
    <w:rsid w:val="00407D29"/>
    <w:rPr>
      <w:sz w:val="16"/>
      <w:szCs w:val="16"/>
    </w:rPr>
  </w:style>
  <w:style w:type="paragraph" w:styleId="Testocommento">
    <w:name w:val="annotation text"/>
    <w:basedOn w:val="Normale"/>
    <w:link w:val="TestocommentoCarattere"/>
    <w:uiPriority w:val="99"/>
    <w:semiHidden/>
    <w:unhideWhenUsed/>
    <w:rsid w:val="00407D29"/>
  </w:style>
  <w:style w:type="character" w:customStyle="1" w:styleId="TestocommentoCarattere">
    <w:name w:val="Testo commento Carattere"/>
    <w:link w:val="Testocommento"/>
    <w:uiPriority w:val="99"/>
    <w:semiHidden/>
    <w:rsid w:val="00407D29"/>
    <w:rPr>
      <w:kern w:val="28"/>
      <w:sz w:val="20"/>
      <w:szCs w:val="20"/>
    </w:rPr>
  </w:style>
  <w:style w:type="paragraph" w:styleId="Soggettocommento">
    <w:name w:val="annotation subject"/>
    <w:basedOn w:val="Testocommento"/>
    <w:next w:val="Testocommento"/>
    <w:link w:val="SoggettocommentoCarattere"/>
    <w:uiPriority w:val="99"/>
    <w:semiHidden/>
    <w:unhideWhenUsed/>
    <w:rsid w:val="00407D29"/>
    <w:rPr>
      <w:b/>
      <w:bCs/>
    </w:rPr>
  </w:style>
  <w:style w:type="character" w:customStyle="1" w:styleId="SoggettocommentoCarattere">
    <w:name w:val="Soggetto commento Carattere"/>
    <w:link w:val="Soggettocommento"/>
    <w:uiPriority w:val="99"/>
    <w:semiHidden/>
    <w:rsid w:val="00407D29"/>
    <w:rPr>
      <w:b/>
      <w:bCs/>
      <w:kern w:val="28"/>
      <w:sz w:val="20"/>
      <w:szCs w:val="20"/>
    </w:rPr>
  </w:style>
  <w:style w:type="paragraph" w:styleId="Sottotitolo">
    <w:name w:val="Subtitle"/>
    <w:basedOn w:val="Normale"/>
    <w:next w:val="Normale"/>
    <w:link w:val="SottotitoloCarattere"/>
    <w:qFormat/>
    <w:locked/>
    <w:rsid w:val="006166D3"/>
    <w:pPr>
      <w:numPr>
        <w:ilvl w:val="1"/>
      </w:numPr>
    </w:pPr>
    <w:rPr>
      <w:rFonts w:ascii="Cambria" w:hAnsi="Cambria"/>
      <w:i/>
      <w:iCs/>
      <w:color w:val="4F81BD"/>
      <w:spacing w:val="15"/>
      <w:sz w:val="24"/>
      <w:szCs w:val="24"/>
    </w:rPr>
  </w:style>
  <w:style w:type="character" w:customStyle="1" w:styleId="SottotitoloCarattere">
    <w:name w:val="Sottotitolo Carattere"/>
    <w:link w:val="Sottotitolo"/>
    <w:rsid w:val="006166D3"/>
    <w:rPr>
      <w:rFonts w:ascii="Cambria" w:eastAsia="Times New Roman" w:hAnsi="Cambria" w:cs="Times New Roman"/>
      <w:i/>
      <w:iCs/>
      <w:color w:val="4F81BD"/>
      <w:spacing w:val="15"/>
      <w:kern w:val="28"/>
      <w:sz w:val="24"/>
      <w:szCs w:val="24"/>
    </w:rPr>
  </w:style>
  <w:style w:type="paragraph" w:customStyle="1" w:styleId="Default">
    <w:name w:val="Default"/>
    <w:uiPriority w:val="99"/>
    <w:rsid w:val="00417ECD"/>
    <w:pPr>
      <w:autoSpaceDE w:val="0"/>
      <w:autoSpaceDN w:val="0"/>
      <w:adjustRightInd w:val="0"/>
    </w:pPr>
    <w:rPr>
      <w:rFonts w:ascii="Arial Narrow" w:hAnsi="Arial Narrow"/>
      <w:color w:val="000000"/>
      <w:sz w:val="24"/>
      <w:szCs w:val="24"/>
    </w:rPr>
  </w:style>
  <w:style w:type="paragraph" w:customStyle="1" w:styleId="Paragrafobase">
    <w:name w:val="[Paragrafo base]"/>
    <w:basedOn w:val="Normale"/>
    <w:uiPriority w:val="99"/>
    <w:rsid w:val="00083173"/>
    <w:pPr>
      <w:overflowPunct/>
      <w:spacing w:before="0" w:after="0" w:line="288" w:lineRule="auto"/>
      <w:textAlignment w:val="center"/>
    </w:pPr>
    <w:rPr>
      <w:rFonts w:ascii="Times-Roman" w:hAnsi="Times-Roman" w:cs="Times-Roman"/>
      <w:color w:val="000000"/>
      <w:kern w:val="0"/>
      <w:sz w:val="24"/>
      <w:szCs w:val="24"/>
    </w:rPr>
  </w:style>
  <w:style w:type="table" w:customStyle="1" w:styleId="Grigliatabella1">
    <w:name w:val="Griglia tabella1"/>
    <w:basedOn w:val="Tabellanormale"/>
    <w:next w:val="Grigliatabella"/>
    <w:uiPriority w:val="99"/>
    <w:rsid w:val="00A36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TitoGra">
    <w:name w:val="001TitoGra"/>
    <w:basedOn w:val="Normale"/>
    <w:qFormat/>
    <w:rsid w:val="00FF1163"/>
    <w:pPr>
      <w:spacing w:before="0" w:after="0" w:line="240" w:lineRule="exact"/>
    </w:pPr>
    <w:rPr>
      <w:rFonts w:ascii="Arial Narrow" w:hAnsi="Arial Narrow" w:cs="Arial"/>
      <w:b/>
      <w:color w:val="5F5F5F"/>
      <w:sz w:val="22"/>
      <w:szCs w:val="22"/>
    </w:rPr>
  </w:style>
  <w:style w:type="paragraph" w:customStyle="1" w:styleId="001TitoloBolocco">
    <w:name w:val="001TitoloBolocco"/>
    <w:basedOn w:val="Titolo1"/>
    <w:link w:val="001TitoloBoloccoCarattere"/>
    <w:qFormat/>
    <w:rsid w:val="00CC0BEA"/>
    <w:pPr>
      <w:pBdr>
        <w:bottom w:val="single" w:sz="18" w:space="1" w:color="E42618"/>
      </w:pBdr>
      <w:tabs>
        <w:tab w:val="left" w:pos="8180"/>
      </w:tabs>
      <w:spacing w:after="240" w:line="240" w:lineRule="exact"/>
    </w:pPr>
    <w:rPr>
      <w:rFonts w:ascii="Calibri" w:hAnsi="Calibri" w:cs="Arial"/>
      <w:bCs/>
      <w:caps/>
      <w:color w:val="000000"/>
      <w:sz w:val="26"/>
      <w:szCs w:val="28"/>
    </w:rPr>
  </w:style>
  <w:style w:type="character" w:customStyle="1" w:styleId="001TitoloBoloccoCarattere">
    <w:name w:val="001TitoloBolocco Carattere"/>
    <w:link w:val="001TitoloBolocco"/>
    <w:rsid w:val="00CC0BEA"/>
    <w:rPr>
      <w:rFonts w:ascii="Calibri" w:hAnsi="Calibri" w:cs="Arial"/>
      <w:b/>
      <w:bCs/>
      <w:caps/>
      <w:color w:val="000000"/>
      <w:kern w:val="32"/>
      <w:sz w:val="26"/>
      <w:szCs w:val="28"/>
    </w:rPr>
  </w:style>
  <w:style w:type="paragraph" w:customStyle="1" w:styleId="00TitoGra1">
    <w:name w:val="00TitoGra1"/>
    <w:basedOn w:val="Normale"/>
    <w:qFormat/>
    <w:rsid w:val="00050204"/>
    <w:pPr>
      <w:spacing w:before="0" w:after="0" w:line="280" w:lineRule="exact"/>
    </w:pPr>
    <w:rPr>
      <w:rFonts w:ascii="Calibri" w:hAnsi="Calibri" w:cs="Arial"/>
      <w:b/>
      <w:color w:val="2298D1"/>
      <w:sz w:val="36"/>
      <w:szCs w:val="28"/>
    </w:rPr>
  </w:style>
  <w:style w:type="character" w:customStyle="1" w:styleId="001TitoGraRed">
    <w:name w:val="001TitoGraRed"/>
    <w:uiPriority w:val="1"/>
    <w:qFormat/>
    <w:rsid w:val="00FF1163"/>
    <w:rPr>
      <w:color w:val="E31C18"/>
    </w:rPr>
  </w:style>
  <w:style w:type="paragraph" w:customStyle="1" w:styleId="001SottotitoloGra">
    <w:name w:val="001SottotitoloGra"/>
    <w:basedOn w:val="001TitoGra"/>
    <w:qFormat/>
    <w:rsid w:val="00FF1163"/>
    <w:pPr>
      <w:spacing w:after="120"/>
    </w:pPr>
    <w:rPr>
      <w:b w:val="0"/>
      <w:sz w:val="20"/>
      <w:szCs w:val="20"/>
    </w:rPr>
  </w:style>
  <w:style w:type="paragraph" w:styleId="Rientrocorpodeltesto">
    <w:name w:val="Body Text Indent"/>
    <w:basedOn w:val="Normale"/>
    <w:link w:val="RientrocorpodeltestoCarattere"/>
    <w:uiPriority w:val="99"/>
    <w:semiHidden/>
    <w:unhideWhenUsed/>
    <w:rsid w:val="00A53D09"/>
    <w:pPr>
      <w:spacing w:after="120"/>
      <w:ind w:left="283"/>
    </w:pPr>
  </w:style>
  <w:style w:type="character" w:customStyle="1" w:styleId="RientrocorpodeltestoCarattere">
    <w:name w:val="Rientro corpo del testo Carattere"/>
    <w:link w:val="Rientrocorpodeltesto"/>
    <w:uiPriority w:val="99"/>
    <w:semiHidden/>
    <w:rsid w:val="00A53D09"/>
    <w:rPr>
      <w:kern w:val="28"/>
    </w:rPr>
  </w:style>
  <w:style w:type="character" w:customStyle="1" w:styleId="st">
    <w:name w:val="st"/>
    <w:rsid w:val="00431975"/>
  </w:style>
  <w:style w:type="paragraph" w:customStyle="1" w:styleId="Elencoacolori-Colore11">
    <w:name w:val="Elenco a colori - Colore 11"/>
    <w:basedOn w:val="Normale"/>
    <w:uiPriority w:val="34"/>
    <w:qFormat/>
    <w:rsid w:val="00011C85"/>
    <w:pPr>
      <w:widowControl/>
      <w:overflowPunct/>
      <w:autoSpaceDE/>
      <w:autoSpaceDN/>
      <w:adjustRightInd/>
      <w:spacing w:before="0" w:after="0"/>
      <w:ind w:left="720"/>
      <w:contextualSpacing/>
    </w:pPr>
    <w:rPr>
      <w:rFonts w:ascii="Calibri" w:eastAsia="Calibri" w:hAnsi="Calibri"/>
      <w:kern w:val="0"/>
      <w:sz w:val="24"/>
      <w:szCs w:val="24"/>
    </w:rPr>
  </w:style>
  <w:style w:type="character" w:customStyle="1" w:styleId="Corpodeltesto2Carattere">
    <w:name w:val="Corpo del testo 2 Carattere"/>
    <w:link w:val="Corpodeltesto2"/>
    <w:uiPriority w:val="99"/>
    <w:rsid w:val="003961E3"/>
    <w:rPr>
      <w:sz w:val="24"/>
    </w:rPr>
  </w:style>
  <w:style w:type="paragraph" w:styleId="Corpodeltesto2">
    <w:name w:val="Body Text 2"/>
    <w:basedOn w:val="Normale"/>
    <w:link w:val="Corpodeltesto2Carattere"/>
    <w:uiPriority w:val="99"/>
    <w:rsid w:val="003961E3"/>
    <w:pPr>
      <w:widowControl/>
      <w:overflowPunct/>
      <w:autoSpaceDE/>
      <w:autoSpaceDN/>
      <w:adjustRightInd/>
      <w:spacing w:before="0" w:after="120" w:line="480" w:lineRule="auto"/>
    </w:pPr>
    <w:rPr>
      <w:kern w:val="0"/>
      <w:sz w:val="24"/>
    </w:rPr>
  </w:style>
  <w:style w:type="character" w:customStyle="1" w:styleId="Corpodeltesto2Carattere1">
    <w:name w:val="Corpo del testo 2 Carattere1"/>
    <w:uiPriority w:val="99"/>
    <w:semiHidden/>
    <w:rsid w:val="003961E3"/>
    <w:rPr>
      <w:kern w:val="28"/>
    </w:rPr>
  </w:style>
  <w:style w:type="character" w:customStyle="1" w:styleId="TestonotaapidipaginaCarattere1">
    <w:name w:val="Testo nota a piè di pagina Carattere1"/>
    <w:uiPriority w:val="99"/>
    <w:semiHidden/>
    <w:rsid w:val="00C14A6B"/>
    <w:rPr>
      <w:sz w:val="20"/>
    </w:rPr>
  </w:style>
  <w:style w:type="paragraph" w:customStyle="1" w:styleId="Rientrocorpodeltesto31">
    <w:name w:val="Rientro corpo del testo 31"/>
    <w:basedOn w:val="Normale"/>
    <w:uiPriority w:val="99"/>
    <w:rsid w:val="00C14A6B"/>
    <w:pPr>
      <w:widowControl/>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overflowPunct/>
      <w:autoSpaceDE/>
      <w:autoSpaceDN/>
      <w:adjustRightInd/>
      <w:spacing w:before="0" w:after="0" w:line="240" w:lineRule="exact"/>
      <w:ind w:left="-567"/>
      <w:jc w:val="both"/>
    </w:pPr>
    <w:rPr>
      <w:spacing w:val="-3"/>
      <w:kern w:val="0"/>
      <w:sz w:val="22"/>
      <w:lang w:eastAsia="ar-SA"/>
    </w:rPr>
  </w:style>
  <w:style w:type="paragraph" w:styleId="Paragrafoelenco">
    <w:name w:val="List Paragraph"/>
    <w:basedOn w:val="Normale"/>
    <w:uiPriority w:val="34"/>
    <w:qFormat/>
    <w:rsid w:val="002E15DD"/>
    <w:pPr>
      <w:ind w:left="720"/>
      <w:contextualSpacing/>
    </w:pPr>
  </w:style>
  <w:style w:type="paragraph" w:styleId="Revisione">
    <w:name w:val="Revision"/>
    <w:hidden/>
    <w:uiPriority w:val="71"/>
    <w:rsid w:val="00FF2F4C"/>
    <w:rPr>
      <w:kern w:val="28"/>
    </w:rPr>
  </w:style>
  <w:style w:type="character" w:styleId="Collegamentovisitato">
    <w:name w:val="FollowedHyperlink"/>
    <w:basedOn w:val="Carpredefinitoparagrafo"/>
    <w:uiPriority w:val="99"/>
    <w:semiHidden/>
    <w:unhideWhenUsed/>
    <w:rsid w:val="003B3E1E"/>
    <w:rPr>
      <w:color w:val="800080" w:themeColor="followedHyperlink"/>
      <w:u w:val="single"/>
    </w:rPr>
  </w:style>
  <w:style w:type="paragraph" w:styleId="Testonotadichiusura">
    <w:name w:val="endnote text"/>
    <w:basedOn w:val="Normale"/>
    <w:link w:val="TestonotadichiusuraCarattere"/>
    <w:uiPriority w:val="99"/>
    <w:semiHidden/>
    <w:unhideWhenUsed/>
    <w:rsid w:val="00F32859"/>
    <w:pPr>
      <w:spacing w:before="0" w:after="0"/>
    </w:pPr>
  </w:style>
  <w:style w:type="character" w:customStyle="1" w:styleId="TestonotadichiusuraCarattere">
    <w:name w:val="Testo nota di chiusura Carattere"/>
    <w:basedOn w:val="Carpredefinitoparagrafo"/>
    <w:link w:val="Testonotadichiusura"/>
    <w:uiPriority w:val="99"/>
    <w:semiHidden/>
    <w:rsid w:val="00F32859"/>
    <w:rPr>
      <w:kern w:val="28"/>
    </w:rPr>
  </w:style>
  <w:style w:type="character" w:styleId="Rimandonotadichiusura">
    <w:name w:val="endnote reference"/>
    <w:basedOn w:val="Carpredefinitoparagrafo"/>
    <w:uiPriority w:val="99"/>
    <w:semiHidden/>
    <w:unhideWhenUsed/>
    <w:rsid w:val="00F328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3486">
      <w:bodyDiv w:val="1"/>
      <w:marLeft w:val="0"/>
      <w:marRight w:val="0"/>
      <w:marTop w:val="0"/>
      <w:marBottom w:val="0"/>
      <w:divBdr>
        <w:top w:val="none" w:sz="0" w:space="0" w:color="auto"/>
        <w:left w:val="none" w:sz="0" w:space="0" w:color="auto"/>
        <w:bottom w:val="none" w:sz="0" w:space="0" w:color="auto"/>
        <w:right w:val="none" w:sz="0" w:space="0" w:color="auto"/>
      </w:divBdr>
    </w:div>
    <w:div w:id="4750334">
      <w:bodyDiv w:val="1"/>
      <w:marLeft w:val="0"/>
      <w:marRight w:val="0"/>
      <w:marTop w:val="0"/>
      <w:marBottom w:val="0"/>
      <w:divBdr>
        <w:top w:val="none" w:sz="0" w:space="0" w:color="auto"/>
        <w:left w:val="none" w:sz="0" w:space="0" w:color="auto"/>
        <w:bottom w:val="none" w:sz="0" w:space="0" w:color="auto"/>
        <w:right w:val="none" w:sz="0" w:space="0" w:color="auto"/>
      </w:divBdr>
    </w:div>
    <w:div w:id="6180447">
      <w:bodyDiv w:val="1"/>
      <w:marLeft w:val="0"/>
      <w:marRight w:val="0"/>
      <w:marTop w:val="0"/>
      <w:marBottom w:val="0"/>
      <w:divBdr>
        <w:top w:val="none" w:sz="0" w:space="0" w:color="auto"/>
        <w:left w:val="none" w:sz="0" w:space="0" w:color="auto"/>
        <w:bottom w:val="none" w:sz="0" w:space="0" w:color="auto"/>
        <w:right w:val="none" w:sz="0" w:space="0" w:color="auto"/>
      </w:divBdr>
    </w:div>
    <w:div w:id="12389546">
      <w:bodyDiv w:val="1"/>
      <w:marLeft w:val="0"/>
      <w:marRight w:val="0"/>
      <w:marTop w:val="0"/>
      <w:marBottom w:val="0"/>
      <w:divBdr>
        <w:top w:val="none" w:sz="0" w:space="0" w:color="auto"/>
        <w:left w:val="none" w:sz="0" w:space="0" w:color="auto"/>
        <w:bottom w:val="none" w:sz="0" w:space="0" w:color="auto"/>
        <w:right w:val="none" w:sz="0" w:space="0" w:color="auto"/>
      </w:divBdr>
    </w:div>
    <w:div w:id="29649862">
      <w:bodyDiv w:val="1"/>
      <w:marLeft w:val="0"/>
      <w:marRight w:val="0"/>
      <w:marTop w:val="0"/>
      <w:marBottom w:val="0"/>
      <w:divBdr>
        <w:top w:val="none" w:sz="0" w:space="0" w:color="auto"/>
        <w:left w:val="none" w:sz="0" w:space="0" w:color="auto"/>
        <w:bottom w:val="none" w:sz="0" w:space="0" w:color="auto"/>
        <w:right w:val="none" w:sz="0" w:space="0" w:color="auto"/>
      </w:divBdr>
    </w:div>
    <w:div w:id="69041894">
      <w:bodyDiv w:val="1"/>
      <w:marLeft w:val="0"/>
      <w:marRight w:val="0"/>
      <w:marTop w:val="0"/>
      <w:marBottom w:val="0"/>
      <w:divBdr>
        <w:top w:val="none" w:sz="0" w:space="0" w:color="auto"/>
        <w:left w:val="none" w:sz="0" w:space="0" w:color="auto"/>
        <w:bottom w:val="none" w:sz="0" w:space="0" w:color="auto"/>
        <w:right w:val="none" w:sz="0" w:space="0" w:color="auto"/>
      </w:divBdr>
    </w:div>
    <w:div w:id="72625743">
      <w:bodyDiv w:val="1"/>
      <w:marLeft w:val="0"/>
      <w:marRight w:val="0"/>
      <w:marTop w:val="0"/>
      <w:marBottom w:val="0"/>
      <w:divBdr>
        <w:top w:val="none" w:sz="0" w:space="0" w:color="auto"/>
        <w:left w:val="none" w:sz="0" w:space="0" w:color="auto"/>
        <w:bottom w:val="none" w:sz="0" w:space="0" w:color="auto"/>
        <w:right w:val="none" w:sz="0" w:space="0" w:color="auto"/>
      </w:divBdr>
    </w:div>
    <w:div w:id="111638430">
      <w:bodyDiv w:val="1"/>
      <w:marLeft w:val="0"/>
      <w:marRight w:val="0"/>
      <w:marTop w:val="0"/>
      <w:marBottom w:val="0"/>
      <w:divBdr>
        <w:top w:val="none" w:sz="0" w:space="0" w:color="auto"/>
        <w:left w:val="none" w:sz="0" w:space="0" w:color="auto"/>
        <w:bottom w:val="none" w:sz="0" w:space="0" w:color="auto"/>
        <w:right w:val="none" w:sz="0" w:space="0" w:color="auto"/>
      </w:divBdr>
    </w:div>
    <w:div w:id="190531945">
      <w:bodyDiv w:val="1"/>
      <w:marLeft w:val="0"/>
      <w:marRight w:val="0"/>
      <w:marTop w:val="0"/>
      <w:marBottom w:val="0"/>
      <w:divBdr>
        <w:top w:val="none" w:sz="0" w:space="0" w:color="auto"/>
        <w:left w:val="none" w:sz="0" w:space="0" w:color="auto"/>
        <w:bottom w:val="none" w:sz="0" w:space="0" w:color="auto"/>
        <w:right w:val="none" w:sz="0" w:space="0" w:color="auto"/>
      </w:divBdr>
    </w:div>
    <w:div w:id="191305941">
      <w:bodyDiv w:val="1"/>
      <w:marLeft w:val="0"/>
      <w:marRight w:val="0"/>
      <w:marTop w:val="0"/>
      <w:marBottom w:val="0"/>
      <w:divBdr>
        <w:top w:val="none" w:sz="0" w:space="0" w:color="auto"/>
        <w:left w:val="none" w:sz="0" w:space="0" w:color="auto"/>
        <w:bottom w:val="none" w:sz="0" w:space="0" w:color="auto"/>
        <w:right w:val="none" w:sz="0" w:space="0" w:color="auto"/>
      </w:divBdr>
    </w:div>
    <w:div w:id="193345705">
      <w:bodyDiv w:val="1"/>
      <w:marLeft w:val="0"/>
      <w:marRight w:val="0"/>
      <w:marTop w:val="0"/>
      <w:marBottom w:val="0"/>
      <w:divBdr>
        <w:top w:val="none" w:sz="0" w:space="0" w:color="auto"/>
        <w:left w:val="none" w:sz="0" w:space="0" w:color="auto"/>
        <w:bottom w:val="none" w:sz="0" w:space="0" w:color="auto"/>
        <w:right w:val="none" w:sz="0" w:space="0" w:color="auto"/>
      </w:divBdr>
    </w:div>
    <w:div w:id="217282464">
      <w:bodyDiv w:val="1"/>
      <w:marLeft w:val="0"/>
      <w:marRight w:val="0"/>
      <w:marTop w:val="0"/>
      <w:marBottom w:val="0"/>
      <w:divBdr>
        <w:top w:val="none" w:sz="0" w:space="0" w:color="auto"/>
        <w:left w:val="none" w:sz="0" w:space="0" w:color="auto"/>
        <w:bottom w:val="none" w:sz="0" w:space="0" w:color="auto"/>
        <w:right w:val="none" w:sz="0" w:space="0" w:color="auto"/>
      </w:divBdr>
    </w:div>
    <w:div w:id="224222885">
      <w:bodyDiv w:val="1"/>
      <w:marLeft w:val="0"/>
      <w:marRight w:val="0"/>
      <w:marTop w:val="0"/>
      <w:marBottom w:val="0"/>
      <w:divBdr>
        <w:top w:val="none" w:sz="0" w:space="0" w:color="auto"/>
        <w:left w:val="none" w:sz="0" w:space="0" w:color="auto"/>
        <w:bottom w:val="none" w:sz="0" w:space="0" w:color="auto"/>
        <w:right w:val="none" w:sz="0" w:space="0" w:color="auto"/>
      </w:divBdr>
    </w:div>
    <w:div w:id="237443218">
      <w:bodyDiv w:val="1"/>
      <w:marLeft w:val="0"/>
      <w:marRight w:val="0"/>
      <w:marTop w:val="0"/>
      <w:marBottom w:val="0"/>
      <w:divBdr>
        <w:top w:val="none" w:sz="0" w:space="0" w:color="auto"/>
        <w:left w:val="none" w:sz="0" w:space="0" w:color="auto"/>
        <w:bottom w:val="none" w:sz="0" w:space="0" w:color="auto"/>
        <w:right w:val="none" w:sz="0" w:space="0" w:color="auto"/>
      </w:divBdr>
    </w:div>
    <w:div w:id="244344896">
      <w:bodyDiv w:val="1"/>
      <w:marLeft w:val="0"/>
      <w:marRight w:val="0"/>
      <w:marTop w:val="0"/>
      <w:marBottom w:val="0"/>
      <w:divBdr>
        <w:top w:val="none" w:sz="0" w:space="0" w:color="auto"/>
        <w:left w:val="none" w:sz="0" w:space="0" w:color="auto"/>
        <w:bottom w:val="none" w:sz="0" w:space="0" w:color="auto"/>
        <w:right w:val="none" w:sz="0" w:space="0" w:color="auto"/>
      </w:divBdr>
    </w:div>
    <w:div w:id="253520606">
      <w:bodyDiv w:val="1"/>
      <w:marLeft w:val="0"/>
      <w:marRight w:val="0"/>
      <w:marTop w:val="0"/>
      <w:marBottom w:val="0"/>
      <w:divBdr>
        <w:top w:val="none" w:sz="0" w:space="0" w:color="auto"/>
        <w:left w:val="none" w:sz="0" w:space="0" w:color="auto"/>
        <w:bottom w:val="none" w:sz="0" w:space="0" w:color="auto"/>
        <w:right w:val="none" w:sz="0" w:space="0" w:color="auto"/>
      </w:divBdr>
    </w:div>
    <w:div w:id="309137912">
      <w:bodyDiv w:val="1"/>
      <w:marLeft w:val="0"/>
      <w:marRight w:val="0"/>
      <w:marTop w:val="0"/>
      <w:marBottom w:val="0"/>
      <w:divBdr>
        <w:top w:val="none" w:sz="0" w:space="0" w:color="auto"/>
        <w:left w:val="none" w:sz="0" w:space="0" w:color="auto"/>
        <w:bottom w:val="none" w:sz="0" w:space="0" w:color="auto"/>
        <w:right w:val="none" w:sz="0" w:space="0" w:color="auto"/>
      </w:divBdr>
    </w:div>
    <w:div w:id="353579130">
      <w:bodyDiv w:val="1"/>
      <w:marLeft w:val="0"/>
      <w:marRight w:val="0"/>
      <w:marTop w:val="0"/>
      <w:marBottom w:val="0"/>
      <w:divBdr>
        <w:top w:val="none" w:sz="0" w:space="0" w:color="auto"/>
        <w:left w:val="none" w:sz="0" w:space="0" w:color="auto"/>
        <w:bottom w:val="none" w:sz="0" w:space="0" w:color="auto"/>
        <w:right w:val="none" w:sz="0" w:space="0" w:color="auto"/>
      </w:divBdr>
    </w:div>
    <w:div w:id="368846764">
      <w:bodyDiv w:val="1"/>
      <w:marLeft w:val="0"/>
      <w:marRight w:val="0"/>
      <w:marTop w:val="0"/>
      <w:marBottom w:val="0"/>
      <w:divBdr>
        <w:top w:val="none" w:sz="0" w:space="0" w:color="auto"/>
        <w:left w:val="none" w:sz="0" w:space="0" w:color="auto"/>
        <w:bottom w:val="none" w:sz="0" w:space="0" w:color="auto"/>
        <w:right w:val="none" w:sz="0" w:space="0" w:color="auto"/>
      </w:divBdr>
    </w:div>
    <w:div w:id="402219072">
      <w:bodyDiv w:val="1"/>
      <w:marLeft w:val="0"/>
      <w:marRight w:val="0"/>
      <w:marTop w:val="0"/>
      <w:marBottom w:val="0"/>
      <w:divBdr>
        <w:top w:val="none" w:sz="0" w:space="0" w:color="auto"/>
        <w:left w:val="none" w:sz="0" w:space="0" w:color="auto"/>
        <w:bottom w:val="none" w:sz="0" w:space="0" w:color="auto"/>
        <w:right w:val="none" w:sz="0" w:space="0" w:color="auto"/>
      </w:divBdr>
    </w:div>
    <w:div w:id="402535380">
      <w:bodyDiv w:val="1"/>
      <w:marLeft w:val="0"/>
      <w:marRight w:val="0"/>
      <w:marTop w:val="0"/>
      <w:marBottom w:val="0"/>
      <w:divBdr>
        <w:top w:val="none" w:sz="0" w:space="0" w:color="auto"/>
        <w:left w:val="none" w:sz="0" w:space="0" w:color="auto"/>
        <w:bottom w:val="none" w:sz="0" w:space="0" w:color="auto"/>
        <w:right w:val="none" w:sz="0" w:space="0" w:color="auto"/>
      </w:divBdr>
    </w:div>
    <w:div w:id="474226301">
      <w:bodyDiv w:val="1"/>
      <w:marLeft w:val="0"/>
      <w:marRight w:val="0"/>
      <w:marTop w:val="0"/>
      <w:marBottom w:val="0"/>
      <w:divBdr>
        <w:top w:val="none" w:sz="0" w:space="0" w:color="auto"/>
        <w:left w:val="none" w:sz="0" w:space="0" w:color="auto"/>
        <w:bottom w:val="none" w:sz="0" w:space="0" w:color="auto"/>
        <w:right w:val="none" w:sz="0" w:space="0" w:color="auto"/>
      </w:divBdr>
    </w:div>
    <w:div w:id="498884580">
      <w:bodyDiv w:val="1"/>
      <w:marLeft w:val="0"/>
      <w:marRight w:val="0"/>
      <w:marTop w:val="0"/>
      <w:marBottom w:val="0"/>
      <w:divBdr>
        <w:top w:val="none" w:sz="0" w:space="0" w:color="auto"/>
        <w:left w:val="none" w:sz="0" w:space="0" w:color="auto"/>
        <w:bottom w:val="none" w:sz="0" w:space="0" w:color="auto"/>
        <w:right w:val="none" w:sz="0" w:space="0" w:color="auto"/>
      </w:divBdr>
    </w:div>
    <w:div w:id="521630806">
      <w:bodyDiv w:val="1"/>
      <w:marLeft w:val="0"/>
      <w:marRight w:val="0"/>
      <w:marTop w:val="0"/>
      <w:marBottom w:val="0"/>
      <w:divBdr>
        <w:top w:val="none" w:sz="0" w:space="0" w:color="auto"/>
        <w:left w:val="none" w:sz="0" w:space="0" w:color="auto"/>
        <w:bottom w:val="none" w:sz="0" w:space="0" w:color="auto"/>
        <w:right w:val="none" w:sz="0" w:space="0" w:color="auto"/>
      </w:divBdr>
    </w:div>
    <w:div w:id="530411729">
      <w:bodyDiv w:val="1"/>
      <w:marLeft w:val="0"/>
      <w:marRight w:val="0"/>
      <w:marTop w:val="0"/>
      <w:marBottom w:val="0"/>
      <w:divBdr>
        <w:top w:val="none" w:sz="0" w:space="0" w:color="auto"/>
        <w:left w:val="none" w:sz="0" w:space="0" w:color="auto"/>
        <w:bottom w:val="none" w:sz="0" w:space="0" w:color="auto"/>
        <w:right w:val="none" w:sz="0" w:space="0" w:color="auto"/>
      </w:divBdr>
    </w:div>
    <w:div w:id="533882092">
      <w:bodyDiv w:val="1"/>
      <w:marLeft w:val="0"/>
      <w:marRight w:val="0"/>
      <w:marTop w:val="0"/>
      <w:marBottom w:val="0"/>
      <w:divBdr>
        <w:top w:val="none" w:sz="0" w:space="0" w:color="auto"/>
        <w:left w:val="none" w:sz="0" w:space="0" w:color="auto"/>
        <w:bottom w:val="none" w:sz="0" w:space="0" w:color="auto"/>
        <w:right w:val="none" w:sz="0" w:space="0" w:color="auto"/>
      </w:divBdr>
    </w:div>
    <w:div w:id="546995541">
      <w:bodyDiv w:val="1"/>
      <w:marLeft w:val="0"/>
      <w:marRight w:val="0"/>
      <w:marTop w:val="0"/>
      <w:marBottom w:val="0"/>
      <w:divBdr>
        <w:top w:val="none" w:sz="0" w:space="0" w:color="auto"/>
        <w:left w:val="none" w:sz="0" w:space="0" w:color="auto"/>
        <w:bottom w:val="none" w:sz="0" w:space="0" w:color="auto"/>
        <w:right w:val="none" w:sz="0" w:space="0" w:color="auto"/>
      </w:divBdr>
    </w:div>
    <w:div w:id="588998793">
      <w:bodyDiv w:val="1"/>
      <w:marLeft w:val="0"/>
      <w:marRight w:val="0"/>
      <w:marTop w:val="0"/>
      <w:marBottom w:val="0"/>
      <w:divBdr>
        <w:top w:val="none" w:sz="0" w:space="0" w:color="auto"/>
        <w:left w:val="none" w:sz="0" w:space="0" w:color="auto"/>
        <w:bottom w:val="none" w:sz="0" w:space="0" w:color="auto"/>
        <w:right w:val="none" w:sz="0" w:space="0" w:color="auto"/>
      </w:divBdr>
    </w:div>
    <w:div w:id="613169489">
      <w:bodyDiv w:val="1"/>
      <w:marLeft w:val="0"/>
      <w:marRight w:val="0"/>
      <w:marTop w:val="0"/>
      <w:marBottom w:val="0"/>
      <w:divBdr>
        <w:top w:val="none" w:sz="0" w:space="0" w:color="auto"/>
        <w:left w:val="none" w:sz="0" w:space="0" w:color="auto"/>
        <w:bottom w:val="none" w:sz="0" w:space="0" w:color="auto"/>
        <w:right w:val="none" w:sz="0" w:space="0" w:color="auto"/>
      </w:divBdr>
    </w:div>
    <w:div w:id="622662056">
      <w:bodyDiv w:val="1"/>
      <w:marLeft w:val="0"/>
      <w:marRight w:val="0"/>
      <w:marTop w:val="0"/>
      <w:marBottom w:val="0"/>
      <w:divBdr>
        <w:top w:val="none" w:sz="0" w:space="0" w:color="auto"/>
        <w:left w:val="none" w:sz="0" w:space="0" w:color="auto"/>
        <w:bottom w:val="none" w:sz="0" w:space="0" w:color="auto"/>
        <w:right w:val="none" w:sz="0" w:space="0" w:color="auto"/>
      </w:divBdr>
    </w:div>
    <w:div w:id="631524876">
      <w:bodyDiv w:val="1"/>
      <w:marLeft w:val="0"/>
      <w:marRight w:val="0"/>
      <w:marTop w:val="0"/>
      <w:marBottom w:val="0"/>
      <w:divBdr>
        <w:top w:val="none" w:sz="0" w:space="0" w:color="auto"/>
        <w:left w:val="none" w:sz="0" w:space="0" w:color="auto"/>
        <w:bottom w:val="none" w:sz="0" w:space="0" w:color="auto"/>
        <w:right w:val="none" w:sz="0" w:space="0" w:color="auto"/>
      </w:divBdr>
    </w:div>
    <w:div w:id="636954640">
      <w:bodyDiv w:val="1"/>
      <w:marLeft w:val="0"/>
      <w:marRight w:val="0"/>
      <w:marTop w:val="0"/>
      <w:marBottom w:val="0"/>
      <w:divBdr>
        <w:top w:val="none" w:sz="0" w:space="0" w:color="auto"/>
        <w:left w:val="none" w:sz="0" w:space="0" w:color="auto"/>
        <w:bottom w:val="none" w:sz="0" w:space="0" w:color="auto"/>
        <w:right w:val="none" w:sz="0" w:space="0" w:color="auto"/>
      </w:divBdr>
    </w:div>
    <w:div w:id="646596715">
      <w:bodyDiv w:val="1"/>
      <w:marLeft w:val="0"/>
      <w:marRight w:val="0"/>
      <w:marTop w:val="0"/>
      <w:marBottom w:val="0"/>
      <w:divBdr>
        <w:top w:val="none" w:sz="0" w:space="0" w:color="auto"/>
        <w:left w:val="none" w:sz="0" w:space="0" w:color="auto"/>
        <w:bottom w:val="none" w:sz="0" w:space="0" w:color="auto"/>
        <w:right w:val="none" w:sz="0" w:space="0" w:color="auto"/>
      </w:divBdr>
    </w:div>
    <w:div w:id="669018745">
      <w:bodyDiv w:val="1"/>
      <w:marLeft w:val="0"/>
      <w:marRight w:val="0"/>
      <w:marTop w:val="0"/>
      <w:marBottom w:val="0"/>
      <w:divBdr>
        <w:top w:val="none" w:sz="0" w:space="0" w:color="auto"/>
        <w:left w:val="none" w:sz="0" w:space="0" w:color="auto"/>
        <w:bottom w:val="none" w:sz="0" w:space="0" w:color="auto"/>
        <w:right w:val="none" w:sz="0" w:space="0" w:color="auto"/>
      </w:divBdr>
    </w:div>
    <w:div w:id="679351289">
      <w:bodyDiv w:val="1"/>
      <w:marLeft w:val="0"/>
      <w:marRight w:val="0"/>
      <w:marTop w:val="0"/>
      <w:marBottom w:val="0"/>
      <w:divBdr>
        <w:top w:val="none" w:sz="0" w:space="0" w:color="auto"/>
        <w:left w:val="none" w:sz="0" w:space="0" w:color="auto"/>
        <w:bottom w:val="none" w:sz="0" w:space="0" w:color="auto"/>
        <w:right w:val="none" w:sz="0" w:space="0" w:color="auto"/>
      </w:divBdr>
    </w:div>
    <w:div w:id="703602440">
      <w:bodyDiv w:val="1"/>
      <w:marLeft w:val="0"/>
      <w:marRight w:val="0"/>
      <w:marTop w:val="0"/>
      <w:marBottom w:val="0"/>
      <w:divBdr>
        <w:top w:val="none" w:sz="0" w:space="0" w:color="auto"/>
        <w:left w:val="none" w:sz="0" w:space="0" w:color="auto"/>
        <w:bottom w:val="none" w:sz="0" w:space="0" w:color="auto"/>
        <w:right w:val="none" w:sz="0" w:space="0" w:color="auto"/>
      </w:divBdr>
    </w:div>
    <w:div w:id="709768472">
      <w:bodyDiv w:val="1"/>
      <w:marLeft w:val="0"/>
      <w:marRight w:val="0"/>
      <w:marTop w:val="0"/>
      <w:marBottom w:val="0"/>
      <w:divBdr>
        <w:top w:val="none" w:sz="0" w:space="0" w:color="auto"/>
        <w:left w:val="none" w:sz="0" w:space="0" w:color="auto"/>
        <w:bottom w:val="none" w:sz="0" w:space="0" w:color="auto"/>
        <w:right w:val="none" w:sz="0" w:space="0" w:color="auto"/>
      </w:divBdr>
    </w:div>
    <w:div w:id="727991793">
      <w:bodyDiv w:val="1"/>
      <w:marLeft w:val="0"/>
      <w:marRight w:val="0"/>
      <w:marTop w:val="0"/>
      <w:marBottom w:val="0"/>
      <w:divBdr>
        <w:top w:val="none" w:sz="0" w:space="0" w:color="auto"/>
        <w:left w:val="none" w:sz="0" w:space="0" w:color="auto"/>
        <w:bottom w:val="none" w:sz="0" w:space="0" w:color="auto"/>
        <w:right w:val="none" w:sz="0" w:space="0" w:color="auto"/>
      </w:divBdr>
    </w:div>
    <w:div w:id="738598017">
      <w:bodyDiv w:val="1"/>
      <w:marLeft w:val="0"/>
      <w:marRight w:val="0"/>
      <w:marTop w:val="0"/>
      <w:marBottom w:val="0"/>
      <w:divBdr>
        <w:top w:val="none" w:sz="0" w:space="0" w:color="auto"/>
        <w:left w:val="none" w:sz="0" w:space="0" w:color="auto"/>
        <w:bottom w:val="none" w:sz="0" w:space="0" w:color="auto"/>
        <w:right w:val="none" w:sz="0" w:space="0" w:color="auto"/>
      </w:divBdr>
    </w:div>
    <w:div w:id="760948896">
      <w:bodyDiv w:val="1"/>
      <w:marLeft w:val="0"/>
      <w:marRight w:val="0"/>
      <w:marTop w:val="0"/>
      <w:marBottom w:val="0"/>
      <w:divBdr>
        <w:top w:val="none" w:sz="0" w:space="0" w:color="auto"/>
        <w:left w:val="none" w:sz="0" w:space="0" w:color="auto"/>
        <w:bottom w:val="none" w:sz="0" w:space="0" w:color="auto"/>
        <w:right w:val="none" w:sz="0" w:space="0" w:color="auto"/>
      </w:divBdr>
    </w:div>
    <w:div w:id="772897932">
      <w:bodyDiv w:val="1"/>
      <w:marLeft w:val="0"/>
      <w:marRight w:val="0"/>
      <w:marTop w:val="0"/>
      <w:marBottom w:val="0"/>
      <w:divBdr>
        <w:top w:val="none" w:sz="0" w:space="0" w:color="auto"/>
        <w:left w:val="none" w:sz="0" w:space="0" w:color="auto"/>
        <w:bottom w:val="none" w:sz="0" w:space="0" w:color="auto"/>
        <w:right w:val="none" w:sz="0" w:space="0" w:color="auto"/>
      </w:divBdr>
    </w:div>
    <w:div w:id="777142644">
      <w:bodyDiv w:val="1"/>
      <w:marLeft w:val="0"/>
      <w:marRight w:val="0"/>
      <w:marTop w:val="0"/>
      <w:marBottom w:val="0"/>
      <w:divBdr>
        <w:top w:val="none" w:sz="0" w:space="0" w:color="auto"/>
        <w:left w:val="none" w:sz="0" w:space="0" w:color="auto"/>
        <w:bottom w:val="none" w:sz="0" w:space="0" w:color="auto"/>
        <w:right w:val="none" w:sz="0" w:space="0" w:color="auto"/>
      </w:divBdr>
    </w:div>
    <w:div w:id="789978370">
      <w:marLeft w:val="0"/>
      <w:marRight w:val="0"/>
      <w:marTop w:val="0"/>
      <w:marBottom w:val="0"/>
      <w:divBdr>
        <w:top w:val="none" w:sz="0" w:space="0" w:color="auto"/>
        <w:left w:val="none" w:sz="0" w:space="0" w:color="auto"/>
        <w:bottom w:val="none" w:sz="0" w:space="0" w:color="auto"/>
        <w:right w:val="none" w:sz="0" w:space="0" w:color="auto"/>
      </w:divBdr>
    </w:div>
    <w:div w:id="789978371">
      <w:marLeft w:val="0"/>
      <w:marRight w:val="0"/>
      <w:marTop w:val="0"/>
      <w:marBottom w:val="0"/>
      <w:divBdr>
        <w:top w:val="none" w:sz="0" w:space="0" w:color="auto"/>
        <w:left w:val="none" w:sz="0" w:space="0" w:color="auto"/>
        <w:bottom w:val="none" w:sz="0" w:space="0" w:color="auto"/>
        <w:right w:val="none" w:sz="0" w:space="0" w:color="auto"/>
      </w:divBdr>
    </w:div>
    <w:div w:id="789978372">
      <w:marLeft w:val="0"/>
      <w:marRight w:val="0"/>
      <w:marTop w:val="0"/>
      <w:marBottom w:val="0"/>
      <w:divBdr>
        <w:top w:val="none" w:sz="0" w:space="0" w:color="auto"/>
        <w:left w:val="none" w:sz="0" w:space="0" w:color="auto"/>
        <w:bottom w:val="none" w:sz="0" w:space="0" w:color="auto"/>
        <w:right w:val="none" w:sz="0" w:space="0" w:color="auto"/>
      </w:divBdr>
    </w:div>
    <w:div w:id="789978373">
      <w:marLeft w:val="0"/>
      <w:marRight w:val="0"/>
      <w:marTop w:val="0"/>
      <w:marBottom w:val="0"/>
      <w:divBdr>
        <w:top w:val="none" w:sz="0" w:space="0" w:color="auto"/>
        <w:left w:val="none" w:sz="0" w:space="0" w:color="auto"/>
        <w:bottom w:val="none" w:sz="0" w:space="0" w:color="auto"/>
        <w:right w:val="none" w:sz="0" w:space="0" w:color="auto"/>
      </w:divBdr>
    </w:div>
    <w:div w:id="789978374">
      <w:marLeft w:val="0"/>
      <w:marRight w:val="0"/>
      <w:marTop w:val="0"/>
      <w:marBottom w:val="0"/>
      <w:divBdr>
        <w:top w:val="none" w:sz="0" w:space="0" w:color="auto"/>
        <w:left w:val="none" w:sz="0" w:space="0" w:color="auto"/>
        <w:bottom w:val="none" w:sz="0" w:space="0" w:color="auto"/>
        <w:right w:val="none" w:sz="0" w:space="0" w:color="auto"/>
      </w:divBdr>
    </w:div>
    <w:div w:id="789978375">
      <w:marLeft w:val="0"/>
      <w:marRight w:val="0"/>
      <w:marTop w:val="0"/>
      <w:marBottom w:val="0"/>
      <w:divBdr>
        <w:top w:val="none" w:sz="0" w:space="0" w:color="auto"/>
        <w:left w:val="none" w:sz="0" w:space="0" w:color="auto"/>
        <w:bottom w:val="none" w:sz="0" w:space="0" w:color="auto"/>
        <w:right w:val="none" w:sz="0" w:space="0" w:color="auto"/>
      </w:divBdr>
    </w:div>
    <w:div w:id="789978376">
      <w:marLeft w:val="0"/>
      <w:marRight w:val="0"/>
      <w:marTop w:val="0"/>
      <w:marBottom w:val="0"/>
      <w:divBdr>
        <w:top w:val="none" w:sz="0" w:space="0" w:color="auto"/>
        <w:left w:val="none" w:sz="0" w:space="0" w:color="auto"/>
        <w:bottom w:val="none" w:sz="0" w:space="0" w:color="auto"/>
        <w:right w:val="none" w:sz="0" w:space="0" w:color="auto"/>
      </w:divBdr>
    </w:div>
    <w:div w:id="789978377">
      <w:marLeft w:val="0"/>
      <w:marRight w:val="0"/>
      <w:marTop w:val="0"/>
      <w:marBottom w:val="0"/>
      <w:divBdr>
        <w:top w:val="none" w:sz="0" w:space="0" w:color="auto"/>
        <w:left w:val="none" w:sz="0" w:space="0" w:color="auto"/>
        <w:bottom w:val="none" w:sz="0" w:space="0" w:color="auto"/>
        <w:right w:val="none" w:sz="0" w:space="0" w:color="auto"/>
      </w:divBdr>
    </w:div>
    <w:div w:id="789978378">
      <w:marLeft w:val="0"/>
      <w:marRight w:val="0"/>
      <w:marTop w:val="0"/>
      <w:marBottom w:val="0"/>
      <w:divBdr>
        <w:top w:val="none" w:sz="0" w:space="0" w:color="auto"/>
        <w:left w:val="none" w:sz="0" w:space="0" w:color="auto"/>
        <w:bottom w:val="none" w:sz="0" w:space="0" w:color="auto"/>
        <w:right w:val="none" w:sz="0" w:space="0" w:color="auto"/>
      </w:divBdr>
    </w:div>
    <w:div w:id="789978379">
      <w:marLeft w:val="0"/>
      <w:marRight w:val="0"/>
      <w:marTop w:val="0"/>
      <w:marBottom w:val="0"/>
      <w:divBdr>
        <w:top w:val="none" w:sz="0" w:space="0" w:color="auto"/>
        <w:left w:val="none" w:sz="0" w:space="0" w:color="auto"/>
        <w:bottom w:val="none" w:sz="0" w:space="0" w:color="auto"/>
        <w:right w:val="none" w:sz="0" w:space="0" w:color="auto"/>
      </w:divBdr>
    </w:div>
    <w:div w:id="789978380">
      <w:marLeft w:val="0"/>
      <w:marRight w:val="0"/>
      <w:marTop w:val="0"/>
      <w:marBottom w:val="0"/>
      <w:divBdr>
        <w:top w:val="none" w:sz="0" w:space="0" w:color="auto"/>
        <w:left w:val="none" w:sz="0" w:space="0" w:color="auto"/>
        <w:bottom w:val="none" w:sz="0" w:space="0" w:color="auto"/>
        <w:right w:val="none" w:sz="0" w:space="0" w:color="auto"/>
      </w:divBdr>
    </w:div>
    <w:div w:id="789978381">
      <w:marLeft w:val="0"/>
      <w:marRight w:val="0"/>
      <w:marTop w:val="0"/>
      <w:marBottom w:val="0"/>
      <w:divBdr>
        <w:top w:val="none" w:sz="0" w:space="0" w:color="auto"/>
        <w:left w:val="none" w:sz="0" w:space="0" w:color="auto"/>
        <w:bottom w:val="none" w:sz="0" w:space="0" w:color="auto"/>
        <w:right w:val="none" w:sz="0" w:space="0" w:color="auto"/>
      </w:divBdr>
    </w:div>
    <w:div w:id="789978382">
      <w:marLeft w:val="0"/>
      <w:marRight w:val="0"/>
      <w:marTop w:val="0"/>
      <w:marBottom w:val="0"/>
      <w:divBdr>
        <w:top w:val="none" w:sz="0" w:space="0" w:color="auto"/>
        <w:left w:val="none" w:sz="0" w:space="0" w:color="auto"/>
        <w:bottom w:val="none" w:sz="0" w:space="0" w:color="auto"/>
        <w:right w:val="none" w:sz="0" w:space="0" w:color="auto"/>
      </w:divBdr>
    </w:div>
    <w:div w:id="789978383">
      <w:marLeft w:val="0"/>
      <w:marRight w:val="0"/>
      <w:marTop w:val="0"/>
      <w:marBottom w:val="0"/>
      <w:divBdr>
        <w:top w:val="none" w:sz="0" w:space="0" w:color="auto"/>
        <w:left w:val="none" w:sz="0" w:space="0" w:color="auto"/>
        <w:bottom w:val="none" w:sz="0" w:space="0" w:color="auto"/>
        <w:right w:val="none" w:sz="0" w:space="0" w:color="auto"/>
      </w:divBdr>
    </w:div>
    <w:div w:id="789978384">
      <w:marLeft w:val="0"/>
      <w:marRight w:val="0"/>
      <w:marTop w:val="0"/>
      <w:marBottom w:val="0"/>
      <w:divBdr>
        <w:top w:val="none" w:sz="0" w:space="0" w:color="auto"/>
        <w:left w:val="none" w:sz="0" w:space="0" w:color="auto"/>
        <w:bottom w:val="none" w:sz="0" w:space="0" w:color="auto"/>
        <w:right w:val="none" w:sz="0" w:space="0" w:color="auto"/>
      </w:divBdr>
    </w:div>
    <w:div w:id="789978385">
      <w:marLeft w:val="0"/>
      <w:marRight w:val="0"/>
      <w:marTop w:val="0"/>
      <w:marBottom w:val="0"/>
      <w:divBdr>
        <w:top w:val="none" w:sz="0" w:space="0" w:color="auto"/>
        <w:left w:val="none" w:sz="0" w:space="0" w:color="auto"/>
        <w:bottom w:val="none" w:sz="0" w:space="0" w:color="auto"/>
        <w:right w:val="none" w:sz="0" w:space="0" w:color="auto"/>
      </w:divBdr>
    </w:div>
    <w:div w:id="789978386">
      <w:marLeft w:val="0"/>
      <w:marRight w:val="0"/>
      <w:marTop w:val="0"/>
      <w:marBottom w:val="0"/>
      <w:divBdr>
        <w:top w:val="none" w:sz="0" w:space="0" w:color="auto"/>
        <w:left w:val="none" w:sz="0" w:space="0" w:color="auto"/>
        <w:bottom w:val="none" w:sz="0" w:space="0" w:color="auto"/>
        <w:right w:val="none" w:sz="0" w:space="0" w:color="auto"/>
      </w:divBdr>
    </w:div>
    <w:div w:id="789978387">
      <w:marLeft w:val="0"/>
      <w:marRight w:val="0"/>
      <w:marTop w:val="0"/>
      <w:marBottom w:val="0"/>
      <w:divBdr>
        <w:top w:val="none" w:sz="0" w:space="0" w:color="auto"/>
        <w:left w:val="none" w:sz="0" w:space="0" w:color="auto"/>
        <w:bottom w:val="none" w:sz="0" w:space="0" w:color="auto"/>
        <w:right w:val="none" w:sz="0" w:space="0" w:color="auto"/>
      </w:divBdr>
    </w:div>
    <w:div w:id="789978388">
      <w:marLeft w:val="0"/>
      <w:marRight w:val="0"/>
      <w:marTop w:val="0"/>
      <w:marBottom w:val="0"/>
      <w:divBdr>
        <w:top w:val="none" w:sz="0" w:space="0" w:color="auto"/>
        <w:left w:val="none" w:sz="0" w:space="0" w:color="auto"/>
        <w:bottom w:val="none" w:sz="0" w:space="0" w:color="auto"/>
        <w:right w:val="none" w:sz="0" w:space="0" w:color="auto"/>
      </w:divBdr>
    </w:div>
    <w:div w:id="789978389">
      <w:marLeft w:val="0"/>
      <w:marRight w:val="0"/>
      <w:marTop w:val="0"/>
      <w:marBottom w:val="0"/>
      <w:divBdr>
        <w:top w:val="none" w:sz="0" w:space="0" w:color="auto"/>
        <w:left w:val="none" w:sz="0" w:space="0" w:color="auto"/>
        <w:bottom w:val="none" w:sz="0" w:space="0" w:color="auto"/>
        <w:right w:val="none" w:sz="0" w:space="0" w:color="auto"/>
      </w:divBdr>
    </w:div>
    <w:div w:id="789978390">
      <w:marLeft w:val="0"/>
      <w:marRight w:val="0"/>
      <w:marTop w:val="0"/>
      <w:marBottom w:val="0"/>
      <w:divBdr>
        <w:top w:val="none" w:sz="0" w:space="0" w:color="auto"/>
        <w:left w:val="none" w:sz="0" w:space="0" w:color="auto"/>
        <w:bottom w:val="none" w:sz="0" w:space="0" w:color="auto"/>
        <w:right w:val="none" w:sz="0" w:space="0" w:color="auto"/>
      </w:divBdr>
    </w:div>
    <w:div w:id="789978391">
      <w:marLeft w:val="0"/>
      <w:marRight w:val="0"/>
      <w:marTop w:val="0"/>
      <w:marBottom w:val="0"/>
      <w:divBdr>
        <w:top w:val="none" w:sz="0" w:space="0" w:color="auto"/>
        <w:left w:val="none" w:sz="0" w:space="0" w:color="auto"/>
        <w:bottom w:val="none" w:sz="0" w:space="0" w:color="auto"/>
        <w:right w:val="none" w:sz="0" w:space="0" w:color="auto"/>
      </w:divBdr>
    </w:div>
    <w:div w:id="789978392">
      <w:marLeft w:val="0"/>
      <w:marRight w:val="0"/>
      <w:marTop w:val="0"/>
      <w:marBottom w:val="0"/>
      <w:divBdr>
        <w:top w:val="none" w:sz="0" w:space="0" w:color="auto"/>
        <w:left w:val="none" w:sz="0" w:space="0" w:color="auto"/>
        <w:bottom w:val="none" w:sz="0" w:space="0" w:color="auto"/>
        <w:right w:val="none" w:sz="0" w:space="0" w:color="auto"/>
      </w:divBdr>
    </w:div>
    <w:div w:id="789978393">
      <w:marLeft w:val="0"/>
      <w:marRight w:val="0"/>
      <w:marTop w:val="0"/>
      <w:marBottom w:val="0"/>
      <w:divBdr>
        <w:top w:val="none" w:sz="0" w:space="0" w:color="auto"/>
        <w:left w:val="none" w:sz="0" w:space="0" w:color="auto"/>
        <w:bottom w:val="none" w:sz="0" w:space="0" w:color="auto"/>
        <w:right w:val="none" w:sz="0" w:space="0" w:color="auto"/>
      </w:divBdr>
    </w:div>
    <w:div w:id="789978394">
      <w:marLeft w:val="0"/>
      <w:marRight w:val="0"/>
      <w:marTop w:val="0"/>
      <w:marBottom w:val="0"/>
      <w:divBdr>
        <w:top w:val="none" w:sz="0" w:space="0" w:color="auto"/>
        <w:left w:val="none" w:sz="0" w:space="0" w:color="auto"/>
        <w:bottom w:val="none" w:sz="0" w:space="0" w:color="auto"/>
        <w:right w:val="none" w:sz="0" w:space="0" w:color="auto"/>
      </w:divBdr>
    </w:div>
    <w:div w:id="789978395">
      <w:marLeft w:val="0"/>
      <w:marRight w:val="0"/>
      <w:marTop w:val="0"/>
      <w:marBottom w:val="0"/>
      <w:divBdr>
        <w:top w:val="none" w:sz="0" w:space="0" w:color="auto"/>
        <w:left w:val="none" w:sz="0" w:space="0" w:color="auto"/>
        <w:bottom w:val="none" w:sz="0" w:space="0" w:color="auto"/>
        <w:right w:val="none" w:sz="0" w:space="0" w:color="auto"/>
      </w:divBdr>
    </w:div>
    <w:div w:id="789978396">
      <w:marLeft w:val="0"/>
      <w:marRight w:val="0"/>
      <w:marTop w:val="0"/>
      <w:marBottom w:val="0"/>
      <w:divBdr>
        <w:top w:val="none" w:sz="0" w:space="0" w:color="auto"/>
        <w:left w:val="none" w:sz="0" w:space="0" w:color="auto"/>
        <w:bottom w:val="none" w:sz="0" w:space="0" w:color="auto"/>
        <w:right w:val="none" w:sz="0" w:space="0" w:color="auto"/>
      </w:divBdr>
    </w:div>
    <w:div w:id="789978397">
      <w:marLeft w:val="0"/>
      <w:marRight w:val="0"/>
      <w:marTop w:val="0"/>
      <w:marBottom w:val="0"/>
      <w:divBdr>
        <w:top w:val="none" w:sz="0" w:space="0" w:color="auto"/>
        <w:left w:val="none" w:sz="0" w:space="0" w:color="auto"/>
        <w:bottom w:val="none" w:sz="0" w:space="0" w:color="auto"/>
        <w:right w:val="none" w:sz="0" w:space="0" w:color="auto"/>
      </w:divBdr>
    </w:div>
    <w:div w:id="789978398">
      <w:marLeft w:val="0"/>
      <w:marRight w:val="0"/>
      <w:marTop w:val="0"/>
      <w:marBottom w:val="0"/>
      <w:divBdr>
        <w:top w:val="none" w:sz="0" w:space="0" w:color="auto"/>
        <w:left w:val="none" w:sz="0" w:space="0" w:color="auto"/>
        <w:bottom w:val="none" w:sz="0" w:space="0" w:color="auto"/>
        <w:right w:val="none" w:sz="0" w:space="0" w:color="auto"/>
      </w:divBdr>
    </w:div>
    <w:div w:id="789978399">
      <w:marLeft w:val="0"/>
      <w:marRight w:val="0"/>
      <w:marTop w:val="0"/>
      <w:marBottom w:val="0"/>
      <w:divBdr>
        <w:top w:val="none" w:sz="0" w:space="0" w:color="auto"/>
        <w:left w:val="none" w:sz="0" w:space="0" w:color="auto"/>
        <w:bottom w:val="none" w:sz="0" w:space="0" w:color="auto"/>
        <w:right w:val="none" w:sz="0" w:space="0" w:color="auto"/>
      </w:divBdr>
    </w:div>
    <w:div w:id="789978400">
      <w:marLeft w:val="0"/>
      <w:marRight w:val="0"/>
      <w:marTop w:val="0"/>
      <w:marBottom w:val="0"/>
      <w:divBdr>
        <w:top w:val="none" w:sz="0" w:space="0" w:color="auto"/>
        <w:left w:val="none" w:sz="0" w:space="0" w:color="auto"/>
        <w:bottom w:val="none" w:sz="0" w:space="0" w:color="auto"/>
        <w:right w:val="none" w:sz="0" w:space="0" w:color="auto"/>
      </w:divBdr>
    </w:div>
    <w:div w:id="789978401">
      <w:marLeft w:val="0"/>
      <w:marRight w:val="0"/>
      <w:marTop w:val="0"/>
      <w:marBottom w:val="0"/>
      <w:divBdr>
        <w:top w:val="none" w:sz="0" w:space="0" w:color="auto"/>
        <w:left w:val="none" w:sz="0" w:space="0" w:color="auto"/>
        <w:bottom w:val="none" w:sz="0" w:space="0" w:color="auto"/>
        <w:right w:val="none" w:sz="0" w:space="0" w:color="auto"/>
      </w:divBdr>
    </w:div>
    <w:div w:id="789978402">
      <w:marLeft w:val="0"/>
      <w:marRight w:val="0"/>
      <w:marTop w:val="0"/>
      <w:marBottom w:val="0"/>
      <w:divBdr>
        <w:top w:val="none" w:sz="0" w:space="0" w:color="auto"/>
        <w:left w:val="none" w:sz="0" w:space="0" w:color="auto"/>
        <w:bottom w:val="none" w:sz="0" w:space="0" w:color="auto"/>
        <w:right w:val="none" w:sz="0" w:space="0" w:color="auto"/>
      </w:divBdr>
    </w:div>
    <w:div w:id="789978403">
      <w:marLeft w:val="0"/>
      <w:marRight w:val="0"/>
      <w:marTop w:val="0"/>
      <w:marBottom w:val="0"/>
      <w:divBdr>
        <w:top w:val="none" w:sz="0" w:space="0" w:color="auto"/>
        <w:left w:val="none" w:sz="0" w:space="0" w:color="auto"/>
        <w:bottom w:val="none" w:sz="0" w:space="0" w:color="auto"/>
        <w:right w:val="none" w:sz="0" w:space="0" w:color="auto"/>
      </w:divBdr>
    </w:div>
    <w:div w:id="789978404">
      <w:marLeft w:val="0"/>
      <w:marRight w:val="0"/>
      <w:marTop w:val="0"/>
      <w:marBottom w:val="0"/>
      <w:divBdr>
        <w:top w:val="none" w:sz="0" w:space="0" w:color="auto"/>
        <w:left w:val="none" w:sz="0" w:space="0" w:color="auto"/>
        <w:bottom w:val="none" w:sz="0" w:space="0" w:color="auto"/>
        <w:right w:val="none" w:sz="0" w:space="0" w:color="auto"/>
      </w:divBdr>
    </w:div>
    <w:div w:id="789978405">
      <w:marLeft w:val="0"/>
      <w:marRight w:val="0"/>
      <w:marTop w:val="0"/>
      <w:marBottom w:val="0"/>
      <w:divBdr>
        <w:top w:val="none" w:sz="0" w:space="0" w:color="auto"/>
        <w:left w:val="none" w:sz="0" w:space="0" w:color="auto"/>
        <w:bottom w:val="none" w:sz="0" w:space="0" w:color="auto"/>
        <w:right w:val="none" w:sz="0" w:space="0" w:color="auto"/>
      </w:divBdr>
    </w:div>
    <w:div w:id="789978406">
      <w:marLeft w:val="0"/>
      <w:marRight w:val="0"/>
      <w:marTop w:val="0"/>
      <w:marBottom w:val="0"/>
      <w:divBdr>
        <w:top w:val="none" w:sz="0" w:space="0" w:color="auto"/>
        <w:left w:val="none" w:sz="0" w:space="0" w:color="auto"/>
        <w:bottom w:val="none" w:sz="0" w:space="0" w:color="auto"/>
        <w:right w:val="none" w:sz="0" w:space="0" w:color="auto"/>
      </w:divBdr>
    </w:div>
    <w:div w:id="789978407">
      <w:marLeft w:val="0"/>
      <w:marRight w:val="0"/>
      <w:marTop w:val="0"/>
      <w:marBottom w:val="0"/>
      <w:divBdr>
        <w:top w:val="none" w:sz="0" w:space="0" w:color="auto"/>
        <w:left w:val="none" w:sz="0" w:space="0" w:color="auto"/>
        <w:bottom w:val="none" w:sz="0" w:space="0" w:color="auto"/>
        <w:right w:val="none" w:sz="0" w:space="0" w:color="auto"/>
      </w:divBdr>
    </w:div>
    <w:div w:id="789978408">
      <w:marLeft w:val="0"/>
      <w:marRight w:val="0"/>
      <w:marTop w:val="0"/>
      <w:marBottom w:val="0"/>
      <w:divBdr>
        <w:top w:val="none" w:sz="0" w:space="0" w:color="auto"/>
        <w:left w:val="none" w:sz="0" w:space="0" w:color="auto"/>
        <w:bottom w:val="none" w:sz="0" w:space="0" w:color="auto"/>
        <w:right w:val="none" w:sz="0" w:space="0" w:color="auto"/>
      </w:divBdr>
    </w:div>
    <w:div w:id="789978409">
      <w:marLeft w:val="0"/>
      <w:marRight w:val="0"/>
      <w:marTop w:val="0"/>
      <w:marBottom w:val="0"/>
      <w:divBdr>
        <w:top w:val="none" w:sz="0" w:space="0" w:color="auto"/>
        <w:left w:val="none" w:sz="0" w:space="0" w:color="auto"/>
        <w:bottom w:val="none" w:sz="0" w:space="0" w:color="auto"/>
        <w:right w:val="none" w:sz="0" w:space="0" w:color="auto"/>
      </w:divBdr>
    </w:div>
    <w:div w:id="789978410">
      <w:marLeft w:val="0"/>
      <w:marRight w:val="0"/>
      <w:marTop w:val="0"/>
      <w:marBottom w:val="0"/>
      <w:divBdr>
        <w:top w:val="none" w:sz="0" w:space="0" w:color="auto"/>
        <w:left w:val="none" w:sz="0" w:space="0" w:color="auto"/>
        <w:bottom w:val="none" w:sz="0" w:space="0" w:color="auto"/>
        <w:right w:val="none" w:sz="0" w:space="0" w:color="auto"/>
      </w:divBdr>
    </w:div>
    <w:div w:id="789978411">
      <w:marLeft w:val="0"/>
      <w:marRight w:val="0"/>
      <w:marTop w:val="0"/>
      <w:marBottom w:val="0"/>
      <w:divBdr>
        <w:top w:val="none" w:sz="0" w:space="0" w:color="auto"/>
        <w:left w:val="none" w:sz="0" w:space="0" w:color="auto"/>
        <w:bottom w:val="none" w:sz="0" w:space="0" w:color="auto"/>
        <w:right w:val="none" w:sz="0" w:space="0" w:color="auto"/>
      </w:divBdr>
    </w:div>
    <w:div w:id="789978412">
      <w:marLeft w:val="0"/>
      <w:marRight w:val="0"/>
      <w:marTop w:val="0"/>
      <w:marBottom w:val="0"/>
      <w:divBdr>
        <w:top w:val="none" w:sz="0" w:space="0" w:color="auto"/>
        <w:left w:val="none" w:sz="0" w:space="0" w:color="auto"/>
        <w:bottom w:val="none" w:sz="0" w:space="0" w:color="auto"/>
        <w:right w:val="none" w:sz="0" w:space="0" w:color="auto"/>
      </w:divBdr>
    </w:div>
    <w:div w:id="789978413">
      <w:marLeft w:val="0"/>
      <w:marRight w:val="0"/>
      <w:marTop w:val="0"/>
      <w:marBottom w:val="0"/>
      <w:divBdr>
        <w:top w:val="none" w:sz="0" w:space="0" w:color="auto"/>
        <w:left w:val="none" w:sz="0" w:space="0" w:color="auto"/>
        <w:bottom w:val="none" w:sz="0" w:space="0" w:color="auto"/>
        <w:right w:val="none" w:sz="0" w:space="0" w:color="auto"/>
      </w:divBdr>
    </w:div>
    <w:div w:id="789978414">
      <w:marLeft w:val="0"/>
      <w:marRight w:val="0"/>
      <w:marTop w:val="0"/>
      <w:marBottom w:val="0"/>
      <w:divBdr>
        <w:top w:val="none" w:sz="0" w:space="0" w:color="auto"/>
        <w:left w:val="none" w:sz="0" w:space="0" w:color="auto"/>
        <w:bottom w:val="none" w:sz="0" w:space="0" w:color="auto"/>
        <w:right w:val="none" w:sz="0" w:space="0" w:color="auto"/>
      </w:divBdr>
    </w:div>
    <w:div w:id="789978415">
      <w:marLeft w:val="0"/>
      <w:marRight w:val="0"/>
      <w:marTop w:val="0"/>
      <w:marBottom w:val="0"/>
      <w:divBdr>
        <w:top w:val="none" w:sz="0" w:space="0" w:color="auto"/>
        <w:left w:val="none" w:sz="0" w:space="0" w:color="auto"/>
        <w:bottom w:val="none" w:sz="0" w:space="0" w:color="auto"/>
        <w:right w:val="none" w:sz="0" w:space="0" w:color="auto"/>
      </w:divBdr>
    </w:div>
    <w:div w:id="789978416">
      <w:marLeft w:val="0"/>
      <w:marRight w:val="0"/>
      <w:marTop w:val="0"/>
      <w:marBottom w:val="0"/>
      <w:divBdr>
        <w:top w:val="none" w:sz="0" w:space="0" w:color="auto"/>
        <w:left w:val="none" w:sz="0" w:space="0" w:color="auto"/>
        <w:bottom w:val="none" w:sz="0" w:space="0" w:color="auto"/>
        <w:right w:val="none" w:sz="0" w:space="0" w:color="auto"/>
      </w:divBdr>
    </w:div>
    <w:div w:id="789978417">
      <w:marLeft w:val="0"/>
      <w:marRight w:val="0"/>
      <w:marTop w:val="0"/>
      <w:marBottom w:val="0"/>
      <w:divBdr>
        <w:top w:val="none" w:sz="0" w:space="0" w:color="auto"/>
        <w:left w:val="none" w:sz="0" w:space="0" w:color="auto"/>
        <w:bottom w:val="none" w:sz="0" w:space="0" w:color="auto"/>
        <w:right w:val="none" w:sz="0" w:space="0" w:color="auto"/>
      </w:divBdr>
    </w:div>
    <w:div w:id="789978418">
      <w:marLeft w:val="0"/>
      <w:marRight w:val="0"/>
      <w:marTop w:val="0"/>
      <w:marBottom w:val="0"/>
      <w:divBdr>
        <w:top w:val="none" w:sz="0" w:space="0" w:color="auto"/>
        <w:left w:val="none" w:sz="0" w:space="0" w:color="auto"/>
        <w:bottom w:val="none" w:sz="0" w:space="0" w:color="auto"/>
        <w:right w:val="none" w:sz="0" w:space="0" w:color="auto"/>
      </w:divBdr>
    </w:div>
    <w:div w:id="789978419">
      <w:marLeft w:val="0"/>
      <w:marRight w:val="0"/>
      <w:marTop w:val="0"/>
      <w:marBottom w:val="0"/>
      <w:divBdr>
        <w:top w:val="none" w:sz="0" w:space="0" w:color="auto"/>
        <w:left w:val="none" w:sz="0" w:space="0" w:color="auto"/>
        <w:bottom w:val="none" w:sz="0" w:space="0" w:color="auto"/>
        <w:right w:val="none" w:sz="0" w:space="0" w:color="auto"/>
      </w:divBdr>
    </w:div>
    <w:div w:id="789978420">
      <w:marLeft w:val="0"/>
      <w:marRight w:val="0"/>
      <w:marTop w:val="0"/>
      <w:marBottom w:val="0"/>
      <w:divBdr>
        <w:top w:val="none" w:sz="0" w:space="0" w:color="auto"/>
        <w:left w:val="none" w:sz="0" w:space="0" w:color="auto"/>
        <w:bottom w:val="none" w:sz="0" w:space="0" w:color="auto"/>
        <w:right w:val="none" w:sz="0" w:space="0" w:color="auto"/>
      </w:divBdr>
    </w:div>
    <w:div w:id="789978421">
      <w:marLeft w:val="0"/>
      <w:marRight w:val="0"/>
      <w:marTop w:val="0"/>
      <w:marBottom w:val="0"/>
      <w:divBdr>
        <w:top w:val="none" w:sz="0" w:space="0" w:color="auto"/>
        <w:left w:val="none" w:sz="0" w:space="0" w:color="auto"/>
        <w:bottom w:val="none" w:sz="0" w:space="0" w:color="auto"/>
        <w:right w:val="none" w:sz="0" w:space="0" w:color="auto"/>
      </w:divBdr>
    </w:div>
    <w:div w:id="789978422">
      <w:marLeft w:val="0"/>
      <w:marRight w:val="0"/>
      <w:marTop w:val="0"/>
      <w:marBottom w:val="0"/>
      <w:divBdr>
        <w:top w:val="none" w:sz="0" w:space="0" w:color="auto"/>
        <w:left w:val="none" w:sz="0" w:space="0" w:color="auto"/>
        <w:bottom w:val="none" w:sz="0" w:space="0" w:color="auto"/>
        <w:right w:val="none" w:sz="0" w:space="0" w:color="auto"/>
      </w:divBdr>
    </w:div>
    <w:div w:id="789978423">
      <w:marLeft w:val="0"/>
      <w:marRight w:val="0"/>
      <w:marTop w:val="0"/>
      <w:marBottom w:val="0"/>
      <w:divBdr>
        <w:top w:val="none" w:sz="0" w:space="0" w:color="auto"/>
        <w:left w:val="none" w:sz="0" w:space="0" w:color="auto"/>
        <w:bottom w:val="none" w:sz="0" w:space="0" w:color="auto"/>
        <w:right w:val="none" w:sz="0" w:space="0" w:color="auto"/>
      </w:divBdr>
    </w:div>
    <w:div w:id="789978424">
      <w:marLeft w:val="0"/>
      <w:marRight w:val="0"/>
      <w:marTop w:val="0"/>
      <w:marBottom w:val="0"/>
      <w:divBdr>
        <w:top w:val="none" w:sz="0" w:space="0" w:color="auto"/>
        <w:left w:val="none" w:sz="0" w:space="0" w:color="auto"/>
        <w:bottom w:val="none" w:sz="0" w:space="0" w:color="auto"/>
        <w:right w:val="none" w:sz="0" w:space="0" w:color="auto"/>
      </w:divBdr>
    </w:div>
    <w:div w:id="789978425">
      <w:marLeft w:val="0"/>
      <w:marRight w:val="0"/>
      <w:marTop w:val="0"/>
      <w:marBottom w:val="0"/>
      <w:divBdr>
        <w:top w:val="none" w:sz="0" w:space="0" w:color="auto"/>
        <w:left w:val="none" w:sz="0" w:space="0" w:color="auto"/>
        <w:bottom w:val="none" w:sz="0" w:space="0" w:color="auto"/>
        <w:right w:val="none" w:sz="0" w:space="0" w:color="auto"/>
      </w:divBdr>
    </w:div>
    <w:div w:id="789978426">
      <w:marLeft w:val="0"/>
      <w:marRight w:val="0"/>
      <w:marTop w:val="0"/>
      <w:marBottom w:val="0"/>
      <w:divBdr>
        <w:top w:val="none" w:sz="0" w:space="0" w:color="auto"/>
        <w:left w:val="none" w:sz="0" w:space="0" w:color="auto"/>
        <w:bottom w:val="none" w:sz="0" w:space="0" w:color="auto"/>
        <w:right w:val="none" w:sz="0" w:space="0" w:color="auto"/>
      </w:divBdr>
    </w:div>
    <w:div w:id="789978427">
      <w:marLeft w:val="0"/>
      <w:marRight w:val="0"/>
      <w:marTop w:val="0"/>
      <w:marBottom w:val="0"/>
      <w:divBdr>
        <w:top w:val="none" w:sz="0" w:space="0" w:color="auto"/>
        <w:left w:val="none" w:sz="0" w:space="0" w:color="auto"/>
        <w:bottom w:val="none" w:sz="0" w:space="0" w:color="auto"/>
        <w:right w:val="none" w:sz="0" w:space="0" w:color="auto"/>
      </w:divBdr>
    </w:div>
    <w:div w:id="789978428">
      <w:marLeft w:val="0"/>
      <w:marRight w:val="0"/>
      <w:marTop w:val="0"/>
      <w:marBottom w:val="0"/>
      <w:divBdr>
        <w:top w:val="none" w:sz="0" w:space="0" w:color="auto"/>
        <w:left w:val="none" w:sz="0" w:space="0" w:color="auto"/>
        <w:bottom w:val="none" w:sz="0" w:space="0" w:color="auto"/>
        <w:right w:val="none" w:sz="0" w:space="0" w:color="auto"/>
      </w:divBdr>
    </w:div>
    <w:div w:id="789978429">
      <w:marLeft w:val="0"/>
      <w:marRight w:val="0"/>
      <w:marTop w:val="0"/>
      <w:marBottom w:val="0"/>
      <w:divBdr>
        <w:top w:val="none" w:sz="0" w:space="0" w:color="auto"/>
        <w:left w:val="none" w:sz="0" w:space="0" w:color="auto"/>
        <w:bottom w:val="none" w:sz="0" w:space="0" w:color="auto"/>
        <w:right w:val="none" w:sz="0" w:space="0" w:color="auto"/>
      </w:divBdr>
    </w:div>
    <w:div w:id="789978430">
      <w:marLeft w:val="0"/>
      <w:marRight w:val="0"/>
      <w:marTop w:val="0"/>
      <w:marBottom w:val="0"/>
      <w:divBdr>
        <w:top w:val="none" w:sz="0" w:space="0" w:color="auto"/>
        <w:left w:val="none" w:sz="0" w:space="0" w:color="auto"/>
        <w:bottom w:val="none" w:sz="0" w:space="0" w:color="auto"/>
        <w:right w:val="none" w:sz="0" w:space="0" w:color="auto"/>
      </w:divBdr>
    </w:div>
    <w:div w:id="789978431">
      <w:marLeft w:val="0"/>
      <w:marRight w:val="0"/>
      <w:marTop w:val="0"/>
      <w:marBottom w:val="0"/>
      <w:divBdr>
        <w:top w:val="none" w:sz="0" w:space="0" w:color="auto"/>
        <w:left w:val="none" w:sz="0" w:space="0" w:color="auto"/>
        <w:bottom w:val="none" w:sz="0" w:space="0" w:color="auto"/>
        <w:right w:val="none" w:sz="0" w:space="0" w:color="auto"/>
      </w:divBdr>
    </w:div>
    <w:div w:id="789978432">
      <w:marLeft w:val="0"/>
      <w:marRight w:val="0"/>
      <w:marTop w:val="0"/>
      <w:marBottom w:val="0"/>
      <w:divBdr>
        <w:top w:val="none" w:sz="0" w:space="0" w:color="auto"/>
        <w:left w:val="none" w:sz="0" w:space="0" w:color="auto"/>
        <w:bottom w:val="none" w:sz="0" w:space="0" w:color="auto"/>
        <w:right w:val="none" w:sz="0" w:space="0" w:color="auto"/>
      </w:divBdr>
    </w:div>
    <w:div w:id="789978433">
      <w:marLeft w:val="0"/>
      <w:marRight w:val="0"/>
      <w:marTop w:val="0"/>
      <w:marBottom w:val="0"/>
      <w:divBdr>
        <w:top w:val="none" w:sz="0" w:space="0" w:color="auto"/>
        <w:left w:val="none" w:sz="0" w:space="0" w:color="auto"/>
        <w:bottom w:val="none" w:sz="0" w:space="0" w:color="auto"/>
        <w:right w:val="none" w:sz="0" w:space="0" w:color="auto"/>
      </w:divBdr>
    </w:div>
    <w:div w:id="789978434">
      <w:marLeft w:val="0"/>
      <w:marRight w:val="0"/>
      <w:marTop w:val="0"/>
      <w:marBottom w:val="0"/>
      <w:divBdr>
        <w:top w:val="none" w:sz="0" w:space="0" w:color="auto"/>
        <w:left w:val="none" w:sz="0" w:space="0" w:color="auto"/>
        <w:bottom w:val="none" w:sz="0" w:space="0" w:color="auto"/>
        <w:right w:val="none" w:sz="0" w:space="0" w:color="auto"/>
      </w:divBdr>
    </w:div>
    <w:div w:id="789978435">
      <w:marLeft w:val="0"/>
      <w:marRight w:val="0"/>
      <w:marTop w:val="0"/>
      <w:marBottom w:val="0"/>
      <w:divBdr>
        <w:top w:val="none" w:sz="0" w:space="0" w:color="auto"/>
        <w:left w:val="none" w:sz="0" w:space="0" w:color="auto"/>
        <w:bottom w:val="none" w:sz="0" w:space="0" w:color="auto"/>
        <w:right w:val="none" w:sz="0" w:space="0" w:color="auto"/>
      </w:divBdr>
    </w:div>
    <w:div w:id="789978436">
      <w:marLeft w:val="0"/>
      <w:marRight w:val="0"/>
      <w:marTop w:val="0"/>
      <w:marBottom w:val="0"/>
      <w:divBdr>
        <w:top w:val="none" w:sz="0" w:space="0" w:color="auto"/>
        <w:left w:val="none" w:sz="0" w:space="0" w:color="auto"/>
        <w:bottom w:val="none" w:sz="0" w:space="0" w:color="auto"/>
        <w:right w:val="none" w:sz="0" w:space="0" w:color="auto"/>
      </w:divBdr>
    </w:div>
    <w:div w:id="789978437">
      <w:marLeft w:val="0"/>
      <w:marRight w:val="0"/>
      <w:marTop w:val="0"/>
      <w:marBottom w:val="0"/>
      <w:divBdr>
        <w:top w:val="none" w:sz="0" w:space="0" w:color="auto"/>
        <w:left w:val="none" w:sz="0" w:space="0" w:color="auto"/>
        <w:bottom w:val="none" w:sz="0" w:space="0" w:color="auto"/>
        <w:right w:val="none" w:sz="0" w:space="0" w:color="auto"/>
      </w:divBdr>
    </w:div>
    <w:div w:id="789978438">
      <w:marLeft w:val="0"/>
      <w:marRight w:val="0"/>
      <w:marTop w:val="0"/>
      <w:marBottom w:val="0"/>
      <w:divBdr>
        <w:top w:val="none" w:sz="0" w:space="0" w:color="auto"/>
        <w:left w:val="none" w:sz="0" w:space="0" w:color="auto"/>
        <w:bottom w:val="none" w:sz="0" w:space="0" w:color="auto"/>
        <w:right w:val="none" w:sz="0" w:space="0" w:color="auto"/>
      </w:divBdr>
    </w:div>
    <w:div w:id="789978439">
      <w:marLeft w:val="0"/>
      <w:marRight w:val="0"/>
      <w:marTop w:val="0"/>
      <w:marBottom w:val="0"/>
      <w:divBdr>
        <w:top w:val="none" w:sz="0" w:space="0" w:color="auto"/>
        <w:left w:val="none" w:sz="0" w:space="0" w:color="auto"/>
        <w:bottom w:val="none" w:sz="0" w:space="0" w:color="auto"/>
        <w:right w:val="none" w:sz="0" w:space="0" w:color="auto"/>
      </w:divBdr>
    </w:div>
    <w:div w:id="789978440">
      <w:marLeft w:val="0"/>
      <w:marRight w:val="0"/>
      <w:marTop w:val="0"/>
      <w:marBottom w:val="0"/>
      <w:divBdr>
        <w:top w:val="none" w:sz="0" w:space="0" w:color="auto"/>
        <w:left w:val="none" w:sz="0" w:space="0" w:color="auto"/>
        <w:bottom w:val="none" w:sz="0" w:space="0" w:color="auto"/>
        <w:right w:val="none" w:sz="0" w:space="0" w:color="auto"/>
      </w:divBdr>
    </w:div>
    <w:div w:id="789978441">
      <w:marLeft w:val="0"/>
      <w:marRight w:val="0"/>
      <w:marTop w:val="0"/>
      <w:marBottom w:val="0"/>
      <w:divBdr>
        <w:top w:val="none" w:sz="0" w:space="0" w:color="auto"/>
        <w:left w:val="none" w:sz="0" w:space="0" w:color="auto"/>
        <w:bottom w:val="none" w:sz="0" w:space="0" w:color="auto"/>
        <w:right w:val="none" w:sz="0" w:space="0" w:color="auto"/>
      </w:divBdr>
    </w:div>
    <w:div w:id="789978442">
      <w:marLeft w:val="0"/>
      <w:marRight w:val="0"/>
      <w:marTop w:val="0"/>
      <w:marBottom w:val="0"/>
      <w:divBdr>
        <w:top w:val="none" w:sz="0" w:space="0" w:color="auto"/>
        <w:left w:val="none" w:sz="0" w:space="0" w:color="auto"/>
        <w:bottom w:val="none" w:sz="0" w:space="0" w:color="auto"/>
        <w:right w:val="none" w:sz="0" w:space="0" w:color="auto"/>
      </w:divBdr>
    </w:div>
    <w:div w:id="789978443">
      <w:marLeft w:val="0"/>
      <w:marRight w:val="0"/>
      <w:marTop w:val="0"/>
      <w:marBottom w:val="0"/>
      <w:divBdr>
        <w:top w:val="none" w:sz="0" w:space="0" w:color="auto"/>
        <w:left w:val="none" w:sz="0" w:space="0" w:color="auto"/>
        <w:bottom w:val="none" w:sz="0" w:space="0" w:color="auto"/>
        <w:right w:val="none" w:sz="0" w:space="0" w:color="auto"/>
      </w:divBdr>
    </w:div>
    <w:div w:id="789978444">
      <w:marLeft w:val="0"/>
      <w:marRight w:val="0"/>
      <w:marTop w:val="0"/>
      <w:marBottom w:val="0"/>
      <w:divBdr>
        <w:top w:val="none" w:sz="0" w:space="0" w:color="auto"/>
        <w:left w:val="none" w:sz="0" w:space="0" w:color="auto"/>
        <w:bottom w:val="none" w:sz="0" w:space="0" w:color="auto"/>
        <w:right w:val="none" w:sz="0" w:space="0" w:color="auto"/>
      </w:divBdr>
    </w:div>
    <w:div w:id="789978445">
      <w:marLeft w:val="0"/>
      <w:marRight w:val="0"/>
      <w:marTop w:val="0"/>
      <w:marBottom w:val="0"/>
      <w:divBdr>
        <w:top w:val="none" w:sz="0" w:space="0" w:color="auto"/>
        <w:left w:val="none" w:sz="0" w:space="0" w:color="auto"/>
        <w:bottom w:val="none" w:sz="0" w:space="0" w:color="auto"/>
        <w:right w:val="none" w:sz="0" w:space="0" w:color="auto"/>
      </w:divBdr>
    </w:div>
    <w:div w:id="789978446">
      <w:marLeft w:val="0"/>
      <w:marRight w:val="0"/>
      <w:marTop w:val="0"/>
      <w:marBottom w:val="0"/>
      <w:divBdr>
        <w:top w:val="none" w:sz="0" w:space="0" w:color="auto"/>
        <w:left w:val="none" w:sz="0" w:space="0" w:color="auto"/>
        <w:bottom w:val="none" w:sz="0" w:space="0" w:color="auto"/>
        <w:right w:val="none" w:sz="0" w:space="0" w:color="auto"/>
      </w:divBdr>
    </w:div>
    <w:div w:id="789978447">
      <w:marLeft w:val="0"/>
      <w:marRight w:val="0"/>
      <w:marTop w:val="0"/>
      <w:marBottom w:val="0"/>
      <w:divBdr>
        <w:top w:val="none" w:sz="0" w:space="0" w:color="auto"/>
        <w:left w:val="none" w:sz="0" w:space="0" w:color="auto"/>
        <w:bottom w:val="none" w:sz="0" w:space="0" w:color="auto"/>
        <w:right w:val="none" w:sz="0" w:space="0" w:color="auto"/>
      </w:divBdr>
    </w:div>
    <w:div w:id="789978448">
      <w:marLeft w:val="0"/>
      <w:marRight w:val="0"/>
      <w:marTop w:val="0"/>
      <w:marBottom w:val="0"/>
      <w:divBdr>
        <w:top w:val="none" w:sz="0" w:space="0" w:color="auto"/>
        <w:left w:val="none" w:sz="0" w:space="0" w:color="auto"/>
        <w:bottom w:val="none" w:sz="0" w:space="0" w:color="auto"/>
        <w:right w:val="none" w:sz="0" w:space="0" w:color="auto"/>
      </w:divBdr>
    </w:div>
    <w:div w:id="789978449">
      <w:marLeft w:val="0"/>
      <w:marRight w:val="0"/>
      <w:marTop w:val="0"/>
      <w:marBottom w:val="0"/>
      <w:divBdr>
        <w:top w:val="none" w:sz="0" w:space="0" w:color="auto"/>
        <w:left w:val="none" w:sz="0" w:space="0" w:color="auto"/>
        <w:bottom w:val="none" w:sz="0" w:space="0" w:color="auto"/>
        <w:right w:val="none" w:sz="0" w:space="0" w:color="auto"/>
      </w:divBdr>
    </w:div>
    <w:div w:id="789978450">
      <w:marLeft w:val="0"/>
      <w:marRight w:val="0"/>
      <w:marTop w:val="0"/>
      <w:marBottom w:val="0"/>
      <w:divBdr>
        <w:top w:val="none" w:sz="0" w:space="0" w:color="auto"/>
        <w:left w:val="none" w:sz="0" w:space="0" w:color="auto"/>
        <w:bottom w:val="none" w:sz="0" w:space="0" w:color="auto"/>
        <w:right w:val="none" w:sz="0" w:space="0" w:color="auto"/>
      </w:divBdr>
    </w:div>
    <w:div w:id="789978451">
      <w:marLeft w:val="0"/>
      <w:marRight w:val="0"/>
      <w:marTop w:val="0"/>
      <w:marBottom w:val="0"/>
      <w:divBdr>
        <w:top w:val="none" w:sz="0" w:space="0" w:color="auto"/>
        <w:left w:val="none" w:sz="0" w:space="0" w:color="auto"/>
        <w:bottom w:val="none" w:sz="0" w:space="0" w:color="auto"/>
        <w:right w:val="none" w:sz="0" w:space="0" w:color="auto"/>
      </w:divBdr>
    </w:div>
    <w:div w:id="789978452">
      <w:marLeft w:val="0"/>
      <w:marRight w:val="0"/>
      <w:marTop w:val="0"/>
      <w:marBottom w:val="0"/>
      <w:divBdr>
        <w:top w:val="none" w:sz="0" w:space="0" w:color="auto"/>
        <w:left w:val="none" w:sz="0" w:space="0" w:color="auto"/>
        <w:bottom w:val="none" w:sz="0" w:space="0" w:color="auto"/>
        <w:right w:val="none" w:sz="0" w:space="0" w:color="auto"/>
      </w:divBdr>
    </w:div>
    <w:div w:id="789978453">
      <w:marLeft w:val="0"/>
      <w:marRight w:val="0"/>
      <w:marTop w:val="0"/>
      <w:marBottom w:val="0"/>
      <w:divBdr>
        <w:top w:val="none" w:sz="0" w:space="0" w:color="auto"/>
        <w:left w:val="none" w:sz="0" w:space="0" w:color="auto"/>
        <w:bottom w:val="none" w:sz="0" w:space="0" w:color="auto"/>
        <w:right w:val="none" w:sz="0" w:space="0" w:color="auto"/>
      </w:divBdr>
    </w:div>
    <w:div w:id="789978454">
      <w:marLeft w:val="0"/>
      <w:marRight w:val="0"/>
      <w:marTop w:val="0"/>
      <w:marBottom w:val="0"/>
      <w:divBdr>
        <w:top w:val="none" w:sz="0" w:space="0" w:color="auto"/>
        <w:left w:val="none" w:sz="0" w:space="0" w:color="auto"/>
        <w:bottom w:val="none" w:sz="0" w:space="0" w:color="auto"/>
        <w:right w:val="none" w:sz="0" w:space="0" w:color="auto"/>
      </w:divBdr>
    </w:div>
    <w:div w:id="789978455">
      <w:marLeft w:val="0"/>
      <w:marRight w:val="0"/>
      <w:marTop w:val="0"/>
      <w:marBottom w:val="0"/>
      <w:divBdr>
        <w:top w:val="none" w:sz="0" w:space="0" w:color="auto"/>
        <w:left w:val="none" w:sz="0" w:space="0" w:color="auto"/>
        <w:bottom w:val="none" w:sz="0" w:space="0" w:color="auto"/>
        <w:right w:val="none" w:sz="0" w:space="0" w:color="auto"/>
      </w:divBdr>
    </w:div>
    <w:div w:id="789978456">
      <w:marLeft w:val="0"/>
      <w:marRight w:val="0"/>
      <w:marTop w:val="0"/>
      <w:marBottom w:val="0"/>
      <w:divBdr>
        <w:top w:val="none" w:sz="0" w:space="0" w:color="auto"/>
        <w:left w:val="none" w:sz="0" w:space="0" w:color="auto"/>
        <w:bottom w:val="none" w:sz="0" w:space="0" w:color="auto"/>
        <w:right w:val="none" w:sz="0" w:space="0" w:color="auto"/>
      </w:divBdr>
    </w:div>
    <w:div w:id="789978457">
      <w:marLeft w:val="0"/>
      <w:marRight w:val="0"/>
      <w:marTop w:val="0"/>
      <w:marBottom w:val="0"/>
      <w:divBdr>
        <w:top w:val="none" w:sz="0" w:space="0" w:color="auto"/>
        <w:left w:val="none" w:sz="0" w:space="0" w:color="auto"/>
        <w:bottom w:val="none" w:sz="0" w:space="0" w:color="auto"/>
        <w:right w:val="none" w:sz="0" w:space="0" w:color="auto"/>
      </w:divBdr>
    </w:div>
    <w:div w:id="789978458">
      <w:marLeft w:val="0"/>
      <w:marRight w:val="0"/>
      <w:marTop w:val="0"/>
      <w:marBottom w:val="0"/>
      <w:divBdr>
        <w:top w:val="none" w:sz="0" w:space="0" w:color="auto"/>
        <w:left w:val="none" w:sz="0" w:space="0" w:color="auto"/>
        <w:bottom w:val="none" w:sz="0" w:space="0" w:color="auto"/>
        <w:right w:val="none" w:sz="0" w:space="0" w:color="auto"/>
      </w:divBdr>
    </w:div>
    <w:div w:id="789978459">
      <w:marLeft w:val="0"/>
      <w:marRight w:val="0"/>
      <w:marTop w:val="0"/>
      <w:marBottom w:val="0"/>
      <w:divBdr>
        <w:top w:val="none" w:sz="0" w:space="0" w:color="auto"/>
        <w:left w:val="none" w:sz="0" w:space="0" w:color="auto"/>
        <w:bottom w:val="none" w:sz="0" w:space="0" w:color="auto"/>
        <w:right w:val="none" w:sz="0" w:space="0" w:color="auto"/>
      </w:divBdr>
    </w:div>
    <w:div w:id="789978460">
      <w:marLeft w:val="0"/>
      <w:marRight w:val="0"/>
      <w:marTop w:val="0"/>
      <w:marBottom w:val="0"/>
      <w:divBdr>
        <w:top w:val="none" w:sz="0" w:space="0" w:color="auto"/>
        <w:left w:val="none" w:sz="0" w:space="0" w:color="auto"/>
        <w:bottom w:val="none" w:sz="0" w:space="0" w:color="auto"/>
        <w:right w:val="none" w:sz="0" w:space="0" w:color="auto"/>
      </w:divBdr>
    </w:div>
    <w:div w:id="789978461">
      <w:marLeft w:val="0"/>
      <w:marRight w:val="0"/>
      <w:marTop w:val="0"/>
      <w:marBottom w:val="0"/>
      <w:divBdr>
        <w:top w:val="none" w:sz="0" w:space="0" w:color="auto"/>
        <w:left w:val="none" w:sz="0" w:space="0" w:color="auto"/>
        <w:bottom w:val="none" w:sz="0" w:space="0" w:color="auto"/>
        <w:right w:val="none" w:sz="0" w:space="0" w:color="auto"/>
      </w:divBdr>
    </w:div>
    <w:div w:id="789978462">
      <w:marLeft w:val="0"/>
      <w:marRight w:val="0"/>
      <w:marTop w:val="0"/>
      <w:marBottom w:val="0"/>
      <w:divBdr>
        <w:top w:val="none" w:sz="0" w:space="0" w:color="auto"/>
        <w:left w:val="none" w:sz="0" w:space="0" w:color="auto"/>
        <w:bottom w:val="none" w:sz="0" w:space="0" w:color="auto"/>
        <w:right w:val="none" w:sz="0" w:space="0" w:color="auto"/>
      </w:divBdr>
    </w:div>
    <w:div w:id="789978463">
      <w:marLeft w:val="0"/>
      <w:marRight w:val="0"/>
      <w:marTop w:val="0"/>
      <w:marBottom w:val="0"/>
      <w:divBdr>
        <w:top w:val="none" w:sz="0" w:space="0" w:color="auto"/>
        <w:left w:val="none" w:sz="0" w:space="0" w:color="auto"/>
        <w:bottom w:val="none" w:sz="0" w:space="0" w:color="auto"/>
        <w:right w:val="none" w:sz="0" w:space="0" w:color="auto"/>
      </w:divBdr>
    </w:div>
    <w:div w:id="789978464">
      <w:marLeft w:val="0"/>
      <w:marRight w:val="0"/>
      <w:marTop w:val="0"/>
      <w:marBottom w:val="0"/>
      <w:divBdr>
        <w:top w:val="none" w:sz="0" w:space="0" w:color="auto"/>
        <w:left w:val="none" w:sz="0" w:space="0" w:color="auto"/>
        <w:bottom w:val="none" w:sz="0" w:space="0" w:color="auto"/>
        <w:right w:val="none" w:sz="0" w:space="0" w:color="auto"/>
      </w:divBdr>
    </w:div>
    <w:div w:id="789978465">
      <w:marLeft w:val="0"/>
      <w:marRight w:val="0"/>
      <w:marTop w:val="0"/>
      <w:marBottom w:val="0"/>
      <w:divBdr>
        <w:top w:val="none" w:sz="0" w:space="0" w:color="auto"/>
        <w:left w:val="none" w:sz="0" w:space="0" w:color="auto"/>
        <w:bottom w:val="none" w:sz="0" w:space="0" w:color="auto"/>
        <w:right w:val="none" w:sz="0" w:space="0" w:color="auto"/>
      </w:divBdr>
    </w:div>
    <w:div w:id="789978466">
      <w:marLeft w:val="0"/>
      <w:marRight w:val="0"/>
      <w:marTop w:val="0"/>
      <w:marBottom w:val="0"/>
      <w:divBdr>
        <w:top w:val="none" w:sz="0" w:space="0" w:color="auto"/>
        <w:left w:val="none" w:sz="0" w:space="0" w:color="auto"/>
        <w:bottom w:val="none" w:sz="0" w:space="0" w:color="auto"/>
        <w:right w:val="none" w:sz="0" w:space="0" w:color="auto"/>
      </w:divBdr>
    </w:div>
    <w:div w:id="789978467">
      <w:marLeft w:val="0"/>
      <w:marRight w:val="0"/>
      <w:marTop w:val="0"/>
      <w:marBottom w:val="0"/>
      <w:divBdr>
        <w:top w:val="none" w:sz="0" w:space="0" w:color="auto"/>
        <w:left w:val="none" w:sz="0" w:space="0" w:color="auto"/>
        <w:bottom w:val="none" w:sz="0" w:space="0" w:color="auto"/>
        <w:right w:val="none" w:sz="0" w:space="0" w:color="auto"/>
      </w:divBdr>
    </w:div>
    <w:div w:id="795757659">
      <w:bodyDiv w:val="1"/>
      <w:marLeft w:val="0"/>
      <w:marRight w:val="0"/>
      <w:marTop w:val="0"/>
      <w:marBottom w:val="0"/>
      <w:divBdr>
        <w:top w:val="none" w:sz="0" w:space="0" w:color="auto"/>
        <w:left w:val="none" w:sz="0" w:space="0" w:color="auto"/>
        <w:bottom w:val="none" w:sz="0" w:space="0" w:color="auto"/>
        <w:right w:val="none" w:sz="0" w:space="0" w:color="auto"/>
      </w:divBdr>
    </w:div>
    <w:div w:id="814880752">
      <w:bodyDiv w:val="1"/>
      <w:marLeft w:val="0"/>
      <w:marRight w:val="0"/>
      <w:marTop w:val="0"/>
      <w:marBottom w:val="0"/>
      <w:divBdr>
        <w:top w:val="none" w:sz="0" w:space="0" w:color="auto"/>
        <w:left w:val="none" w:sz="0" w:space="0" w:color="auto"/>
        <w:bottom w:val="none" w:sz="0" w:space="0" w:color="auto"/>
        <w:right w:val="none" w:sz="0" w:space="0" w:color="auto"/>
      </w:divBdr>
    </w:div>
    <w:div w:id="816804025">
      <w:bodyDiv w:val="1"/>
      <w:marLeft w:val="0"/>
      <w:marRight w:val="0"/>
      <w:marTop w:val="0"/>
      <w:marBottom w:val="0"/>
      <w:divBdr>
        <w:top w:val="none" w:sz="0" w:space="0" w:color="auto"/>
        <w:left w:val="none" w:sz="0" w:space="0" w:color="auto"/>
        <w:bottom w:val="none" w:sz="0" w:space="0" w:color="auto"/>
        <w:right w:val="none" w:sz="0" w:space="0" w:color="auto"/>
      </w:divBdr>
    </w:div>
    <w:div w:id="820541236">
      <w:bodyDiv w:val="1"/>
      <w:marLeft w:val="0"/>
      <w:marRight w:val="0"/>
      <w:marTop w:val="0"/>
      <w:marBottom w:val="0"/>
      <w:divBdr>
        <w:top w:val="none" w:sz="0" w:space="0" w:color="auto"/>
        <w:left w:val="none" w:sz="0" w:space="0" w:color="auto"/>
        <w:bottom w:val="none" w:sz="0" w:space="0" w:color="auto"/>
        <w:right w:val="none" w:sz="0" w:space="0" w:color="auto"/>
      </w:divBdr>
    </w:div>
    <w:div w:id="841511630">
      <w:bodyDiv w:val="1"/>
      <w:marLeft w:val="0"/>
      <w:marRight w:val="0"/>
      <w:marTop w:val="0"/>
      <w:marBottom w:val="0"/>
      <w:divBdr>
        <w:top w:val="none" w:sz="0" w:space="0" w:color="auto"/>
        <w:left w:val="none" w:sz="0" w:space="0" w:color="auto"/>
        <w:bottom w:val="none" w:sz="0" w:space="0" w:color="auto"/>
        <w:right w:val="none" w:sz="0" w:space="0" w:color="auto"/>
      </w:divBdr>
    </w:div>
    <w:div w:id="854880442">
      <w:bodyDiv w:val="1"/>
      <w:marLeft w:val="0"/>
      <w:marRight w:val="0"/>
      <w:marTop w:val="0"/>
      <w:marBottom w:val="0"/>
      <w:divBdr>
        <w:top w:val="none" w:sz="0" w:space="0" w:color="auto"/>
        <w:left w:val="none" w:sz="0" w:space="0" w:color="auto"/>
        <w:bottom w:val="none" w:sz="0" w:space="0" w:color="auto"/>
        <w:right w:val="none" w:sz="0" w:space="0" w:color="auto"/>
      </w:divBdr>
    </w:div>
    <w:div w:id="860320878">
      <w:bodyDiv w:val="1"/>
      <w:marLeft w:val="0"/>
      <w:marRight w:val="0"/>
      <w:marTop w:val="0"/>
      <w:marBottom w:val="0"/>
      <w:divBdr>
        <w:top w:val="none" w:sz="0" w:space="0" w:color="auto"/>
        <w:left w:val="none" w:sz="0" w:space="0" w:color="auto"/>
        <w:bottom w:val="none" w:sz="0" w:space="0" w:color="auto"/>
        <w:right w:val="none" w:sz="0" w:space="0" w:color="auto"/>
      </w:divBdr>
    </w:div>
    <w:div w:id="863788067">
      <w:bodyDiv w:val="1"/>
      <w:marLeft w:val="0"/>
      <w:marRight w:val="0"/>
      <w:marTop w:val="0"/>
      <w:marBottom w:val="0"/>
      <w:divBdr>
        <w:top w:val="none" w:sz="0" w:space="0" w:color="auto"/>
        <w:left w:val="none" w:sz="0" w:space="0" w:color="auto"/>
        <w:bottom w:val="none" w:sz="0" w:space="0" w:color="auto"/>
        <w:right w:val="none" w:sz="0" w:space="0" w:color="auto"/>
      </w:divBdr>
    </w:div>
    <w:div w:id="875583641">
      <w:bodyDiv w:val="1"/>
      <w:marLeft w:val="0"/>
      <w:marRight w:val="0"/>
      <w:marTop w:val="0"/>
      <w:marBottom w:val="0"/>
      <w:divBdr>
        <w:top w:val="none" w:sz="0" w:space="0" w:color="auto"/>
        <w:left w:val="none" w:sz="0" w:space="0" w:color="auto"/>
        <w:bottom w:val="none" w:sz="0" w:space="0" w:color="auto"/>
        <w:right w:val="none" w:sz="0" w:space="0" w:color="auto"/>
      </w:divBdr>
    </w:div>
    <w:div w:id="905456798">
      <w:bodyDiv w:val="1"/>
      <w:marLeft w:val="0"/>
      <w:marRight w:val="0"/>
      <w:marTop w:val="0"/>
      <w:marBottom w:val="0"/>
      <w:divBdr>
        <w:top w:val="none" w:sz="0" w:space="0" w:color="auto"/>
        <w:left w:val="none" w:sz="0" w:space="0" w:color="auto"/>
        <w:bottom w:val="none" w:sz="0" w:space="0" w:color="auto"/>
        <w:right w:val="none" w:sz="0" w:space="0" w:color="auto"/>
      </w:divBdr>
    </w:div>
    <w:div w:id="913321603">
      <w:bodyDiv w:val="1"/>
      <w:marLeft w:val="0"/>
      <w:marRight w:val="0"/>
      <w:marTop w:val="0"/>
      <w:marBottom w:val="0"/>
      <w:divBdr>
        <w:top w:val="none" w:sz="0" w:space="0" w:color="auto"/>
        <w:left w:val="none" w:sz="0" w:space="0" w:color="auto"/>
        <w:bottom w:val="none" w:sz="0" w:space="0" w:color="auto"/>
        <w:right w:val="none" w:sz="0" w:space="0" w:color="auto"/>
      </w:divBdr>
    </w:div>
    <w:div w:id="939801416">
      <w:bodyDiv w:val="1"/>
      <w:marLeft w:val="0"/>
      <w:marRight w:val="0"/>
      <w:marTop w:val="0"/>
      <w:marBottom w:val="0"/>
      <w:divBdr>
        <w:top w:val="none" w:sz="0" w:space="0" w:color="auto"/>
        <w:left w:val="none" w:sz="0" w:space="0" w:color="auto"/>
        <w:bottom w:val="none" w:sz="0" w:space="0" w:color="auto"/>
        <w:right w:val="none" w:sz="0" w:space="0" w:color="auto"/>
      </w:divBdr>
    </w:div>
    <w:div w:id="950010919">
      <w:bodyDiv w:val="1"/>
      <w:marLeft w:val="0"/>
      <w:marRight w:val="0"/>
      <w:marTop w:val="0"/>
      <w:marBottom w:val="0"/>
      <w:divBdr>
        <w:top w:val="none" w:sz="0" w:space="0" w:color="auto"/>
        <w:left w:val="none" w:sz="0" w:space="0" w:color="auto"/>
        <w:bottom w:val="none" w:sz="0" w:space="0" w:color="auto"/>
        <w:right w:val="none" w:sz="0" w:space="0" w:color="auto"/>
      </w:divBdr>
    </w:div>
    <w:div w:id="954796405">
      <w:bodyDiv w:val="1"/>
      <w:marLeft w:val="0"/>
      <w:marRight w:val="0"/>
      <w:marTop w:val="0"/>
      <w:marBottom w:val="0"/>
      <w:divBdr>
        <w:top w:val="none" w:sz="0" w:space="0" w:color="auto"/>
        <w:left w:val="none" w:sz="0" w:space="0" w:color="auto"/>
        <w:bottom w:val="none" w:sz="0" w:space="0" w:color="auto"/>
        <w:right w:val="none" w:sz="0" w:space="0" w:color="auto"/>
      </w:divBdr>
    </w:div>
    <w:div w:id="975910780">
      <w:bodyDiv w:val="1"/>
      <w:marLeft w:val="0"/>
      <w:marRight w:val="0"/>
      <w:marTop w:val="0"/>
      <w:marBottom w:val="0"/>
      <w:divBdr>
        <w:top w:val="none" w:sz="0" w:space="0" w:color="auto"/>
        <w:left w:val="none" w:sz="0" w:space="0" w:color="auto"/>
        <w:bottom w:val="none" w:sz="0" w:space="0" w:color="auto"/>
        <w:right w:val="none" w:sz="0" w:space="0" w:color="auto"/>
      </w:divBdr>
    </w:div>
    <w:div w:id="980883531">
      <w:bodyDiv w:val="1"/>
      <w:marLeft w:val="0"/>
      <w:marRight w:val="0"/>
      <w:marTop w:val="0"/>
      <w:marBottom w:val="0"/>
      <w:divBdr>
        <w:top w:val="none" w:sz="0" w:space="0" w:color="auto"/>
        <w:left w:val="none" w:sz="0" w:space="0" w:color="auto"/>
        <w:bottom w:val="none" w:sz="0" w:space="0" w:color="auto"/>
        <w:right w:val="none" w:sz="0" w:space="0" w:color="auto"/>
      </w:divBdr>
    </w:div>
    <w:div w:id="990253863">
      <w:bodyDiv w:val="1"/>
      <w:marLeft w:val="0"/>
      <w:marRight w:val="0"/>
      <w:marTop w:val="0"/>
      <w:marBottom w:val="0"/>
      <w:divBdr>
        <w:top w:val="none" w:sz="0" w:space="0" w:color="auto"/>
        <w:left w:val="none" w:sz="0" w:space="0" w:color="auto"/>
        <w:bottom w:val="none" w:sz="0" w:space="0" w:color="auto"/>
        <w:right w:val="none" w:sz="0" w:space="0" w:color="auto"/>
      </w:divBdr>
    </w:div>
    <w:div w:id="1056049388">
      <w:bodyDiv w:val="1"/>
      <w:marLeft w:val="0"/>
      <w:marRight w:val="0"/>
      <w:marTop w:val="0"/>
      <w:marBottom w:val="0"/>
      <w:divBdr>
        <w:top w:val="none" w:sz="0" w:space="0" w:color="auto"/>
        <w:left w:val="none" w:sz="0" w:space="0" w:color="auto"/>
        <w:bottom w:val="none" w:sz="0" w:space="0" w:color="auto"/>
        <w:right w:val="none" w:sz="0" w:space="0" w:color="auto"/>
      </w:divBdr>
    </w:div>
    <w:div w:id="1057821826">
      <w:bodyDiv w:val="1"/>
      <w:marLeft w:val="0"/>
      <w:marRight w:val="0"/>
      <w:marTop w:val="0"/>
      <w:marBottom w:val="0"/>
      <w:divBdr>
        <w:top w:val="none" w:sz="0" w:space="0" w:color="auto"/>
        <w:left w:val="none" w:sz="0" w:space="0" w:color="auto"/>
        <w:bottom w:val="none" w:sz="0" w:space="0" w:color="auto"/>
        <w:right w:val="none" w:sz="0" w:space="0" w:color="auto"/>
      </w:divBdr>
    </w:div>
    <w:div w:id="1062564905">
      <w:bodyDiv w:val="1"/>
      <w:marLeft w:val="0"/>
      <w:marRight w:val="0"/>
      <w:marTop w:val="0"/>
      <w:marBottom w:val="0"/>
      <w:divBdr>
        <w:top w:val="none" w:sz="0" w:space="0" w:color="auto"/>
        <w:left w:val="none" w:sz="0" w:space="0" w:color="auto"/>
        <w:bottom w:val="none" w:sz="0" w:space="0" w:color="auto"/>
        <w:right w:val="none" w:sz="0" w:space="0" w:color="auto"/>
      </w:divBdr>
    </w:div>
    <w:div w:id="1065376930">
      <w:bodyDiv w:val="1"/>
      <w:marLeft w:val="0"/>
      <w:marRight w:val="0"/>
      <w:marTop w:val="0"/>
      <w:marBottom w:val="0"/>
      <w:divBdr>
        <w:top w:val="none" w:sz="0" w:space="0" w:color="auto"/>
        <w:left w:val="none" w:sz="0" w:space="0" w:color="auto"/>
        <w:bottom w:val="none" w:sz="0" w:space="0" w:color="auto"/>
        <w:right w:val="none" w:sz="0" w:space="0" w:color="auto"/>
      </w:divBdr>
    </w:div>
    <w:div w:id="1135608306">
      <w:bodyDiv w:val="1"/>
      <w:marLeft w:val="0"/>
      <w:marRight w:val="0"/>
      <w:marTop w:val="0"/>
      <w:marBottom w:val="0"/>
      <w:divBdr>
        <w:top w:val="none" w:sz="0" w:space="0" w:color="auto"/>
        <w:left w:val="none" w:sz="0" w:space="0" w:color="auto"/>
        <w:bottom w:val="none" w:sz="0" w:space="0" w:color="auto"/>
        <w:right w:val="none" w:sz="0" w:space="0" w:color="auto"/>
      </w:divBdr>
    </w:div>
    <w:div w:id="1141966338">
      <w:bodyDiv w:val="1"/>
      <w:marLeft w:val="0"/>
      <w:marRight w:val="0"/>
      <w:marTop w:val="0"/>
      <w:marBottom w:val="0"/>
      <w:divBdr>
        <w:top w:val="none" w:sz="0" w:space="0" w:color="auto"/>
        <w:left w:val="none" w:sz="0" w:space="0" w:color="auto"/>
        <w:bottom w:val="none" w:sz="0" w:space="0" w:color="auto"/>
        <w:right w:val="none" w:sz="0" w:space="0" w:color="auto"/>
      </w:divBdr>
    </w:div>
    <w:div w:id="1168522307">
      <w:bodyDiv w:val="1"/>
      <w:marLeft w:val="0"/>
      <w:marRight w:val="0"/>
      <w:marTop w:val="0"/>
      <w:marBottom w:val="0"/>
      <w:divBdr>
        <w:top w:val="none" w:sz="0" w:space="0" w:color="auto"/>
        <w:left w:val="none" w:sz="0" w:space="0" w:color="auto"/>
        <w:bottom w:val="none" w:sz="0" w:space="0" w:color="auto"/>
        <w:right w:val="none" w:sz="0" w:space="0" w:color="auto"/>
      </w:divBdr>
    </w:div>
    <w:div w:id="1183520987">
      <w:bodyDiv w:val="1"/>
      <w:marLeft w:val="0"/>
      <w:marRight w:val="0"/>
      <w:marTop w:val="0"/>
      <w:marBottom w:val="0"/>
      <w:divBdr>
        <w:top w:val="none" w:sz="0" w:space="0" w:color="auto"/>
        <w:left w:val="none" w:sz="0" w:space="0" w:color="auto"/>
        <w:bottom w:val="none" w:sz="0" w:space="0" w:color="auto"/>
        <w:right w:val="none" w:sz="0" w:space="0" w:color="auto"/>
      </w:divBdr>
    </w:div>
    <w:div w:id="1213075025">
      <w:bodyDiv w:val="1"/>
      <w:marLeft w:val="0"/>
      <w:marRight w:val="0"/>
      <w:marTop w:val="0"/>
      <w:marBottom w:val="0"/>
      <w:divBdr>
        <w:top w:val="none" w:sz="0" w:space="0" w:color="auto"/>
        <w:left w:val="none" w:sz="0" w:space="0" w:color="auto"/>
        <w:bottom w:val="none" w:sz="0" w:space="0" w:color="auto"/>
        <w:right w:val="none" w:sz="0" w:space="0" w:color="auto"/>
      </w:divBdr>
    </w:div>
    <w:div w:id="1223516784">
      <w:bodyDiv w:val="1"/>
      <w:marLeft w:val="0"/>
      <w:marRight w:val="0"/>
      <w:marTop w:val="0"/>
      <w:marBottom w:val="0"/>
      <w:divBdr>
        <w:top w:val="none" w:sz="0" w:space="0" w:color="auto"/>
        <w:left w:val="none" w:sz="0" w:space="0" w:color="auto"/>
        <w:bottom w:val="none" w:sz="0" w:space="0" w:color="auto"/>
        <w:right w:val="none" w:sz="0" w:space="0" w:color="auto"/>
      </w:divBdr>
    </w:div>
    <w:div w:id="1230384266">
      <w:bodyDiv w:val="1"/>
      <w:marLeft w:val="0"/>
      <w:marRight w:val="0"/>
      <w:marTop w:val="0"/>
      <w:marBottom w:val="0"/>
      <w:divBdr>
        <w:top w:val="none" w:sz="0" w:space="0" w:color="auto"/>
        <w:left w:val="none" w:sz="0" w:space="0" w:color="auto"/>
        <w:bottom w:val="none" w:sz="0" w:space="0" w:color="auto"/>
        <w:right w:val="none" w:sz="0" w:space="0" w:color="auto"/>
      </w:divBdr>
    </w:div>
    <w:div w:id="1233662563">
      <w:bodyDiv w:val="1"/>
      <w:marLeft w:val="0"/>
      <w:marRight w:val="0"/>
      <w:marTop w:val="0"/>
      <w:marBottom w:val="0"/>
      <w:divBdr>
        <w:top w:val="none" w:sz="0" w:space="0" w:color="auto"/>
        <w:left w:val="none" w:sz="0" w:space="0" w:color="auto"/>
        <w:bottom w:val="none" w:sz="0" w:space="0" w:color="auto"/>
        <w:right w:val="none" w:sz="0" w:space="0" w:color="auto"/>
      </w:divBdr>
    </w:div>
    <w:div w:id="1255699842">
      <w:bodyDiv w:val="1"/>
      <w:marLeft w:val="0"/>
      <w:marRight w:val="0"/>
      <w:marTop w:val="0"/>
      <w:marBottom w:val="0"/>
      <w:divBdr>
        <w:top w:val="none" w:sz="0" w:space="0" w:color="auto"/>
        <w:left w:val="none" w:sz="0" w:space="0" w:color="auto"/>
        <w:bottom w:val="none" w:sz="0" w:space="0" w:color="auto"/>
        <w:right w:val="none" w:sz="0" w:space="0" w:color="auto"/>
      </w:divBdr>
    </w:div>
    <w:div w:id="1263731502">
      <w:bodyDiv w:val="1"/>
      <w:marLeft w:val="0"/>
      <w:marRight w:val="0"/>
      <w:marTop w:val="0"/>
      <w:marBottom w:val="0"/>
      <w:divBdr>
        <w:top w:val="none" w:sz="0" w:space="0" w:color="auto"/>
        <w:left w:val="none" w:sz="0" w:space="0" w:color="auto"/>
        <w:bottom w:val="none" w:sz="0" w:space="0" w:color="auto"/>
        <w:right w:val="none" w:sz="0" w:space="0" w:color="auto"/>
      </w:divBdr>
    </w:div>
    <w:div w:id="1264651650">
      <w:bodyDiv w:val="1"/>
      <w:marLeft w:val="0"/>
      <w:marRight w:val="0"/>
      <w:marTop w:val="0"/>
      <w:marBottom w:val="0"/>
      <w:divBdr>
        <w:top w:val="none" w:sz="0" w:space="0" w:color="auto"/>
        <w:left w:val="none" w:sz="0" w:space="0" w:color="auto"/>
        <w:bottom w:val="none" w:sz="0" w:space="0" w:color="auto"/>
        <w:right w:val="none" w:sz="0" w:space="0" w:color="auto"/>
      </w:divBdr>
    </w:div>
    <w:div w:id="1331058562">
      <w:bodyDiv w:val="1"/>
      <w:marLeft w:val="0"/>
      <w:marRight w:val="0"/>
      <w:marTop w:val="0"/>
      <w:marBottom w:val="0"/>
      <w:divBdr>
        <w:top w:val="none" w:sz="0" w:space="0" w:color="auto"/>
        <w:left w:val="none" w:sz="0" w:space="0" w:color="auto"/>
        <w:bottom w:val="none" w:sz="0" w:space="0" w:color="auto"/>
        <w:right w:val="none" w:sz="0" w:space="0" w:color="auto"/>
      </w:divBdr>
    </w:div>
    <w:div w:id="1344865989">
      <w:bodyDiv w:val="1"/>
      <w:marLeft w:val="0"/>
      <w:marRight w:val="0"/>
      <w:marTop w:val="0"/>
      <w:marBottom w:val="0"/>
      <w:divBdr>
        <w:top w:val="none" w:sz="0" w:space="0" w:color="auto"/>
        <w:left w:val="none" w:sz="0" w:space="0" w:color="auto"/>
        <w:bottom w:val="none" w:sz="0" w:space="0" w:color="auto"/>
        <w:right w:val="none" w:sz="0" w:space="0" w:color="auto"/>
      </w:divBdr>
    </w:div>
    <w:div w:id="1383098536">
      <w:bodyDiv w:val="1"/>
      <w:marLeft w:val="0"/>
      <w:marRight w:val="0"/>
      <w:marTop w:val="0"/>
      <w:marBottom w:val="0"/>
      <w:divBdr>
        <w:top w:val="none" w:sz="0" w:space="0" w:color="auto"/>
        <w:left w:val="none" w:sz="0" w:space="0" w:color="auto"/>
        <w:bottom w:val="none" w:sz="0" w:space="0" w:color="auto"/>
        <w:right w:val="none" w:sz="0" w:space="0" w:color="auto"/>
      </w:divBdr>
    </w:div>
    <w:div w:id="1421177192">
      <w:bodyDiv w:val="1"/>
      <w:marLeft w:val="0"/>
      <w:marRight w:val="0"/>
      <w:marTop w:val="0"/>
      <w:marBottom w:val="0"/>
      <w:divBdr>
        <w:top w:val="none" w:sz="0" w:space="0" w:color="auto"/>
        <w:left w:val="none" w:sz="0" w:space="0" w:color="auto"/>
        <w:bottom w:val="none" w:sz="0" w:space="0" w:color="auto"/>
        <w:right w:val="none" w:sz="0" w:space="0" w:color="auto"/>
      </w:divBdr>
    </w:div>
    <w:div w:id="1452359703">
      <w:bodyDiv w:val="1"/>
      <w:marLeft w:val="0"/>
      <w:marRight w:val="0"/>
      <w:marTop w:val="0"/>
      <w:marBottom w:val="0"/>
      <w:divBdr>
        <w:top w:val="none" w:sz="0" w:space="0" w:color="auto"/>
        <w:left w:val="none" w:sz="0" w:space="0" w:color="auto"/>
        <w:bottom w:val="none" w:sz="0" w:space="0" w:color="auto"/>
        <w:right w:val="none" w:sz="0" w:space="0" w:color="auto"/>
      </w:divBdr>
    </w:div>
    <w:div w:id="1461997288">
      <w:bodyDiv w:val="1"/>
      <w:marLeft w:val="0"/>
      <w:marRight w:val="0"/>
      <w:marTop w:val="0"/>
      <w:marBottom w:val="0"/>
      <w:divBdr>
        <w:top w:val="none" w:sz="0" w:space="0" w:color="auto"/>
        <w:left w:val="none" w:sz="0" w:space="0" w:color="auto"/>
        <w:bottom w:val="none" w:sz="0" w:space="0" w:color="auto"/>
        <w:right w:val="none" w:sz="0" w:space="0" w:color="auto"/>
      </w:divBdr>
    </w:div>
    <w:div w:id="1479565532">
      <w:bodyDiv w:val="1"/>
      <w:marLeft w:val="0"/>
      <w:marRight w:val="0"/>
      <w:marTop w:val="0"/>
      <w:marBottom w:val="0"/>
      <w:divBdr>
        <w:top w:val="none" w:sz="0" w:space="0" w:color="auto"/>
        <w:left w:val="none" w:sz="0" w:space="0" w:color="auto"/>
        <w:bottom w:val="none" w:sz="0" w:space="0" w:color="auto"/>
        <w:right w:val="none" w:sz="0" w:space="0" w:color="auto"/>
      </w:divBdr>
    </w:div>
    <w:div w:id="1514107287">
      <w:bodyDiv w:val="1"/>
      <w:marLeft w:val="0"/>
      <w:marRight w:val="0"/>
      <w:marTop w:val="0"/>
      <w:marBottom w:val="0"/>
      <w:divBdr>
        <w:top w:val="none" w:sz="0" w:space="0" w:color="auto"/>
        <w:left w:val="none" w:sz="0" w:space="0" w:color="auto"/>
        <w:bottom w:val="none" w:sz="0" w:space="0" w:color="auto"/>
        <w:right w:val="none" w:sz="0" w:space="0" w:color="auto"/>
      </w:divBdr>
    </w:div>
    <w:div w:id="1542859679">
      <w:bodyDiv w:val="1"/>
      <w:marLeft w:val="0"/>
      <w:marRight w:val="0"/>
      <w:marTop w:val="0"/>
      <w:marBottom w:val="0"/>
      <w:divBdr>
        <w:top w:val="none" w:sz="0" w:space="0" w:color="auto"/>
        <w:left w:val="none" w:sz="0" w:space="0" w:color="auto"/>
        <w:bottom w:val="none" w:sz="0" w:space="0" w:color="auto"/>
        <w:right w:val="none" w:sz="0" w:space="0" w:color="auto"/>
      </w:divBdr>
    </w:div>
    <w:div w:id="1548029264">
      <w:bodyDiv w:val="1"/>
      <w:marLeft w:val="0"/>
      <w:marRight w:val="0"/>
      <w:marTop w:val="0"/>
      <w:marBottom w:val="0"/>
      <w:divBdr>
        <w:top w:val="none" w:sz="0" w:space="0" w:color="auto"/>
        <w:left w:val="none" w:sz="0" w:space="0" w:color="auto"/>
        <w:bottom w:val="none" w:sz="0" w:space="0" w:color="auto"/>
        <w:right w:val="none" w:sz="0" w:space="0" w:color="auto"/>
      </w:divBdr>
    </w:div>
    <w:div w:id="1556551405">
      <w:bodyDiv w:val="1"/>
      <w:marLeft w:val="0"/>
      <w:marRight w:val="0"/>
      <w:marTop w:val="0"/>
      <w:marBottom w:val="0"/>
      <w:divBdr>
        <w:top w:val="none" w:sz="0" w:space="0" w:color="auto"/>
        <w:left w:val="none" w:sz="0" w:space="0" w:color="auto"/>
        <w:bottom w:val="none" w:sz="0" w:space="0" w:color="auto"/>
        <w:right w:val="none" w:sz="0" w:space="0" w:color="auto"/>
      </w:divBdr>
    </w:div>
    <w:div w:id="1556771593">
      <w:bodyDiv w:val="1"/>
      <w:marLeft w:val="0"/>
      <w:marRight w:val="0"/>
      <w:marTop w:val="0"/>
      <w:marBottom w:val="0"/>
      <w:divBdr>
        <w:top w:val="none" w:sz="0" w:space="0" w:color="auto"/>
        <w:left w:val="none" w:sz="0" w:space="0" w:color="auto"/>
        <w:bottom w:val="none" w:sz="0" w:space="0" w:color="auto"/>
        <w:right w:val="none" w:sz="0" w:space="0" w:color="auto"/>
      </w:divBdr>
    </w:div>
    <w:div w:id="1557469869">
      <w:bodyDiv w:val="1"/>
      <w:marLeft w:val="0"/>
      <w:marRight w:val="0"/>
      <w:marTop w:val="0"/>
      <w:marBottom w:val="0"/>
      <w:divBdr>
        <w:top w:val="none" w:sz="0" w:space="0" w:color="auto"/>
        <w:left w:val="none" w:sz="0" w:space="0" w:color="auto"/>
        <w:bottom w:val="none" w:sz="0" w:space="0" w:color="auto"/>
        <w:right w:val="none" w:sz="0" w:space="0" w:color="auto"/>
      </w:divBdr>
    </w:div>
    <w:div w:id="1561818925">
      <w:bodyDiv w:val="1"/>
      <w:marLeft w:val="0"/>
      <w:marRight w:val="0"/>
      <w:marTop w:val="0"/>
      <w:marBottom w:val="0"/>
      <w:divBdr>
        <w:top w:val="none" w:sz="0" w:space="0" w:color="auto"/>
        <w:left w:val="none" w:sz="0" w:space="0" w:color="auto"/>
        <w:bottom w:val="none" w:sz="0" w:space="0" w:color="auto"/>
        <w:right w:val="none" w:sz="0" w:space="0" w:color="auto"/>
      </w:divBdr>
    </w:div>
    <w:div w:id="1566377109">
      <w:bodyDiv w:val="1"/>
      <w:marLeft w:val="0"/>
      <w:marRight w:val="0"/>
      <w:marTop w:val="0"/>
      <w:marBottom w:val="0"/>
      <w:divBdr>
        <w:top w:val="none" w:sz="0" w:space="0" w:color="auto"/>
        <w:left w:val="none" w:sz="0" w:space="0" w:color="auto"/>
        <w:bottom w:val="none" w:sz="0" w:space="0" w:color="auto"/>
        <w:right w:val="none" w:sz="0" w:space="0" w:color="auto"/>
      </w:divBdr>
    </w:div>
    <w:div w:id="1581212622">
      <w:bodyDiv w:val="1"/>
      <w:marLeft w:val="0"/>
      <w:marRight w:val="0"/>
      <w:marTop w:val="0"/>
      <w:marBottom w:val="0"/>
      <w:divBdr>
        <w:top w:val="none" w:sz="0" w:space="0" w:color="auto"/>
        <w:left w:val="none" w:sz="0" w:space="0" w:color="auto"/>
        <w:bottom w:val="none" w:sz="0" w:space="0" w:color="auto"/>
        <w:right w:val="none" w:sz="0" w:space="0" w:color="auto"/>
      </w:divBdr>
    </w:div>
    <w:div w:id="1615013776">
      <w:bodyDiv w:val="1"/>
      <w:marLeft w:val="0"/>
      <w:marRight w:val="0"/>
      <w:marTop w:val="0"/>
      <w:marBottom w:val="0"/>
      <w:divBdr>
        <w:top w:val="none" w:sz="0" w:space="0" w:color="auto"/>
        <w:left w:val="none" w:sz="0" w:space="0" w:color="auto"/>
        <w:bottom w:val="none" w:sz="0" w:space="0" w:color="auto"/>
        <w:right w:val="none" w:sz="0" w:space="0" w:color="auto"/>
      </w:divBdr>
    </w:div>
    <w:div w:id="1622348086">
      <w:bodyDiv w:val="1"/>
      <w:marLeft w:val="0"/>
      <w:marRight w:val="0"/>
      <w:marTop w:val="0"/>
      <w:marBottom w:val="0"/>
      <w:divBdr>
        <w:top w:val="none" w:sz="0" w:space="0" w:color="auto"/>
        <w:left w:val="none" w:sz="0" w:space="0" w:color="auto"/>
        <w:bottom w:val="none" w:sz="0" w:space="0" w:color="auto"/>
        <w:right w:val="none" w:sz="0" w:space="0" w:color="auto"/>
      </w:divBdr>
    </w:div>
    <w:div w:id="1682971310">
      <w:bodyDiv w:val="1"/>
      <w:marLeft w:val="0"/>
      <w:marRight w:val="0"/>
      <w:marTop w:val="0"/>
      <w:marBottom w:val="0"/>
      <w:divBdr>
        <w:top w:val="none" w:sz="0" w:space="0" w:color="auto"/>
        <w:left w:val="none" w:sz="0" w:space="0" w:color="auto"/>
        <w:bottom w:val="none" w:sz="0" w:space="0" w:color="auto"/>
        <w:right w:val="none" w:sz="0" w:space="0" w:color="auto"/>
      </w:divBdr>
    </w:div>
    <w:div w:id="1686714692">
      <w:bodyDiv w:val="1"/>
      <w:marLeft w:val="0"/>
      <w:marRight w:val="0"/>
      <w:marTop w:val="0"/>
      <w:marBottom w:val="0"/>
      <w:divBdr>
        <w:top w:val="none" w:sz="0" w:space="0" w:color="auto"/>
        <w:left w:val="none" w:sz="0" w:space="0" w:color="auto"/>
        <w:bottom w:val="none" w:sz="0" w:space="0" w:color="auto"/>
        <w:right w:val="none" w:sz="0" w:space="0" w:color="auto"/>
      </w:divBdr>
    </w:div>
    <w:div w:id="1691449103">
      <w:bodyDiv w:val="1"/>
      <w:marLeft w:val="0"/>
      <w:marRight w:val="0"/>
      <w:marTop w:val="0"/>
      <w:marBottom w:val="0"/>
      <w:divBdr>
        <w:top w:val="none" w:sz="0" w:space="0" w:color="auto"/>
        <w:left w:val="none" w:sz="0" w:space="0" w:color="auto"/>
        <w:bottom w:val="none" w:sz="0" w:space="0" w:color="auto"/>
        <w:right w:val="none" w:sz="0" w:space="0" w:color="auto"/>
      </w:divBdr>
    </w:div>
    <w:div w:id="1694845000">
      <w:bodyDiv w:val="1"/>
      <w:marLeft w:val="0"/>
      <w:marRight w:val="0"/>
      <w:marTop w:val="0"/>
      <w:marBottom w:val="0"/>
      <w:divBdr>
        <w:top w:val="none" w:sz="0" w:space="0" w:color="auto"/>
        <w:left w:val="none" w:sz="0" w:space="0" w:color="auto"/>
        <w:bottom w:val="none" w:sz="0" w:space="0" w:color="auto"/>
        <w:right w:val="none" w:sz="0" w:space="0" w:color="auto"/>
      </w:divBdr>
    </w:div>
    <w:div w:id="1704280624">
      <w:bodyDiv w:val="1"/>
      <w:marLeft w:val="0"/>
      <w:marRight w:val="0"/>
      <w:marTop w:val="0"/>
      <w:marBottom w:val="0"/>
      <w:divBdr>
        <w:top w:val="none" w:sz="0" w:space="0" w:color="auto"/>
        <w:left w:val="none" w:sz="0" w:space="0" w:color="auto"/>
        <w:bottom w:val="none" w:sz="0" w:space="0" w:color="auto"/>
        <w:right w:val="none" w:sz="0" w:space="0" w:color="auto"/>
      </w:divBdr>
    </w:div>
    <w:div w:id="1732993946">
      <w:bodyDiv w:val="1"/>
      <w:marLeft w:val="0"/>
      <w:marRight w:val="0"/>
      <w:marTop w:val="0"/>
      <w:marBottom w:val="0"/>
      <w:divBdr>
        <w:top w:val="none" w:sz="0" w:space="0" w:color="auto"/>
        <w:left w:val="none" w:sz="0" w:space="0" w:color="auto"/>
        <w:bottom w:val="none" w:sz="0" w:space="0" w:color="auto"/>
        <w:right w:val="none" w:sz="0" w:space="0" w:color="auto"/>
      </w:divBdr>
    </w:div>
    <w:div w:id="1763067765">
      <w:bodyDiv w:val="1"/>
      <w:marLeft w:val="0"/>
      <w:marRight w:val="0"/>
      <w:marTop w:val="0"/>
      <w:marBottom w:val="0"/>
      <w:divBdr>
        <w:top w:val="none" w:sz="0" w:space="0" w:color="auto"/>
        <w:left w:val="none" w:sz="0" w:space="0" w:color="auto"/>
        <w:bottom w:val="none" w:sz="0" w:space="0" w:color="auto"/>
        <w:right w:val="none" w:sz="0" w:space="0" w:color="auto"/>
      </w:divBdr>
    </w:div>
    <w:div w:id="1779442476">
      <w:bodyDiv w:val="1"/>
      <w:marLeft w:val="0"/>
      <w:marRight w:val="0"/>
      <w:marTop w:val="0"/>
      <w:marBottom w:val="0"/>
      <w:divBdr>
        <w:top w:val="none" w:sz="0" w:space="0" w:color="auto"/>
        <w:left w:val="none" w:sz="0" w:space="0" w:color="auto"/>
        <w:bottom w:val="none" w:sz="0" w:space="0" w:color="auto"/>
        <w:right w:val="none" w:sz="0" w:space="0" w:color="auto"/>
      </w:divBdr>
    </w:div>
    <w:div w:id="1781560111">
      <w:bodyDiv w:val="1"/>
      <w:marLeft w:val="0"/>
      <w:marRight w:val="0"/>
      <w:marTop w:val="0"/>
      <w:marBottom w:val="0"/>
      <w:divBdr>
        <w:top w:val="none" w:sz="0" w:space="0" w:color="auto"/>
        <w:left w:val="none" w:sz="0" w:space="0" w:color="auto"/>
        <w:bottom w:val="none" w:sz="0" w:space="0" w:color="auto"/>
        <w:right w:val="none" w:sz="0" w:space="0" w:color="auto"/>
      </w:divBdr>
    </w:div>
    <w:div w:id="1798648147">
      <w:bodyDiv w:val="1"/>
      <w:marLeft w:val="0"/>
      <w:marRight w:val="0"/>
      <w:marTop w:val="0"/>
      <w:marBottom w:val="0"/>
      <w:divBdr>
        <w:top w:val="none" w:sz="0" w:space="0" w:color="auto"/>
        <w:left w:val="none" w:sz="0" w:space="0" w:color="auto"/>
        <w:bottom w:val="none" w:sz="0" w:space="0" w:color="auto"/>
        <w:right w:val="none" w:sz="0" w:space="0" w:color="auto"/>
      </w:divBdr>
    </w:div>
    <w:div w:id="1818691192">
      <w:bodyDiv w:val="1"/>
      <w:marLeft w:val="0"/>
      <w:marRight w:val="0"/>
      <w:marTop w:val="0"/>
      <w:marBottom w:val="0"/>
      <w:divBdr>
        <w:top w:val="none" w:sz="0" w:space="0" w:color="auto"/>
        <w:left w:val="none" w:sz="0" w:space="0" w:color="auto"/>
        <w:bottom w:val="none" w:sz="0" w:space="0" w:color="auto"/>
        <w:right w:val="none" w:sz="0" w:space="0" w:color="auto"/>
      </w:divBdr>
    </w:div>
    <w:div w:id="1846632407">
      <w:bodyDiv w:val="1"/>
      <w:marLeft w:val="0"/>
      <w:marRight w:val="0"/>
      <w:marTop w:val="0"/>
      <w:marBottom w:val="0"/>
      <w:divBdr>
        <w:top w:val="none" w:sz="0" w:space="0" w:color="auto"/>
        <w:left w:val="none" w:sz="0" w:space="0" w:color="auto"/>
        <w:bottom w:val="none" w:sz="0" w:space="0" w:color="auto"/>
        <w:right w:val="none" w:sz="0" w:space="0" w:color="auto"/>
      </w:divBdr>
    </w:div>
    <w:div w:id="1886720462">
      <w:bodyDiv w:val="1"/>
      <w:marLeft w:val="0"/>
      <w:marRight w:val="0"/>
      <w:marTop w:val="0"/>
      <w:marBottom w:val="0"/>
      <w:divBdr>
        <w:top w:val="none" w:sz="0" w:space="0" w:color="auto"/>
        <w:left w:val="none" w:sz="0" w:space="0" w:color="auto"/>
        <w:bottom w:val="none" w:sz="0" w:space="0" w:color="auto"/>
        <w:right w:val="none" w:sz="0" w:space="0" w:color="auto"/>
      </w:divBdr>
    </w:div>
    <w:div w:id="1887524226">
      <w:bodyDiv w:val="1"/>
      <w:marLeft w:val="0"/>
      <w:marRight w:val="0"/>
      <w:marTop w:val="0"/>
      <w:marBottom w:val="0"/>
      <w:divBdr>
        <w:top w:val="none" w:sz="0" w:space="0" w:color="auto"/>
        <w:left w:val="none" w:sz="0" w:space="0" w:color="auto"/>
        <w:bottom w:val="none" w:sz="0" w:space="0" w:color="auto"/>
        <w:right w:val="none" w:sz="0" w:space="0" w:color="auto"/>
      </w:divBdr>
    </w:div>
    <w:div w:id="1893539418">
      <w:bodyDiv w:val="1"/>
      <w:marLeft w:val="0"/>
      <w:marRight w:val="0"/>
      <w:marTop w:val="0"/>
      <w:marBottom w:val="0"/>
      <w:divBdr>
        <w:top w:val="none" w:sz="0" w:space="0" w:color="auto"/>
        <w:left w:val="none" w:sz="0" w:space="0" w:color="auto"/>
        <w:bottom w:val="none" w:sz="0" w:space="0" w:color="auto"/>
        <w:right w:val="none" w:sz="0" w:space="0" w:color="auto"/>
      </w:divBdr>
    </w:div>
    <w:div w:id="1916237994">
      <w:bodyDiv w:val="1"/>
      <w:marLeft w:val="0"/>
      <w:marRight w:val="0"/>
      <w:marTop w:val="0"/>
      <w:marBottom w:val="0"/>
      <w:divBdr>
        <w:top w:val="none" w:sz="0" w:space="0" w:color="auto"/>
        <w:left w:val="none" w:sz="0" w:space="0" w:color="auto"/>
        <w:bottom w:val="none" w:sz="0" w:space="0" w:color="auto"/>
        <w:right w:val="none" w:sz="0" w:space="0" w:color="auto"/>
      </w:divBdr>
    </w:div>
    <w:div w:id="1918854835">
      <w:bodyDiv w:val="1"/>
      <w:marLeft w:val="0"/>
      <w:marRight w:val="0"/>
      <w:marTop w:val="0"/>
      <w:marBottom w:val="0"/>
      <w:divBdr>
        <w:top w:val="none" w:sz="0" w:space="0" w:color="auto"/>
        <w:left w:val="none" w:sz="0" w:space="0" w:color="auto"/>
        <w:bottom w:val="none" w:sz="0" w:space="0" w:color="auto"/>
        <w:right w:val="none" w:sz="0" w:space="0" w:color="auto"/>
      </w:divBdr>
    </w:div>
    <w:div w:id="1923487114">
      <w:bodyDiv w:val="1"/>
      <w:marLeft w:val="0"/>
      <w:marRight w:val="0"/>
      <w:marTop w:val="0"/>
      <w:marBottom w:val="0"/>
      <w:divBdr>
        <w:top w:val="none" w:sz="0" w:space="0" w:color="auto"/>
        <w:left w:val="none" w:sz="0" w:space="0" w:color="auto"/>
        <w:bottom w:val="none" w:sz="0" w:space="0" w:color="auto"/>
        <w:right w:val="none" w:sz="0" w:space="0" w:color="auto"/>
      </w:divBdr>
    </w:div>
    <w:div w:id="1933514611">
      <w:bodyDiv w:val="1"/>
      <w:marLeft w:val="0"/>
      <w:marRight w:val="0"/>
      <w:marTop w:val="0"/>
      <w:marBottom w:val="0"/>
      <w:divBdr>
        <w:top w:val="none" w:sz="0" w:space="0" w:color="auto"/>
        <w:left w:val="none" w:sz="0" w:space="0" w:color="auto"/>
        <w:bottom w:val="none" w:sz="0" w:space="0" w:color="auto"/>
        <w:right w:val="none" w:sz="0" w:space="0" w:color="auto"/>
      </w:divBdr>
    </w:div>
    <w:div w:id="1957561391">
      <w:bodyDiv w:val="1"/>
      <w:marLeft w:val="0"/>
      <w:marRight w:val="0"/>
      <w:marTop w:val="0"/>
      <w:marBottom w:val="0"/>
      <w:divBdr>
        <w:top w:val="none" w:sz="0" w:space="0" w:color="auto"/>
        <w:left w:val="none" w:sz="0" w:space="0" w:color="auto"/>
        <w:bottom w:val="none" w:sz="0" w:space="0" w:color="auto"/>
        <w:right w:val="none" w:sz="0" w:space="0" w:color="auto"/>
      </w:divBdr>
    </w:div>
    <w:div w:id="1984846649">
      <w:bodyDiv w:val="1"/>
      <w:marLeft w:val="0"/>
      <w:marRight w:val="0"/>
      <w:marTop w:val="0"/>
      <w:marBottom w:val="0"/>
      <w:divBdr>
        <w:top w:val="none" w:sz="0" w:space="0" w:color="auto"/>
        <w:left w:val="none" w:sz="0" w:space="0" w:color="auto"/>
        <w:bottom w:val="none" w:sz="0" w:space="0" w:color="auto"/>
        <w:right w:val="none" w:sz="0" w:space="0" w:color="auto"/>
      </w:divBdr>
    </w:div>
    <w:div w:id="2040888814">
      <w:bodyDiv w:val="1"/>
      <w:marLeft w:val="0"/>
      <w:marRight w:val="0"/>
      <w:marTop w:val="0"/>
      <w:marBottom w:val="0"/>
      <w:divBdr>
        <w:top w:val="none" w:sz="0" w:space="0" w:color="auto"/>
        <w:left w:val="none" w:sz="0" w:space="0" w:color="auto"/>
        <w:bottom w:val="none" w:sz="0" w:space="0" w:color="auto"/>
        <w:right w:val="none" w:sz="0" w:space="0" w:color="auto"/>
      </w:divBdr>
    </w:div>
    <w:div w:id="2063209383">
      <w:bodyDiv w:val="1"/>
      <w:marLeft w:val="0"/>
      <w:marRight w:val="0"/>
      <w:marTop w:val="0"/>
      <w:marBottom w:val="0"/>
      <w:divBdr>
        <w:top w:val="none" w:sz="0" w:space="0" w:color="auto"/>
        <w:left w:val="none" w:sz="0" w:space="0" w:color="auto"/>
        <w:bottom w:val="none" w:sz="0" w:space="0" w:color="auto"/>
        <w:right w:val="none" w:sz="0" w:space="0" w:color="auto"/>
      </w:divBdr>
    </w:div>
    <w:div w:id="2068020546">
      <w:bodyDiv w:val="1"/>
      <w:marLeft w:val="0"/>
      <w:marRight w:val="0"/>
      <w:marTop w:val="0"/>
      <w:marBottom w:val="0"/>
      <w:divBdr>
        <w:top w:val="none" w:sz="0" w:space="0" w:color="auto"/>
        <w:left w:val="none" w:sz="0" w:space="0" w:color="auto"/>
        <w:bottom w:val="none" w:sz="0" w:space="0" w:color="auto"/>
        <w:right w:val="none" w:sz="0" w:space="0" w:color="auto"/>
      </w:divBdr>
    </w:div>
    <w:div w:id="2068140086">
      <w:bodyDiv w:val="1"/>
      <w:marLeft w:val="0"/>
      <w:marRight w:val="0"/>
      <w:marTop w:val="0"/>
      <w:marBottom w:val="0"/>
      <w:divBdr>
        <w:top w:val="none" w:sz="0" w:space="0" w:color="auto"/>
        <w:left w:val="none" w:sz="0" w:space="0" w:color="auto"/>
        <w:bottom w:val="none" w:sz="0" w:space="0" w:color="auto"/>
        <w:right w:val="none" w:sz="0" w:space="0" w:color="auto"/>
      </w:divBdr>
    </w:div>
    <w:div w:id="2077897202">
      <w:bodyDiv w:val="1"/>
      <w:marLeft w:val="0"/>
      <w:marRight w:val="0"/>
      <w:marTop w:val="0"/>
      <w:marBottom w:val="0"/>
      <w:divBdr>
        <w:top w:val="none" w:sz="0" w:space="0" w:color="auto"/>
        <w:left w:val="none" w:sz="0" w:space="0" w:color="auto"/>
        <w:bottom w:val="none" w:sz="0" w:space="0" w:color="auto"/>
        <w:right w:val="none" w:sz="0" w:space="0" w:color="auto"/>
      </w:divBdr>
    </w:div>
    <w:div w:id="2112627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eur-lex.europa.eu/legal-content/IT/TXT/?uri=CELEX%3A32016R0792" TargetMode="External"/><Relationship Id="rId50" Type="http://schemas.openxmlformats.org/officeDocument/2006/relationships/hyperlink" Target="http://www.istat.it/it/congiuntura/revisioni" TargetMode="External"/><Relationship Id="rId55" Type="http://schemas.openxmlformats.org/officeDocument/2006/relationships/hyperlink" Target="http://dati.istat.it" TargetMode="External"/><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1.xml"/><Relationship Id="rId11" Type="http://schemas.openxmlformats.org/officeDocument/2006/relationships/footnotes" Target="footnotes.xml"/><Relationship Id="rId24" Type="http://schemas.openxmlformats.org/officeDocument/2006/relationships/hyperlink" Target="http://www.istat.it/it/congiuntura"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ec.europa.eu/eurostat/ramon/nomenclatures/index.cfm?TargetUrl=DSP_GEN_DESC_VIEW_NOHDR&amp;StrNom=COICOP_5&amp;StrLanguageCode=EN" TargetMode="External"/><Relationship Id="rId53" Type="http://schemas.openxmlformats.org/officeDocument/2006/relationships/hyperlink" Target="https://www.istat.it/it/informazioni-e-servizi/per-i-giornalisti/appuntamenti/calendario-diffusioni-ed-eventi" TargetMode="External"/><Relationship Id="rId58" Type="http://schemas.openxmlformats.org/officeDocument/2006/relationships/hyperlink" Target="http://ec.europa.eu/eurostat/data/database%20" TargetMode="External"/><Relationship Id="rId5" Type="http://schemas.openxmlformats.org/officeDocument/2006/relationships/customXml" Target="../customXml/item5.xml"/><Relationship Id="rId61" Type="http://schemas.openxmlformats.org/officeDocument/2006/relationships/hyperlink" Target="mailto:alessandro.brunetti@istat.it"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footer" Target="footer2.xml"/><Relationship Id="rId35" Type="http://schemas.openxmlformats.org/officeDocument/2006/relationships/image" Target="media/image21.png"/><Relationship Id="rId43" Type="http://schemas.openxmlformats.org/officeDocument/2006/relationships/header" Target="header5.xml"/><Relationship Id="rId48" Type="http://schemas.openxmlformats.org/officeDocument/2006/relationships/hyperlink" Target="https://eur-lex.europa.eu/legal-content/IT/TXT/?uri=CELEX:32020R1148" TargetMode="External"/><Relationship Id="rId56" Type="http://schemas.openxmlformats.org/officeDocument/2006/relationships/hyperlink" Target="http://dati-congiuntura.istat.it/" TargetMode="External"/><Relationship Id="rId8" Type="http://schemas.openxmlformats.org/officeDocument/2006/relationships/styles" Target="style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image" Target="media/image19.png"/><Relationship Id="rId38" Type="http://schemas.openxmlformats.org/officeDocument/2006/relationships/header" Target="header4.xml"/><Relationship Id="rId46" Type="http://schemas.openxmlformats.org/officeDocument/2006/relationships/header" Target="header7.xml"/><Relationship Id="rId59" Type="http://schemas.openxmlformats.org/officeDocument/2006/relationships/header" Target="header8.xm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hyperlink" Target="https://www.istat.it/it/archivio/prezzi+al+consumo"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5.png"/><Relationship Id="rId23" Type="http://schemas.openxmlformats.org/officeDocument/2006/relationships/hyperlink" Target="http://dati.istat.it/" TargetMode="External"/><Relationship Id="rId28" Type="http://schemas.openxmlformats.org/officeDocument/2006/relationships/header" Target="header3.xml"/><Relationship Id="rId36" Type="http://schemas.openxmlformats.org/officeDocument/2006/relationships/image" Target="media/image22.png"/><Relationship Id="rId49" Type="http://schemas.openxmlformats.org/officeDocument/2006/relationships/hyperlink" Target="https://www.istat.it/it/files/2011/04/dlgs322.pdf" TargetMode="External"/><Relationship Id="rId57" Type="http://schemas.openxmlformats.org/officeDocument/2006/relationships/hyperlink" Target="http://seriestoriche.istat.it/" TargetMode="External"/><Relationship Id="rId10" Type="http://schemas.openxmlformats.org/officeDocument/2006/relationships/webSettings" Target="webSettings.xml"/><Relationship Id="rId31" Type="http://schemas.openxmlformats.org/officeDocument/2006/relationships/image" Target="media/image17.png"/><Relationship Id="rId44" Type="http://schemas.openxmlformats.org/officeDocument/2006/relationships/header" Target="header6.xml"/><Relationship Id="rId52" Type="http://schemas.openxmlformats.org/officeDocument/2006/relationships/image" Target="media/image33.png"/><Relationship Id="rId60" Type="http://schemas.openxmlformats.org/officeDocument/2006/relationships/hyperlink" Target="mailto:manuela.morricone@istat.it" TargetMode="External"/><Relationship Id="rId4" Type="http://schemas.openxmlformats.org/officeDocument/2006/relationships/customXml" Target="../customXml/item4.xml"/><Relationship Id="rId9"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footnotes.xml.rels><?xml version="1.0" encoding="UTF-8" standalone="yes"?>
<Relationships xmlns="http://schemas.openxmlformats.org/package/2006/relationships"><Relationship Id="rId3" Type="http://schemas.openxmlformats.org/officeDocument/2006/relationships/hyperlink" Target="http://dati.istat.it/" TargetMode="External"/><Relationship Id="rId2" Type="http://schemas.openxmlformats.org/officeDocument/2006/relationships/hyperlink" Target="http://ec.europa.eu/eurostat/documents/3859598/5926625/KS-RA-13-017-EN.PDF/59eb2c1c-da1f-472c-b191-3d0c76521f9b?version=1.0" TargetMode="External"/><Relationship Id="rId1" Type="http://schemas.openxmlformats.org/officeDocument/2006/relationships/hyperlink" Target="http://ec.europa.eu/eurostat/ramon/nomenclatures/index.cfm?TargetUrl=LST_NOM_DTL&amp;StrNom=HICP_2000&amp;StrLanguageCode=EN&amp;IntPcKey=&amp;StrLayoutCode"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file:///G:\Users\enzalucia.vaccaro\My%20Documents\TESTATINE\ufficiostampa@istat.it" TargetMode="External"/><Relationship Id="rId7" Type="http://schemas.openxmlformats.org/officeDocument/2006/relationships/image" Target="media/image13.png"/><Relationship Id="rId2" Type="http://schemas.openxmlformats.org/officeDocument/2006/relationships/hyperlink" Target="https://contact.istat.it/s/?language=it" TargetMode="External"/><Relationship Id="rId1" Type="http://schemas.openxmlformats.org/officeDocument/2006/relationships/hyperlink" Target="http://www.istat.it" TargetMode="External"/><Relationship Id="rId6" Type="http://schemas.openxmlformats.org/officeDocument/2006/relationships/hyperlink" Target="file:///G:\Users\enzalucia.vaccaro\My%20Documents\TESTATINE\ufficiostampa@istat.it" TargetMode="External"/><Relationship Id="rId5" Type="http://schemas.openxmlformats.org/officeDocument/2006/relationships/hyperlink" Target="https://contact.istat.it/s/?language=it" TargetMode="External"/><Relationship Id="rId4" Type="http://schemas.openxmlformats.org/officeDocument/2006/relationships/hyperlink" Target="http://www.istat.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24.jpeg"/></Relationships>
</file>

<file path=word/_rels/header5.xml.rels><?xml version="1.0" encoding="UTF-8" standalone="yes"?>
<Relationships xmlns="http://schemas.openxmlformats.org/package/2006/relationships"><Relationship Id="rId1" Type="http://schemas.openxmlformats.org/officeDocument/2006/relationships/image" Target="media/image29.png"/></Relationships>
</file>

<file path=word/_rels/header6.xml.rels><?xml version="1.0" encoding="UTF-8" standalone="yes"?>
<Relationships xmlns="http://schemas.openxmlformats.org/package/2006/relationships"><Relationship Id="rId1" Type="http://schemas.openxmlformats.org/officeDocument/2006/relationships/image" Target="media/image30.png"/></Relationships>
</file>

<file path=word/_rels/header7.xml.rels><?xml version="1.0" encoding="UTF-8" standalone="yes"?>
<Relationships xmlns="http://schemas.openxmlformats.org/package/2006/relationships"><Relationship Id="rId1" Type="http://schemas.openxmlformats.org/officeDocument/2006/relationships/image" Target="media/image31.png"/></Relationships>
</file>

<file path=word/_rels/header8.xml.rels><?xml version="1.0" encoding="UTF-8" standalone="yes"?>
<Relationships xmlns="http://schemas.openxmlformats.org/package/2006/relationships"><Relationship Id="rId1" Type="http://schemas.openxmlformats.org/officeDocument/2006/relationships/image" Target="media/image3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Nota o comunicato" ma:contentTypeID="0x010100B795A82E90F7744F8BBD5BCEA1E47B9D00412BB8B24175FB4599016A296A388103" ma:contentTypeVersion="2" ma:contentTypeDescription="" ma:contentTypeScope="" ma:versionID="fef993d87c238cc71779350178681a56">
  <xsd:schema xmlns:xsd="http://www.w3.org/2001/XMLSchema" xmlns:xs="http://www.w3.org/2001/XMLSchema" xmlns:p="http://schemas.microsoft.com/office/2006/metadata/properties" xmlns:ns2="2886d22a-1eb9-406b-961e-e52bb60f5915" targetNamespace="http://schemas.microsoft.com/office/2006/metadata/properties" ma:root="true" ma:fieldsID="6a986a9c8108b3d7a67e5da413ff238a" ns2:_="">
    <xsd:import namespace="2886d22a-1eb9-406b-961e-e52bb60f591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86d22a-1eb9-406b-961e-e52bb60f5915"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83F46-1395-4645-806B-91E455B2C2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E68921-35FA-472F-9A9B-31C6B1C2992E}">
  <ds:schemaRefs>
    <ds:schemaRef ds:uri="http://schemas.microsoft.com/office/2006/metadata/longProperties"/>
  </ds:schemaRefs>
</ds:datastoreItem>
</file>

<file path=customXml/itemProps3.xml><?xml version="1.0" encoding="utf-8"?>
<ds:datastoreItem xmlns:ds="http://schemas.openxmlformats.org/officeDocument/2006/customXml" ds:itemID="{65E54356-5B5F-419C-B686-0B79A877A076}">
  <ds:schemaRefs>
    <ds:schemaRef ds:uri="http://schemas.microsoft.com/sharepoint/v3/contenttype/forms"/>
  </ds:schemaRefs>
</ds:datastoreItem>
</file>

<file path=customXml/itemProps4.xml><?xml version="1.0" encoding="utf-8"?>
<ds:datastoreItem xmlns:ds="http://schemas.openxmlformats.org/officeDocument/2006/customXml" ds:itemID="{D06F6CA5-FB0D-431F-8457-B546C50DE59F}">
  <ds:schemaRefs>
    <ds:schemaRef ds:uri="http://schemas.microsoft.com/sharepoint/events"/>
  </ds:schemaRefs>
</ds:datastoreItem>
</file>

<file path=customXml/itemProps5.xml><?xml version="1.0" encoding="utf-8"?>
<ds:datastoreItem xmlns:ds="http://schemas.openxmlformats.org/officeDocument/2006/customXml" ds:itemID="{8D47A1EC-2410-43DC-8477-27E106DC8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86d22a-1eb9-406b-961e-e52bb60f5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7044E2A-E824-412A-9BC0-A98165D5E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16685</Words>
  <Characters>95105</Characters>
  <Application>Microsoft Office Word</Application>
  <DocSecurity>0</DocSecurity>
  <Lines>792</Lines>
  <Paragraphs>223</Paragraphs>
  <ScaleCrop>false</ScaleCrop>
  <HeadingPairs>
    <vt:vector size="2" baseType="variant">
      <vt:variant>
        <vt:lpstr>Titolo</vt:lpstr>
      </vt:variant>
      <vt:variant>
        <vt:i4>1</vt:i4>
      </vt:variant>
    </vt:vector>
  </HeadingPairs>
  <TitlesOfParts>
    <vt:vector size="1" baseType="lpstr">
      <vt:lpstr>Giugno 2010</vt:lpstr>
    </vt:vector>
  </TitlesOfParts>
  <Company>HP</Company>
  <LinksUpToDate>false</LinksUpToDate>
  <CharactersWithSpaces>111567</CharactersWithSpaces>
  <SharedDoc>false</SharedDoc>
  <HLinks>
    <vt:vector size="102" baseType="variant">
      <vt:variant>
        <vt:i4>7340157</vt:i4>
      </vt:variant>
      <vt:variant>
        <vt:i4>63</vt:i4>
      </vt:variant>
      <vt:variant>
        <vt:i4>0</vt:i4>
      </vt:variant>
      <vt:variant>
        <vt:i4>5</vt:i4>
      </vt:variant>
      <vt:variant>
        <vt:lpwstr>http://ec.europa.eu/eurostat/data/database</vt:lpwstr>
      </vt:variant>
      <vt:variant>
        <vt:lpwstr/>
      </vt:variant>
      <vt:variant>
        <vt:i4>6291582</vt:i4>
      </vt:variant>
      <vt:variant>
        <vt:i4>60</vt:i4>
      </vt:variant>
      <vt:variant>
        <vt:i4>0</vt:i4>
      </vt:variant>
      <vt:variant>
        <vt:i4>5</vt:i4>
      </vt:variant>
      <vt:variant>
        <vt:lpwstr>http://seriestoriche.istat.it/</vt:lpwstr>
      </vt:variant>
      <vt:variant>
        <vt:lpwstr/>
      </vt:variant>
      <vt:variant>
        <vt:i4>720927</vt:i4>
      </vt:variant>
      <vt:variant>
        <vt:i4>57</vt:i4>
      </vt:variant>
      <vt:variant>
        <vt:i4>0</vt:i4>
      </vt:variant>
      <vt:variant>
        <vt:i4>5</vt:i4>
      </vt:variant>
      <vt:variant>
        <vt:lpwstr>http://dati-congiuntura.istat.it/</vt:lpwstr>
      </vt:variant>
      <vt:variant>
        <vt:lpwstr/>
      </vt:variant>
      <vt:variant>
        <vt:i4>6094849</vt:i4>
      </vt:variant>
      <vt:variant>
        <vt:i4>54</vt:i4>
      </vt:variant>
      <vt:variant>
        <vt:i4>0</vt:i4>
      </vt:variant>
      <vt:variant>
        <vt:i4>5</vt:i4>
      </vt:variant>
      <vt:variant>
        <vt:lpwstr>http://dati.istat.it/</vt:lpwstr>
      </vt:variant>
      <vt:variant>
        <vt:lpwstr/>
      </vt:variant>
      <vt:variant>
        <vt:i4>2031702</vt:i4>
      </vt:variant>
      <vt:variant>
        <vt:i4>51</vt:i4>
      </vt:variant>
      <vt:variant>
        <vt:i4>0</vt:i4>
      </vt:variant>
      <vt:variant>
        <vt:i4>5</vt:i4>
      </vt:variant>
      <vt:variant>
        <vt:lpwstr>http://www.istat.it/it/prezzi</vt:lpwstr>
      </vt:variant>
      <vt:variant>
        <vt:lpwstr/>
      </vt:variant>
      <vt:variant>
        <vt:i4>5832734</vt:i4>
      </vt:variant>
      <vt:variant>
        <vt:i4>48</vt:i4>
      </vt:variant>
      <vt:variant>
        <vt:i4>0</vt:i4>
      </vt:variant>
      <vt:variant>
        <vt:i4>5</vt:i4>
      </vt:variant>
      <vt:variant>
        <vt:lpwstr>https://www.istat.it/it/informazioni-e-servizi/per-i-giornalisti/appuntamenti/calendario-diffusioni-ed-eventi</vt:lpwstr>
      </vt:variant>
      <vt:variant>
        <vt:lpwstr/>
      </vt:variant>
      <vt:variant>
        <vt:i4>2031617</vt:i4>
      </vt:variant>
      <vt:variant>
        <vt:i4>42</vt:i4>
      </vt:variant>
      <vt:variant>
        <vt:i4>0</vt:i4>
      </vt:variant>
      <vt:variant>
        <vt:i4>5</vt:i4>
      </vt:variant>
      <vt:variant>
        <vt:lpwstr>http://www.istat.it/it/congiuntura/revisioni</vt:lpwstr>
      </vt:variant>
      <vt:variant>
        <vt:lpwstr/>
      </vt:variant>
      <vt:variant>
        <vt:i4>7012425</vt:i4>
      </vt:variant>
      <vt:variant>
        <vt:i4>39</vt:i4>
      </vt:variant>
      <vt:variant>
        <vt:i4>0</vt:i4>
      </vt:variant>
      <vt:variant>
        <vt:i4>5</vt:i4>
      </vt:variant>
      <vt:variant>
        <vt:lpwstr>http://siqual.istat.it/SIQual/files/impo_reg330_2009_it.pdf?cod=13472&amp;tipo=2</vt:lpwstr>
      </vt:variant>
      <vt:variant>
        <vt:lpwstr/>
      </vt:variant>
      <vt:variant>
        <vt:i4>1704030</vt:i4>
      </vt:variant>
      <vt:variant>
        <vt:i4>36</vt:i4>
      </vt:variant>
      <vt:variant>
        <vt:i4>0</vt:i4>
      </vt:variant>
      <vt:variant>
        <vt:i4>5</vt:i4>
      </vt:variant>
      <vt:variant>
        <vt:lpwstr>http://eur-lex.europa.eu/legal-content/IT/TXT/?uri=CELEX%3A32016R0792</vt:lpwstr>
      </vt:variant>
      <vt:variant>
        <vt:lpwstr/>
      </vt:variant>
      <vt:variant>
        <vt:i4>1835016</vt:i4>
      </vt:variant>
      <vt:variant>
        <vt:i4>33</vt:i4>
      </vt:variant>
      <vt:variant>
        <vt:i4>0</vt:i4>
      </vt:variant>
      <vt:variant>
        <vt:i4>5</vt:i4>
      </vt:variant>
      <vt:variant>
        <vt:lpwstr>https://www.istat.it/it/files/2011/04/dlgs322.pdf</vt:lpwstr>
      </vt:variant>
      <vt:variant>
        <vt:lpwstr/>
      </vt:variant>
      <vt:variant>
        <vt:i4>1704030</vt:i4>
      </vt:variant>
      <vt:variant>
        <vt:i4>30</vt:i4>
      </vt:variant>
      <vt:variant>
        <vt:i4>0</vt:i4>
      </vt:variant>
      <vt:variant>
        <vt:i4>5</vt:i4>
      </vt:variant>
      <vt:variant>
        <vt:lpwstr>http://eur-lex.europa.eu/legal-content/IT/TXT/?uri=CELEX%3A32016R0792</vt:lpwstr>
      </vt:variant>
      <vt:variant>
        <vt:lpwstr/>
      </vt:variant>
      <vt:variant>
        <vt:i4>393327</vt:i4>
      </vt:variant>
      <vt:variant>
        <vt:i4>27</vt:i4>
      </vt:variant>
      <vt:variant>
        <vt:i4>0</vt:i4>
      </vt:variant>
      <vt:variant>
        <vt:i4>5</vt:i4>
      </vt:variant>
      <vt:variant>
        <vt:lpwstr>http://ec.europa.eu/eurostat/ramon/nomenclatures/index.cfm?TargetUrl=DSP_GEN_DESC_VIEW_NOHDR&amp;StrNom=COICOP_5&amp;StrLanguageCode=EN</vt:lpwstr>
      </vt:variant>
      <vt:variant>
        <vt:lpwstr/>
      </vt:variant>
      <vt:variant>
        <vt:i4>7208997</vt:i4>
      </vt:variant>
      <vt:variant>
        <vt:i4>3</vt:i4>
      </vt:variant>
      <vt:variant>
        <vt:i4>0</vt:i4>
      </vt:variant>
      <vt:variant>
        <vt:i4>5</vt:i4>
      </vt:variant>
      <vt:variant>
        <vt:lpwstr>http://www.istat.it/it/congiuntura</vt:lpwstr>
      </vt:variant>
      <vt:variant>
        <vt:lpwstr/>
      </vt:variant>
      <vt:variant>
        <vt:i4>6094849</vt:i4>
      </vt:variant>
      <vt:variant>
        <vt:i4>0</vt:i4>
      </vt:variant>
      <vt:variant>
        <vt:i4>0</vt:i4>
      </vt:variant>
      <vt:variant>
        <vt:i4>5</vt:i4>
      </vt:variant>
      <vt:variant>
        <vt:lpwstr>http://dati.istat.it/</vt:lpwstr>
      </vt:variant>
      <vt:variant>
        <vt:lpwstr/>
      </vt:variant>
      <vt:variant>
        <vt:i4>6094849</vt:i4>
      </vt:variant>
      <vt:variant>
        <vt:i4>6</vt:i4>
      </vt:variant>
      <vt:variant>
        <vt:i4>0</vt:i4>
      </vt:variant>
      <vt:variant>
        <vt:i4>5</vt:i4>
      </vt:variant>
      <vt:variant>
        <vt:lpwstr>http://dati.istat.it/</vt:lpwstr>
      </vt:variant>
      <vt:variant>
        <vt:lpwstr/>
      </vt:variant>
      <vt:variant>
        <vt:i4>6422641</vt:i4>
      </vt:variant>
      <vt:variant>
        <vt:i4>3</vt:i4>
      </vt:variant>
      <vt:variant>
        <vt:i4>0</vt:i4>
      </vt:variant>
      <vt:variant>
        <vt:i4>5</vt:i4>
      </vt:variant>
      <vt:variant>
        <vt:lpwstr>http://ec.europa.eu/eurostat/documents/3859598/5926625/KS-RA-13-017-EN.PDF/59eb2c1c-da1f-472c-b191-3d0c76521f9b?version=1.0</vt:lpwstr>
      </vt:variant>
      <vt:variant>
        <vt:lpwstr/>
      </vt:variant>
      <vt:variant>
        <vt:i4>5570613</vt:i4>
      </vt:variant>
      <vt:variant>
        <vt:i4>0</vt:i4>
      </vt:variant>
      <vt:variant>
        <vt:i4>0</vt:i4>
      </vt:variant>
      <vt:variant>
        <vt:i4>5</vt:i4>
      </vt:variant>
      <vt:variant>
        <vt:lpwstr>http://ec.europa.eu/eurostat/ramon/nomenclatures/index.cfm?TargetUrl=LST_NOM_DTL&amp;StrNom=HICP_2000&amp;StrLanguageCode=EN&amp;IntPcKey=&amp;StrLayoutCode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CS_Prezzi al consumo_Def_Dic2023</dc:title>
  <dc:creator>ISTAT</dc:creator>
  <cp:lastModifiedBy>UTENTE</cp:lastModifiedBy>
  <cp:revision>2</cp:revision>
  <cp:lastPrinted>2024-01-09T10:27:00Z</cp:lastPrinted>
  <dcterms:created xsi:type="dcterms:W3CDTF">2024-01-16T07:52:00Z</dcterms:created>
  <dcterms:modified xsi:type="dcterms:W3CDTF">2024-01-16T07:52:00Z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2QYKZWF4TN2A-29-1532</vt:lpwstr>
  </property>
  <property fmtid="{D5CDD505-2E9C-101B-9397-08002B2CF9AE}" pid="3" name="_dlc_DocIdItemGuid">
    <vt:lpwstr>6b6018b3-0771-4138-8967-ced6ea3fa960</vt:lpwstr>
  </property>
  <property fmtid="{D5CDD505-2E9C-101B-9397-08002B2CF9AE}" pid="4" name="_dlc_DocIdUrl">
    <vt:lpwstr>https://collaborazione.istat.it/siti/ed/ufficio_stampa/_layouts/DocIdRedir.aspx?ID=2QYKZWF4TN2A-29-1532, 2QYKZWF4TN2A-29-1532</vt:lpwstr>
  </property>
  <property fmtid="{D5CDD505-2E9C-101B-9397-08002B2CF9AE}" pid="5" name="ContentTypeId">
    <vt:lpwstr>0x010100B795A82E90F7744F8BBD5BCEA1E47B9D00412BB8B24175FB4599016A296A388103</vt:lpwstr>
  </property>
</Properties>
</file>