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DEB925" w14:textId="77777777" w:rsidR="00080146" w:rsidRDefault="00A5781F" w:rsidP="008D7D7F">
      <w:pPr>
        <w:ind w:left="1814" w:firstLine="58"/>
        <w:rPr>
          <w:rFonts w:ascii="Arial" w:hAnsi="Arial" w:cs="Arial"/>
          <w:noProof/>
          <w:color w:val="5F5F5F"/>
          <w:sz w:val="28"/>
          <w:szCs w:val="28"/>
        </w:rPr>
      </w:pPr>
      <w:r>
        <w:rPr>
          <w:rFonts w:ascii="Arial" w:hAnsi="Arial" w:cs="Arial"/>
          <w:noProof/>
          <w:color w:val="5F5F5F"/>
          <w:sz w:val="28"/>
          <w:szCs w:val="28"/>
        </w:rPr>
        <mc:AlternateContent>
          <mc:Choice Requires="wps">
            <w:drawing>
              <wp:anchor distT="0" distB="0" distL="114300" distR="114300" simplePos="0" relativeHeight="251660288" behindDoc="0" locked="0" layoutInCell="1" allowOverlap="1" wp14:anchorId="0505CC58" wp14:editId="4A7D0DFB">
                <wp:simplePos x="0" y="0"/>
                <wp:positionH relativeFrom="column">
                  <wp:posOffset>5365115</wp:posOffset>
                </wp:positionH>
                <wp:positionV relativeFrom="paragraph">
                  <wp:posOffset>-508635</wp:posOffset>
                </wp:positionV>
                <wp:extent cx="994410" cy="785495"/>
                <wp:effectExtent l="0" t="0" r="0" b="0"/>
                <wp:wrapNone/>
                <wp:docPr id="8" name="Casella di tes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4410" cy="785495"/>
                        </a:xfrm>
                        <a:prstGeom prst="rect">
                          <a:avLst/>
                        </a:prstGeom>
                        <a:solidFill>
                          <a:sysClr val="window" lastClr="FFFFFF"/>
                        </a:solidFill>
                        <a:ln w="6350">
                          <a:noFill/>
                        </a:ln>
                      </wps:spPr>
                      <wps:txbx>
                        <w:txbxContent>
                          <w:p w14:paraId="5EF8B07E" w14:textId="77777777" w:rsidR="00731071" w:rsidRDefault="00BE250C" w:rsidP="00A5781F">
                            <w:pPr>
                              <w:spacing w:after="120" w:line="180" w:lineRule="exact"/>
                              <w:rPr>
                                <w:rFonts w:ascii="Arial Narrow" w:hAnsi="Arial Narrow"/>
                                <w:sz w:val="18"/>
                                <w:szCs w:val="18"/>
                              </w:rPr>
                            </w:pPr>
                            <w:hyperlink r:id="rId13" w:history="1">
                              <w:r w:rsidR="00731071" w:rsidRPr="0059658A">
                                <w:rPr>
                                  <w:rStyle w:val="Collegamentoipertestuale"/>
                                  <w:rFonts w:ascii="Arial Narrow" w:hAnsi="Arial Narrow"/>
                                  <w:sz w:val="18"/>
                                  <w:szCs w:val="18"/>
                                </w:rPr>
                                <w:t>http://www.istat.it</w:t>
                              </w:r>
                            </w:hyperlink>
                          </w:p>
                          <w:p w14:paraId="0597BB93" w14:textId="0820F6CA" w:rsidR="00731071" w:rsidRDefault="00BF36A1" w:rsidP="00A5781F">
                            <w:pPr>
                              <w:rPr>
                                <w:rFonts w:ascii="Arial Narrow" w:hAnsi="Arial Narrow"/>
                                <w:b/>
                                <w:bCs/>
                                <w:sz w:val="18"/>
                                <w:szCs w:val="18"/>
                              </w:rPr>
                            </w:pPr>
                            <w:hyperlink r:id="rId14" w:history="1">
                              <w:r w:rsidR="00731071" w:rsidRPr="00BF36A1">
                                <w:rPr>
                                  <w:rStyle w:val="Collegamentoipertestuale"/>
                                  <w:rFonts w:ascii="Arial Narrow" w:hAnsi="Arial Narrow"/>
                                  <w:b/>
                                  <w:bCs/>
                                  <w:sz w:val="18"/>
                                  <w:szCs w:val="18"/>
                                </w:rPr>
                                <w:t>Contact Centre</w:t>
                              </w:r>
                            </w:hyperlink>
                            <w:bookmarkStart w:id="0" w:name="_GoBack"/>
                            <w:bookmarkEnd w:id="0"/>
                          </w:p>
                          <w:p w14:paraId="3529B627" w14:textId="77777777" w:rsidR="00BF36A1" w:rsidRPr="00D94ACE" w:rsidRDefault="00BF36A1" w:rsidP="00A5781F">
                            <w:pPr>
                              <w:rPr>
                                <w:rFonts w:ascii="Arial Narrow" w:hAnsi="Arial Narrow"/>
                                <w:b/>
                                <w:bCs/>
                                <w:sz w:val="18"/>
                                <w:szCs w:val="18"/>
                              </w:rPr>
                            </w:pPr>
                          </w:p>
                          <w:p w14:paraId="0F564EDC" w14:textId="77777777" w:rsidR="00731071" w:rsidRPr="00B367ED" w:rsidRDefault="00731071" w:rsidP="00A5781F">
                            <w:pPr>
                              <w:spacing w:line="180" w:lineRule="exact"/>
                              <w:rPr>
                                <w:rFonts w:ascii="Arial Narrow" w:hAnsi="Arial Narrow"/>
                                <w:b/>
                                <w:bCs/>
                                <w:sz w:val="18"/>
                                <w:szCs w:val="18"/>
                                <w:lang w:val="en-US"/>
                              </w:rPr>
                            </w:pPr>
                            <w:r w:rsidRPr="00235BD6">
                              <w:rPr>
                                <w:rFonts w:ascii="Arial Narrow" w:hAnsi="Arial Narrow"/>
                                <w:b/>
                                <w:bCs/>
                                <w:sz w:val="18"/>
                                <w:szCs w:val="18"/>
                              </w:rPr>
                              <w:t>Ufficio Stampa</w:t>
                            </w:r>
                            <w:r w:rsidRPr="00235BD6">
                              <w:rPr>
                                <w:rFonts w:ascii="Arial Narrow" w:hAnsi="Arial Narrow"/>
                                <w:b/>
                                <w:bCs/>
                                <w:sz w:val="18"/>
                                <w:szCs w:val="18"/>
                              </w:rPr>
                              <w:br/>
                            </w:r>
                            <w:r w:rsidRPr="00235BD6">
                              <w:rPr>
                                <w:rFonts w:ascii="Arial Narrow" w:hAnsi="Arial Narrow"/>
                                <w:sz w:val="18"/>
                                <w:szCs w:val="18"/>
                              </w:rPr>
                              <w:t xml:space="preserve">tel. </w:t>
                            </w:r>
                            <w:r w:rsidRPr="00F73BDE">
                              <w:rPr>
                                <w:rFonts w:ascii="Arial Narrow" w:hAnsi="Arial Narrow"/>
                                <w:sz w:val="18"/>
                                <w:szCs w:val="18"/>
                                <w:lang w:val="en-US"/>
                              </w:rPr>
                              <w:t>+39 06 4673.2243/4</w:t>
                            </w:r>
                          </w:p>
                          <w:p w14:paraId="7D1BF8DA" w14:textId="77777777" w:rsidR="00731071" w:rsidRPr="0035770E" w:rsidRDefault="00BE250C" w:rsidP="00A5781F">
                            <w:pPr>
                              <w:spacing w:after="120" w:line="180" w:lineRule="exact"/>
                              <w:rPr>
                                <w:rFonts w:ascii="Arial Narrow" w:hAnsi="Arial Narrow"/>
                                <w:b/>
                                <w:bCs/>
                                <w:color w:val="7F7F7F"/>
                                <w:sz w:val="18"/>
                                <w:szCs w:val="18"/>
                                <w:lang w:val="en-US"/>
                              </w:rPr>
                            </w:pPr>
                            <w:hyperlink r:id="rId15" w:history="1">
                              <w:r w:rsidR="00731071" w:rsidRPr="00D94ACE">
                                <w:rPr>
                                  <w:rStyle w:val="Collegamentoipertestuale"/>
                                  <w:rFonts w:ascii="Arial Narrow" w:hAnsi="Arial Narrow"/>
                                  <w:bCs/>
                                  <w:sz w:val="18"/>
                                  <w:szCs w:val="18"/>
                                  <w:lang w:val="en-US"/>
                                </w:rPr>
                                <w:t>ufficiostampa@istat.it</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5CC58" id="_x0000_t202" coordsize="21600,21600" o:spt="202" path="m,l,21600r21600,l21600,xe">
                <v:stroke joinstyle="miter"/>
                <v:path gradientshapeok="t" o:connecttype="rect"/>
              </v:shapetype>
              <v:shape id="Casella di testo 8" o:spid="_x0000_s1026" type="#_x0000_t202" style="position:absolute;left:0;text-align:left;margin-left:422.45pt;margin-top:-40.05pt;width:78.3pt;height:6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" fillcolor="window" stroked="f" strokeweight=".5pt">
                <v:path arrowok="t"/>
                <v:textbox inset="0,0,0,0">
                  <w:txbxContent>
                    <w:p w14:paraId="5EF8B07E" w14:textId="77777777" w:rsidR="00731071" w:rsidRDefault="00BE250C" w:rsidP="00A5781F">
                      <w:pPr>
                        <w:spacing w:after="120" w:line="180" w:lineRule="exact"/>
                        <w:rPr>
                          <w:rFonts w:ascii="Arial Narrow" w:hAnsi="Arial Narrow"/>
                          <w:sz w:val="18"/>
                          <w:szCs w:val="18"/>
                        </w:rPr>
                      </w:pPr>
                      <w:hyperlink r:id="rId16" w:history="1">
                        <w:r w:rsidR="00731071" w:rsidRPr="0059658A">
                          <w:rPr>
                            <w:rStyle w:val="Collegamentoipertestuale"/>
                            <w:rFonts w:ascii="Arial Narrow" w:hAnsi="Arial Narrow"/>
                            <w:sz w:val="18"/>
                            <w:szCs w:val="18"/>
                          </w:rPr>
                          <w:t>http://www.istat.it</w:t>
                        </w:r>
                      </w:hyperlink>
                    </w:p>
                    <w:p w14:paraId="0597BB93" w14:textId="0820F6CA" w:rsidR="00731071" w:rsidRDefault="00BF36A1" w:rsidP="00A5781F">
                      <w:pPr>
                        <w:rPr>
                          <w:rFonts w:ascii="Arial Narrow" w:hAnsi="Arial Narrow"/>
                          <w:b/>
                          <w:bCs/>
                          <w:sz w:val="18"/>
                          <w:szCs w:val="18"/>
                        </w:rPr>
                      </w:pPr>
                      <w:hyperlink r:id="rId17" w:history="1">
                        <w:r w:rsidR="00731071" w:rsidRPr="00BF36A1">
                          <w:rPr>
                            <w:rStyle w:val="Collegamentoipertestuale"/>
                            <w:rFonts w:ascii="Arial Narrow" w:hAnsi="Arial Narrow"/>
                            <w:b/>
                            <w:bCs/>
                            <w:sz w:val="18"/>
                            <w:szCs w:val="18"/>
                          </w:rPr>
                          <w:t>Contact Centre</w:t>
                        </w:r>
                      </w:hyperlink>
                      <w:bookmarkStart w:id="1" w:name="_GoBack"/>
                      <w:bookmarkEnd w:id="1"/>
                    </w:p>
                    <w:p w14:paraId="3529B627" w14:textId="77777777" w:rsidR="00BF36A1" w:rsidRPr="00D94ACE" w:rsidRDefault="00BF36A1" w:rsidP="00A5781F">
                      <w:pPr>
                        <w:rPr>
                          <w:rFonts w:ascii="Arial Narrow" w:hAnsi="Arial Narrow"/>
                          <w:b/>
                          <w:bCs/>
                          <w:sz w:val="18"/>
                          <w:szCs w:val="18"/>
                        </w:rPr>
                      </w:pPr>
                    </w:p>
                    <w:p w14:paraId="0F564EDC" w14:textId="77777777" w:rsidR="00731071" w:rsidRPr="00B367ED" w:rsidRDefault="00731071" w:rsidP="00A5781F">
                      <w:pPr>
                        <w:spacing w:line="180" w:lineRule="exact"/>
                        <w:rPr>
                          <w:rFonts w:ascii="Arial Narrow" w:hAnsi="Arial Narrow"/>
                          <w:b/>
                          <w:bCs/>
                          <w:sz w:val="18"/>
                          <w:szCs w:val="18"/>
                          <w:lang w:val="en-US"/>
                        </w:rPr>
                      </w:pPr>
                      <w:r w:rsidRPr="00235BD6">
                        <w:rPr>
                          <w:rFonts w:ascii="Arial Narrow" w:hAnsi="Arial Narrow"/>
                          <w:b/>
                          <w:bCs/>
                          <w:sz w:val="18"/>
                          <w:szCs w:val="18"/>
                        </w:rPr>
                        <w:t>Ufficio Stampa</w:t>
                      </w:r>
                      <w:r w:rsidRPr="00235BD6">
                        <w:rPr>
                          <w:rFonts w:ascii="Arial Narrow" w:hAnsi="Arial Narrow"/>
                          <w:b/>
                          <w:bCs/>
                          <w:sz w:val="18"/>
                          <w:szCs w:val="18"/>
                        </w:rPr>
                        <w:br/>
                      </w:r>
                      <w:r w:rsidRPr="00235BD6">
                        <w:rPr>
                          <w:rFonts w:ascii="Arial Narrow" w:hAnsi="Arial Narrow"/>
                          <w:sz w:val="18"/>
                          <w:szCs w:val="18"/>
                        </w:rPr>
                        <w:t xml:space="preserve">tel. </w:t>
                      </w:r>
                      <w:r w:rsidRPr="00F73BDE">
                        <w:rPr>
                          <w:rFonts w:ascii="Arial Narrow" w:hAnsi="Arial Narrow"/>
                          <w:sz w:val="18"/>
                          <w:szCs w:val="18"/>
                          <w:lang w:val="en-US"/>
                        </w:rPr>
                        <w:t>+39 06 4673.2243/4</w:t>
                      </w:r>
                    </w:p>
                    <w:p w14:paraId="7D1BF8DA" w14:textId="77777777" w:rsidR="00731071" w:rsidRPr="0035770E" w:rsidRDefault="00BE250C" w:rsidP="00A5781F">
                      <w:pPr>
                        <w:spacing w:after="120" w:line="180" w:lineRule="exact"/>
                        <w:rPr>
                          <w:rFonts w:ascii="Arial Narrow" w:hAnsi="Arial Narrow"/>
                          <w:b/>
                          <w:bCs/>
                          <w:color w:val="7F7F7F"/>
                          <w:sz w:val="18"/>
                          <w:szCs w:val="18"/>
                          <w:lang w:val="en-US"/>
                        </w:rPr>
                      </w:pPr>
                      <w:hyperlink r:id="rId18" w:history="1">
                        <w:r w:rsidR="00731071" w:rsidRPr="00D94ACE">
                          <w:rPr>
                            <w:rStyle w:val="Collegamentoipertestuale"/>
                            <w:rFonts w:ascii="Arial Narrow" w:hAnsi="Arial Narrow"/>
                            <w:bCs/>
                            <w:sz w:val="18"/>
                            <w:szCs w:val="18"/>
                            <w:lang w:val="en-US"/>
                          </w:rPr>
                          <w:t>ufficiostampa@istat.it</w:t>
                        </w:r>
                      </w:hyperlink>
                    </w:p>
                  </w:txbxContent>
                </v:textbox>
              </v:shape>
            </w:pict>
          </mc:Fallback>
        </mc:AlternateContent>
      </w:r>
    </w:p>
    <w:p w14:paraId="1571A812" w14:textId="77777777" w:rsidR="00B43883" w:rsidRDefault="00B43883" w:rsidP="008D7D7F">
      <w:pPr>
        <w:ind w:left="1814" w:firstLine="58"/>
        <w:rPr>
          <w:rFonts w:ascii="Arial" w:hAnsi="Arial" w:cs="Arial"/>
          <w:noProof/>
          <w:color w:val="5F5F5F"/>
          <w:sz w:val="28"/>
          <w:szCs w:val="28"/>
        </w:rPr>
      </w:pPr>
      <w:r>
        <w:rPr>
          <w:rFonts w:ascii="Arial" w:hAnsi="Arial" w:cs="Arial"/>
          <w:noProof/>
          <w:color w:val="5F5F5F"/>
          <w:sz w:val="28"/>
          <w:szCs w:val="28"/>
        </w:rPr>
        <mc:AlternateContent>
          <mc:Choice Requires="wps">
            <w:drawing>
              <wp:anchor distT="0" distB="0" distL="114300" distR="114300" simplePos="0" relativeHeight="251656192" behindDoc="0" locked="0" layoutInCell="1" allowOverlap="1" wp14:anchorId="3A8E30FF" wp14:editId="7BFA862B">
                <wp:simplePos x="0" y="0"/>
                <wp:positionH relativeFrom="column">
                  <wp:posOffset>3780790</wp:posOffset>
                </wp:positionH>
                <wp:positionV relativeFrom="paragraph">
                  <wp:posOffset>-593090</wp:posOffset>
                </wp:positionV>
                <wp:extent cx="1305560" cy="261620"/>
                <wp:effectExtent l="0" t="0" r="8890" b="5080"/>
                <wp:wrapNone/>
                <wp:docPr id="2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261620"/>
                        </a:xfrm>
                        <a:prstGeom prst="rect">
                          <a:avLst/>
                        </a:prstGeom>
                        <a:solidFill>
                          <a:srgbClr val="FFFFFF"/>
                        </a:solidFill>
                        <a:ln w="9525">
                          <a:solidFill>
                            <a:srgbClr val="FFFFFF"/>
                          </a:solidFill>
                          <a:miter lim="800000"/>
                          <a:headEnd/>
                          <a:tailEnd/>
                        </a:ln>
                      </wps:spPr>
                      <wps:txbx>
                        <w:txbxContent>
                          <w:p w14:paraId="2B98CC6D" w14:textId="6C595654" w:rsidR="00731071" w:rsidRPr="00BC0AFE" w:rsidRDefault="00731071" w:rsidP="00AE6AE5">
                            <w:pPr>
                              <w:jc w:val="right"/>
                              <w:rPr>
                                <w:rFonts w:ascii="Arial Narrow" w:hAnsi="Arial Narrow"/>
                                <w:b/>
                                <w:color w:val="5F5F5F"/>
                                <w:sz w:val="26"/>
                                <w:szCs w:val="26"/>
                              </w:rPr>
                            </w:pPr>
                            <w:r>
                              <w:rPr>
                                <w:rFonts w:ascii="Arial Narrow" w:hAnsi="Arial Narrow"/>
                                <w:b/>
                                <w:color w:val="5F5F5F"/>
                                <w:sz w:val="26"/>
                                <w:szCs w:val="26"/>
                              </w:rPr>
                              <w:t>15 dicembre 2023</w:t>
                            </w:r>
                            <w:r w:rsidRPr="00BC0AFE">
                              <w:rPr>
                                <w:rFonts w:ascii="Arial Narrow" w:hAnsi="Arial Narrow"/>
                                <w:b/>
                                <w:color w:val="5F5F5F"/>
                                <w:sz w:val="26"/>
                                <w:szCs w:val="26"/>
                              </w:rPr>
                              <w:t xml:space="preserve"> </w:t>
                            </w:r>
                          </w:p>
                          <w:p w14:paraId="1FE73B7B" w14:textId="77777777" w:rsidR="00731071" w:rsidRPr="00884ED9" w:rsidRDefault="00731071" w:rsidP="00AE6AE5">
                            <w:pPr>
                              <w:jc w:val="right"/>
                              <w:rPr>
                                <w:rFonts w:ascii="Arial Narrow" w:hAnsi="Arial Narrow"/>
                                <w:b/>
                                <w:color w:val="2298D1"/>
                                <w:sz w:val="26"/>
                                <w:szCs w:val="2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8E30FF" id="Casella di testo 2" o:spid="_x0000_s1027" type="#_x0000_t202" style="position:absolute;left:0;text-align:left;margin-left:297.7pt;margin-top:-46.7pt;width:102.8pt;height:20.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" strokecolor="white">
                <v:textbox inset="0,0,0,0">
                  <w:txbxContent>
                    <w:p w14:paraId="2B98CC6D" w14:textId="6C595654" w:rsidR="00731071" w:rsidRPr="00BC0AFE" w:rsidRDefault="00731071" w:rsidP="00AE6AE5">
                      <w:pPr>
                        <w:jc w:val="right"/>
                        <w:rPr>
                          <w:rFonts w:ascii="Arial Narrow" w:hAnsi="Arial Narrow"/>
                          <w:b/>
                          <w:color w:val="5F5F5F"/>
                          <w:sz w:val="26"/>
                          <w:szCs w:val="26"/>
                        </w:rPr>
                      </w:pPr>
                      <w:r>
                        <w:rPr>
                          <w:rFonts w:ascii="Arial Narrow" w:hAnsi="Arial Narrow"/>
                          <w:b/>
                          <w:color w:val="5F5F5F"/>
                          <w:sz w:val="26"/>
                          <w:szCs w:val="26"/>
                        </w:rPr>
                        <w:t>15 dicembre 2023</w:t>
                      </w:r>
                      <w:r w:rsidRPr="00BC0AFE">
                        <w:rPr>
                          <w:rFonts w:ascii="Arial Narrow" w:hAnsi="Arial Narrow"/>
                          <w:b/>
                          <w:color w:val="5F5F5F"/>
                          <w:sz w:val="26"/>
                          <w:szCs w:val="26"/>
                        </w:rPr>
                        <w:t xml:space="preserve"> </w:t>
                      </w:r>
                    </w:p>
                    <w:p w14:paraId="1FE73B7B" w14:textId="77777777" w:rsidR="00731071" w:rsidRPr="00884ED9" w:rsidRDefault="00731071" w:rsidP="00AE6AE5">
                      <w:pPr>
                        <w:jc w:val="right"/>
                        <w:rPr>
                          <w:rFonts w:ascii="Arial Narrow" w:hAnsi="Arial Narrow"/>
                          <w:b/>
                          <w:color w:val="2298D1"/>
                          <w:sz w:val="26"/>
                          <w:szCs w:val="26"/>
                        </w:rPr>
                      </w:pPr>
                    </w:p>
                  </w:txbxContent>
                </v:textbox>
              </v:shape>
            </w:pict>
          </mc:Fallback>
        </mc:AlternateContent>
      </w:r>
    </w:p>
    <w:p w14:paraId="44497608" w14:textId="77777777" w:rsidR="004342C5" w:rsidRPr="009D2CD6" w:rsidRDefault="004342C5" w:rsidP="008D7D7F">
      <w:pPr>
        <w:ind w:left="1814" w:firstLine="58"/>
        <w:rPr>
          <w:rFonts w:ascii="Arial" w:hAnsi="Arial" w:cs="Arial"/>
          <w:noProof/>
          <w:color w:val="5F5F5F"/>
          <w:sz w:val="16"/>
          <w:szCs w:val="16"/>
        </w:rPr>
      </w:pPr>
    </w:p>
    <w:p w14:paraId="5141F349" w14:textId="2BB1BD10" w:rsidR="008D7D7F" w:rsidRPr="00D134E3" w:rsidRDefault="00CD778E" w:rsidP="008D7D7F">
      <w:pPr>
        <w:ind w:left="1814" w:firstLine="58"/>
        <w:rPr>
          <w:rFonts w:ascii="Arial" w:hAnsi="Arial" w:cs="Arial"/>
          <w:color w:val="5F5F5F"/>
          <w:sz w:val="28"/>
          <w:szCs w:val="28"/>
        </w:rPr>
      </w:pPr>
      <w:r>
        <w:rPr>
          <w:rFonts w:ascii="Arial" w:hAnsi="Arial" w:cs="Arial"/>
          <w:noProof/>
          <w:color w:val="5F5F5F"/>
          <w:sz w:val="28"/>
          <w:szCs w:val="28"/>
        </w:rPr>
        <w:t>Ottobre</w:t>
      </w:r>
      <w:r w:rsidR="007657DD">
        <w:rPr>
          <w:rFonts w:ascii="Arial" w:hAnsi="Arial" w:cs="Arial"/>
          <w:color w:val="5F5F5F"/>
          <w:sz w:val="28"/>
          <w:szCs w:val="28"/>
        </w:rPr>
        <w:t xml:space="preserve"> 2023</w:t>
      </w:r>
    </w:p>
    <w:p w14:paraId="6A1F2450" w14:textId="77777777" w:rsidR="00A8222C" w:rsidRPr="00191F98" w:rsidRDefault="00AE6AE5" w:rsidP="00D134E3">
      <w:pPr>
        <w:ind w:left="1814" w:firstLine="58"/>
        <w:rPr>
          <w:rFonts w:ascii="Calibri" w:hAnsi="Calibri" w:cs="Arial"/>
          <w:b/>
          <w:color w:val="5F5F5F"/>
          <w:sz w:val="44"/>
          <w:szCs w:val="28"/>
        </w:rPr>
      </w:pPr>
      <w:r w:rsidRPr="00191F98">
        <w:rPr>
          <w:rFonts w:ascii="Calibri" w:hAnsi="Calibri" w:cs="Arial"/>
          <w:b/>
          <w:color w:val="5F5F5F"/>
          <w:sz w:val="44"/>
          <w:szCs w:val="28"/>
        </w:rPr>
        <w:t>CO</w:t>
      </w:r>
      <w:r w:rsidR="00284F38" w:rsidRPr="00191F98">
        <w:rPr>
          <w:rFonts w:ascii="Calibri" w:hAnsi="Calibri" w:cs="Arial"/>
          <w:b/>
          <w:color w:val="5F5F5F"/>
          <w:sz w:val="44"/>
          <w:szCs w:val="28"/>
        </w:rPr>
        <w:t>M</w:t>
      </w:r>
      <w:r w:rsidR="00A8222C" w:rsidRPr="00191F98">
        <w:rPr>
          <w:rFonts w:ascii="Calibri" w:hAnsi="Calibri" w:cs="Arial"/>
          <w:b/>
          <w:color w:val="5F5F5F"/>
          <w:sz w:val="44"/>
          <w:szCs w:val="28"/>
        </w:rPr>
        <w:t>MER</w:t>
      </w:r>
      <w:r w:rsidR="00284F38" w:rsidRPr="00191F98">
        <w:rPr>
          <w:rFonts w:ascii="Calibri" w:hAnsi="Calibri" w:cs="Arial"/>
          <w:b/>
          <w:color w:val="5F5F5F"/>
          <w:sz w:val="44"/>
          <w:szCs w:val="28"/>
        </w:rPr>
        <w:t>CI</w:t>
      </w:r>
      <w:r w:rsidR="00A8222C" w:rsidRPr="00191F98">
        <w:rPr>
          <w:rFonts w:ascii="Calibri" w:hAnsi="Calibri" w:cs="Arial"/>
          <w:b/>
          <w:color w:val="5F5F5F"/>
          <w:sz w:val="44"/>
          <w:szCs w:val="28"/>
        </w:rPr>
        <w:t>O CON L’ESTERO</w:t>
      </w:r>
    </w:p>
    <w:p w14:paraId="47C10760" w14:textId="77777777" w:rsidR="00A8222C" w:rsidRDefault="00793BF4" w:rsidP="000111F6">
      <w:pPr>
        <w:ind w:left="1814" w:firstLine="57"/>
        <w:rPr>
          <w:rFonts w:ascii="Calibri" w:hAnsi="Calibri" w:cs="Arial"/>
          <w:b/>
          <w:color w:val="5F5F5F"/>
          <w:sz w:val="44"/>
          <w:szCs w:val="28"/>
        </w:rPr>
      </w:pPr>
      <w:r>
        <w:rPr>
          <w:rFonts w:ascii="Calibri" w:hAnsi="Calibri" w:cs="Arial"/>
          <w:b/>
          <w:color w:val="5F5F5F"/>
          <w:sz w:val="44"/>
          <w:szCs w:val="28"/>
        </w:rPr>
        <w:t xml:space="preserve">E </w:t>
      </w:r>
      <w:r w:rsidR="00A8222C" w:rsidRPr="00191F98">
        <w:rPr>
          <w:rFonts w:ascii="Calibri" w:hAnsi="Calibri" w:cs="Arial"/>
          <w:b/>
          <w:color w:val="5F5F5F"/>
          <w:sz w:val="44"/>
          <w:szCs w:val="28"/>
        </w:rPr>
        <w:t>PREZZI ALL’IMPORT</w:t>
      </w:r>
    </w:p>
    <w:p w14:paraId="5344C072" w14:textId="77777777" w:rsidR="004E4512" w:rsidRPr="00F14685" w:rsidRDefault="004E4512" w:rsidP="00D66C47">
      <w:pPr>
        <w:ind w:left="1814" w:firstLine="57"/>
        <w:rPr>
          <w:rFonts w:ascii="Calibri" w:hAnsi="Calibri" w:cs="Arial"/>
          <w:b/>
          <w:color w:val="5F5F5F"/>
          <w:sz w:val="2"/>
          <w:szCs w:val="2"/>
        </w:rPr>
      </w:pPr>
    </w:p>
    <w:p w14:paraId="0F97B5B3" w14:textId="77777777" w:rsidR="00A8222C" w:rsidRPr="000D42CA" w:rsidRDefault="00A8222C" w:rsidP="00E15738">
      <w:pPr>
        <w:tabs>
          <w:tab w:val="left" w:pos="1843"/>
        </w:tabs>
        <w:spacing w:line="216" w:lineRule="auto"/>
        <w:ind w:left="1814"/>
        <w:rPr>
          <w:rFonts w:ascii="Calibri" w:hAnsi="Calibri" w:cs="Arial"/>
          <w:b/>
          <w:bCs/>
          <w:color w:val="5F5F5F"/>
          <w:w w:val="95"/>
          <w:sz w:val="10"/>
          <w:szCs w:val="10"/>
        </w:rPr>
      </w:pPr>
    </w:p>
    <w:p w14:paraId="54229AAC" w14:textId="52B44624" w:rsidR="00A000A2" w:rsidRPr="009B496D" w:rsidRDefault="00A000A2" w:rsidP="00AC73B4">
      <w:pPr>
        <w:pStyle w:val="Paragrafoelenco"/>
        <w:numPr>
          <w:ilvl w:val="0"/>
          <w:numId w:val="22"/>
        </w:numPr>
        <w:spacing w:after="100"/>
        <w:contextualSpacing w:val="0"/>
        <w:rPr>
          <w:rFonts w:ascii="Arial" w:hAnsi="Arial" w:cs="Arial"/>
          <w:bCs/>
          <w:color w:val="auto"/>
          <w:sz w:val="21"/>
          <w:szCs w:val="21"/>
          <w:lang w:eastAsia="en-US"/>
        </w:rPr>
      </w:pPr>
      <w:r w:rsidRPr="009B496D">
        <w:rPr>
          <w:rFonts w:ascii="Arial" w:hAnsi="Arial" w:cs="Arial"/>
          <w:bCs/>
          <w:color w:val="auto"/>
          <w:sz w:val="21"/>
          <w:szCs w:val="21"/>
          <w:lang w:eastAsia="en-US"/>
        </w:rPr>
        <w:t>A</w:t>
      </w:r>
      <w:r w:rsidR="00E13067" w:rsidRPr="009B496D">
        <w:rPr>
          <w:rFonts w:ascii="Arial" w:hAnsi="Arial" w:cs="Arial"/>
          <w:bCs/>
          <w:color w:val="auto"/>
          <w:sz w:val="21"/>
          <w:szCs w:val="21"/>
          <w:lang w:eastAsia="en-US"/>
        </w:rPr>
        <w:t xml:space="preserve"> </w:t>
      </w:r>
      <w:r w:rsidR="000E3FDA">
        <w:rPr>
          <w:rFonts w:ascii="Arial" w:hAnsi="Arial" w:cs="Arial"/>
          <w:bCs/>
          <w:color w:val="auto"/>
          <w:sz w:val="21"/>
          <w:szCs w:val="21"/>
          <w:lang w:eastAsia="en-US"/>
        </w:rPr>
        <w:t>ottobre</w:t>
      </w:r>
      <w:r w:rsidRPr="009B496D">
        <w:rPr>
          <w:rFonts w:ascii="Arial" w:hAnsi="Arial" w:cs="Arial"/>
          <w:bCs/>
          <w:color w:val="auto"/>
          <w:sz w:val="21"/>
          <w:szCs w:val="21"/>
          <w:lang w:eastAsia="en-US"/>
        </w:rPr>
        <w:t xml:space="preserve"> 2023 si stima un</w:t>
      </w:r>
      <w:r w:rsidR="00EE40CE">
        <w:rPr>
          <w:rFonts w:ascii="Arial" w:hAnsi="Arial" w:cs="Arial"/>
          <w:bCs/>
          <w:color w:val="auto"/>
          <w:sz w:val="21"/>
          <w:szCs w:val="21"/>
          <w:lang w:eastAsia="en-US"/>
        </w:rPr>
        <w:t xml:space="preserve">a crescita </w:t>
      </w:r>
      <w:r w:rsidRPr="009B496D">
        <w:rPr>
          <w:rFonts w:ascii="Arial" w:hAnsi="Arial" w:cs="Arial"/>
          <w:bCs/>
          <w:color w:val="auto"/>
          <w:sz w:val="21"/>
          <w:szCs w:val="21"/>
          <w:lang w:eastAsia="en-US"/>
        </w:rPr>
        <w:t xml:space="preserve">congiunturale per entrambi i flussi commerciali con l’estero, </w:t>
      </w:r>
      <w:r w:rsidR="00EE40CE">
        <w:rPr>
          <w:rFonts w:ascii="Arial" w:hAnsi="Arial" w:cs="Arial"/>
          <w:bCs/>
          <w:color w:val="auto"/>
          <w:sz w:val="21"/>
          <w:szCs w:val="21"/>
          <w:lang w:eastAsia="en-US"/>
        </w:rPr>
        <w:t xml:space="preserve">più intensa </w:t>
      </w:r>
      <w:r w:rsidR="00E13067" w:rsidRPr="009B496D">
        <w:rPr>
          <w:rFonts w:ascii="Arial" w:hAnsi="Arial" w:cs="Arial"/>
          <w:bCs/>
          <w:color w:val="auto"/>
          <w:sz w:val="21"/>
          <w:szCs w:val="21"/>
          <w:lang w:eastAsia="en-US"/>
        </w:rPr>
        <w:t>per le esportazioni (</w:t>
      </w:r>
      <w:r w:rsidR="00EE40CE">
        <w:rPr>
          <w:rFonts w:ascii="Arial" w:hAnsi="Arial" w:cs="Arial"/>
          <w:bCs/>
          <w:color w:val="auto"/>
          <w:sz w:val="21"/>
          <w:szCs w:val="21"/>
          <w:lang w:eastAsia="en-US"/>
        </w:rPr>
        <w:t>+3,8</w:t>
      </w:r>
      <w:r w:rsidR="00665F2F">
        <w:rPr>
          <w:rFonts w:ascii="Arial" w:hAnsi="Arial" w:cs="Arial"/>
          <w:bCs/>
          <w:color w:val="auto"/>
          <w:sz w:val="21"/>
          <w:szCs w:val="21"/>
          <w:lang w:eastAsia="en-US"/>
        </w:rPr>
        <w:t xml:space="preserve">%) che </w:t>
      </w:r>
      <w:r w:rsidR="00E5175D">
        <w:rPr>
          <w:rFonts w:ascii="Arial" w:hAnsi="Arial" w:cs="Arial"/>
          <w:bCs/>
          <w:color w:val="auto"/>
          <w:sz w:val="21"/>
          <w:szCs w:val="21"/>
          <w:lang w:eastAsia="en-US"/>
        </w:rPr>
        <w:t xml:space="preserve">per </w:t>
      </w:r>
      <w:r w:rsidR="00665F2F">
        <w:rPr>
          <w:rFonts w:ascii="Arial" w:hAnsi="Arial" w:cs="Arial"/>
          <w:bCs/>
          <w:color w:val="auto"/>
          <w:sz w:val="21"/>
          <w:szCs w:val="21"/>
          <w:lang w:eastAsia="en-US"/>
        </w:rPr>
        <w:t>le importazioni (</w:t>
      </w:r>
      <w:r w:rsidR="00EE40CE">
        <w:rPr>
          <w:rFonts w:ascii="Arial" w:hAnsi="Arial" w:cs="Arial"/>
          <w:bCs/>
          <w:color w:val="auto"/>
          <w:sz w:val="21"/>
          <w:szCs w:val="21"/>
          <w:lang w:eastAsia="en-US"/>
        </w:rPr>
        <w:t>+2,8%</w:t>
      </w:r>
      <w:r w:rsidR="00E13067" w:rsidRPr="009B496D">
        <w:rPr>
          <w:rFonts w:ascii="Arial" w:hAnsi="Arial" w:cs="Arial"/>
          <w:bCs/>
          <w:color w:val="auto"/>
          <w:sz w:val="21"/>
          <w:szCs w:val="21"/>
          <w:lang w:eastAsia="en-US"/>
        </w:rPr>
        <w:t xml:space="preserve">). </w:t>
      </w:r>
      <w:r w:rsidR="00665F2F">
        <w:rPr>
          <w:rFonts w:ascii="Arial" w:hAnsi="Arial" w:cs="Arial"/>
          <w:bCs/>
          <w:color w:val="auto"/>
          <w:sz w:val="21"/>
          <w:szCs w:val="21"/>
          <w:lang w:eastAsia="en-US"/>
        </w:rPr>
        <w:t>L</w:t>
      </w:r>
      <w:r w:rsidR="00EE40CE">
        <w:rPr>
          <w:rFonts w:ascii="Arial" w:hAnsi="Arial" w:cs="Arial"/>
          <w:bCs/>
          <w:color w:val="auto"/>
          <w:sz w:val="21"/>
          <w:szCs w:val="21"/>
          <w:lang w:eastAsia="en-US"/>
        </w:rPr>
        <w:t xml:space="preserve">’aumento </w:t>
      </w:r>
      <w:r w:rsidRPr="009B496D">
        <w:rPr>
          <w:rFonts w:ascii="Arial" w:hAnsi="Arial" w:cs="Arial"/>
          <w:bCs/>
          <w:color w:val="auto"/>
          <w:sz w:val="21"/>
          <w:szCs w:val="21"/>
          <w:lang w:eastAsia="en-US"/>
        </w:rPr>
        <w:t xml:space="preserve">su base mensile dell’export </w:t>
      </w:r>
      <w:r w:rsidR="00F33684">
        <w:rPr>
          <w:rFonts w:ascii="Arial" w:hAnsi="Arial" w:cs="Arial"/>
          <w:bCs/>
          <w:color w:val="auto"/>
          <w:sz w:val="21"/>
          <w:szCs w:val="21"/>
          <w:lang w:eastAsia="en-US"/>
        </w:rPr>
        <w:t>è più ampi</w:t>
      </w:r>
      <w:r w:rsidR="00EE40CE">
        <w:rPr>
          <w:rFonts w:ascii="Arial" w:hAnsi="Arial" w:cs="Arial"/>
          <w:bCs/>
          <w:color w:val="auto"/>
          <w:sz w:val="21"/>
          <w:szCs w:val="21"/>
          <w:lang w:eastAsia="en-US"/>
        </w:rPr>
        <w:t>o</w:t>
      </w:r>
      <w:r w:rsidR="00F33684">
        <w:rPr>
          <w:rFonts w:ascii="Arial" w:hAnsi="Arial" w:cs="Arial"/>
          <w:bCs/>
          <w:color w:val="auto"/>
          <w:sz w:val="21"/>
          <w:szCs w:val="21"/>
          <w:lang w:eastAsia="en-US"/>
        </w:rPr>
        <w:t xml:space="preserve"> per i mercati </w:t>
      </w:r>
      <w:r w:rsidR="009A0C79">
        <w:rPr>
          <w:rFonts w:ascii="Arial" w:hAnsi="Arial" w:cs="Arial"/>
          <w:bCs/>
          <w:color w:val="auto"/>
          <w:sz w:val="21"/>
          <w:szCs w:val="21"/>
          <w:lang w:eastAsia="en-US"/>
        </w:rPr>
        <w:t>extra-</w:t>
      </w:r>
      <w:r w:rsidR="00B13392" w:rsidRPr="009B496D">
        <w:rPr>
          <w:rFonts w:ascii="Arial" w:hAnsi="Arial" w:cs="Arial"/>
          <w:bCs/>
          <w:color w:val="auto"/>
          <w:sz w:val="21"/>
          <w:szCs w:val="21"/>
          <w:lang w:eastAsia="en-US"/>
        </w:rPr>
        <w:t>U</w:t>
      </w:r>
      <w:r w:rsidRPr="009B496D">
        <w:rPr>
          <w:rFonts w:ascii="Arial" w:hAnsi="Arial" w:cs="Arial"/>
          <w:bCs/>
          <w:color w:val="auto"/>
          <w:sz w:val="21"/>
          <w:szCs w:val="21"/>
          <w:lang w:eastAsia="en-US"/>
        </w:rPr>
        <w:t>e</w:t>
      </w:r>
      <w:r w:rsidR="009A0C79">
        <w:rPr>
          <w:rFonts w:ascii="Arial" w:hAnsi="Arial" w:cs="Arial"/>
          <w:bCs/>
          <w:color w:val="auto"/>
          <w:sz w:val="21"/>
          <w:szCs w:val="21"/>
          <w:lang w:eastAsia="en-US"/>
        </w:rPr>
        <w:t xml:space="preserve"> (</w:t>
      </w:r>
      <w:r w:rsidR="00EE40CE">
        <w:rPr>
          <w:rFonts w:ascii="Arial" w:hAnsi="Arial" w:cs="Arial"/>
          <w:bCs/>
          <w:color w:val="auto"/>
          <w:sz w:val="21"/>
          <w:szCs w:val="21"/>
          <w:lang w:eastAsia="en-US"/>
        </w:rPr>
        <w:t>+6,5%</w:t>
      </w:r>
      <w:r w:rsidR="00F33684">
        <w:rPr>
          <w:rFonts w:ascii="Arial" w:hAnsi="Arial" w:cs="Arial"/>
          <w:bCs/>
          <w:color w:val="auto"/>
          <w:sz w:val="21"/>
          <w:szCs w:val="21"/>
          <w:lang w:eastAsia="en-US"/>
        </w:rPr>
        <w:t>)</w:t>
      </w:r>
      <w:r w:rsidR="009A0C79">
        <w:rPr>
          <w:rFonts w:ascii="Arial" w:hAnsi="Arial" w:cs="Arial"/>
          <w:bCs/>
          <w:color w:val="auto"/>
          <w:sz w:val="21"/>
          <w:szCs w:val="21"/>
          <w:lang w:eastAsia="en-US"/>
        </w:rPr>
        <w:t xml:space="preserve"> rispetto all’area Ue</w:t>
      </w:r>
      <w:r w:rsidRPr="009B496D">
        <w:rPr>
          <w:rFonts w:ascii="Arial" w:hAnsi="Arial" w:cs="Arial"/>
          <w:bCs/>
          <w:color w:val="auto"/>
          <w:sz w:val="21"/>
          <w:szCs w:val="21"/>
          <w:lang w:eastAsia="en-US"/>
        </w:rPr>
        <w:t xml:space="preserve"> (</w:t>
      </w:r>
      <w:r w:rsidR="00EE40CE">
        <w:rPr>
          <w:rFonts w:ascii="Arial" w:hAnsi="Arial" w:cs="Arial"/>
          <w:bCs/>
          <w:color w:val="auto"/>
          <w:sz w:val="21"/>
          <w:szCs w:val="21"/>
          <w:lang w:eastAsia="en-US"/>
        </w:rPr>
        <w:t>+1,4</w:t>
      </w:r>
      <w:r w:rsidR="009A0C79">
        <w:rPr>
          <w:rFonts w:ascii="Arial" w:hAnsi="Arial" w:cs="Arial"/>
          <w:bCs/>
          <w:color w:val="auto"/>
          <w:sz w:val="21"/>
          <w:szCs w:val="21"/>
          <w:lang w:eastAsia="en-US"/>
        </w:rPr>
        <w:t>%)</w:t>
      </w:r>
      <w:r w:rsidRPr="009B496D">
        <w:rPr>
          <w:rFonts w:ascii="Arial" w:hAnsi="Arial" w:cs="Arial"/>
          <w:bCs/>
          <w:color w:val="auto"/>
          <w:sz w:val="21"/>
          <w:szCs w:val="21"/>
          <w:lang w:eastAsia="en-US"/>
        </w:rPr>
        <w:t>.</w:t>
      </w:r>
    </w:p>
    <w:p w14:paraId="2276B682" w14:textId="7E449994" w:rsidR="00FC2A8B" w:rsidRPr="009B496D" w:rsidRDefault="00FC2A8B" w:rsidP="00AC73B4">
      <w:pPr>
        <w:numPr>
          <w:ilvl w:val="0"/>
          <w:numId w:val="22"/>
        </w:numPr>
        <w:tabs>
          <w:tab w:val="left" w:pos="426"/>
          <w:tab w:val="left" w:pos="1843"/>
        </w:tabs>
        <w:spacing w:after="100" w:line="230" w:lineRule="exact"/>
        <w:ind w:left="357" w:hanging="357"/>
        <w:jc w:val="both"/>
        <w:rPr>
          <w:rFonts w:ascii="Arial" w:hAnsi="Arial" w:cs="Arial"/>
          <w:bCs/>
          <w:sz w:val="21"/>
          <w:szCs w:val="21"/>
          <w:lang w:eastAsia="en-US"/>
        </w:rPr>
      </w:pPr>
      <w:r w:rsidRPr="009B496D">
        <w:rPr>
          <w:rFonts w:ascii="Arial" w:hAnsi="Arial" w:cs="Arial"/>
          <w:bCs/>
          <w:sz w:val="21"/>
          <w:szCs w:val="21"/>
          <w:lang w:eastAsia="en-US"/>
        </w:rPr>
        <w:t>Nel</w:t>
      </w:r>
      <w:r w:rsidR="00375FFF" w:rsidRPr="009B496D">
        <w:rPr>
          <w:rFonts w:ascii="Arial" w:hAnsi="Arial" w:cs="Arial"/>
          <w:bCs/>
          <w:sz w:val="21"/>
          <w:szCs w:val="21"/>
          <w:lang w:eastAsia="en-US"/>
        </w:rPr>
        <w:t xml:space="preserve"> </w:t>
      </w:r>
      <w:r w:rsidR="00E40FA2" w:rsidRPr="009B496D">
        <w:rPr>
          <w:rFonts w:ascii="Arial" w:hAnsi="Arial" w:cs="Arial"/>
          <w:bCs/>
          <w:sz w:val="21"/>
          <w:szCs w:val="21"/>
          <w:lang w:eastAsia="en-US"/>
        </w:rPr>
        <w:t>trimestre</w:t>
      </w:r>
      <w:r w:rsidR="00A000A2" w:rsidRPr="009B496D">
        <w:rPr>
          <w:rFonts w:ascii="Arial" w:hAnsi="Arial" w:cs="Arial"/>
          <w:bCs/>
          <w:sz w:val="21"/>
          <w:szCs w:val="21"/>
          <w:lang w:eastAsia="en-US"/>
        </w:rPr>
        <w:t xml:space="preserve"> </w:t>
      </w:r>
      <w:r w:rsidR="00EE40CE">
        <w:rPr>
          <w:rFonts w:ascii="Arial" w:hAnsi="Arial" w:cs="Arial"/>
          <w:bCs/>
          <w:sz w:val="21"/>
          <w:szCs w:val="21"/>
          <w:lang w:eastAsia="en-US"/>
        </w:rPr>
        <w:t>agosto-ottobre 2023</w:t>
      </w:r>
      <w:r w:rsidR="00A000A2" w:rsidRPr="009B496D">
        <w:rPr>
          <w:rFonts w:ascii="Arial" w:hAnsi="Arial" w:cs="Arial"/>
          <w:bCs/>
          <w:sz w:val="21"/>
          <w:szCs w:val="21"/>
          <w:lang w:eastAsia="en-US"/>
        </w:rPr>
        <w:t xml:space="preserve">, rispetto al precedente, l’export </w:t>
      </w:r>
      <w:r w:rsidR="00EE40CE">
        <w:rPr>
          <w:rFonts w:ascii="Arial" w:hAnsi="Arial" w:cs="Arial"/>
          <w:bCs/>
          <w:sz w:val="21"/>
          <w:szCs w:val="21"/>
          <w:lang w:eastAsia="en-US"/>
        </w:rPr>
        <w:t xml:space="preserve">cresce del 2,4%, l’import dello 0,5%. </w:t>
      </w:r>
    </w:p>
    <w:p w14:paraId="3F44614F" w14:textId="3D71C82D" w:rsidR="00FC2A8B" w:rsidRPr="009B496D" w:rsidRDefault="008F063B" w:rsidP="00AC73B4">
      <w:pPr>
        <w:numPr>
          <w:ilvl w:val="0"/>
          <w:numId w:val="22"/>
        </w:numPr>
        <w:tabs>
          <w:tab w:val="left" w:pos="426"/>
          <w:tab w:val="left" w:pos="1843"/>
        </w:tabs>
        <w:spacing w:after="100" w:line="230" w:lineRule="exact"/>
        <w:ind w:left="357" w:hanging="357"/>
        <w:jc w:val="both"/>
        <w:rPr>
          <w:rFonts w:ascii="Arial" w:hAnsi="Arial" w:cs="Arial"/>
          <w:bCs/>
          <w:sz w:val="21"/>
          <w:szCs w:val="21"/>
          <w:lang w:eastAsia="en-US"/>
        </w:rPr>
      </w:pPr>
      <w:r>
        <w:rPr>
          <w:rFonts w:ascii="Arial" w:hAnsi="Arial" w:cs="Arial"/>
          <w:bCs/>
          <w:sz w:val="21"/>
          <w:szCs w:val="21"/>
          <w:lang w:eastAsia="en-US"/>
        </w:rPr>
        <w:t xml:space="preserve">A </w:t>
      </w:r>
      <w:r w:rsidR="000E3FDA">
        <w:rPr>
          <w:rFonts w:ascii="Arial" w:hAnsi="Arial" w:cs="Arial"/>
          <w:bCs/>
          <w:sz w:val="21"/>
          <w:szCs w:val="21"/>
          <w:lang w:eastAsia="en-US"/>
        </w:rPr>
        <w:t>ottobre</w:t>
      </w:r>
      <w:r w:rsidR="00596464" w:rsidRPr="009B496D">
        <w:rPr>
          <w:rFonts w:ascii="Arial" w:hAnsi="Arial" w:cs="Arial"/>
          <w:bCs/>
          <w:sz w:val="21"/>
          <w:szCs w:val="21"/>
          <w:lang w:eastAsia="en-US"/>
        </w:rPr>
        <w:t xml:space="preserve"> </w:t>
      </w:r>
      <w:r w:rsidR="002E19A9" w:rsidRPr="009B496D">
        <w:rPr>
          <w:rFonts w:ascii="Arial" w:hAnsi="Arial" w:cs="Arial"/>
          <w:bCs/>
          <w:sz w:val="21"/>
          <w:szCs w:val="21"/>
          <w:lang w:eastAsia="en-US"/>
        </w:rPr>
        <w:t>2023</w:t>
      </w:r>
      <w:r w:rsidR="007A7DCF" w:rsidRPr="009B496D">
        <w:rPr>
          <w:rFonts w:ascii="Arial" w:hAnsi="Arial" w:cs="Arial"/>
          <w:bCs/>
          <w:sz w:val="21"/>
          <w:szCs w:val="21"/>
          <w:lang w:eastAsia="en-US"/>
        </w:rPr>
        <w:t xml:space="preserve">, </w:t>
      </w:r>
      <w:r w:rsidR="00933F90" w:rsidRPr="009B496D">
        <w:rPr>
          <w:rFonts w:ascii="Arial" w:hAnsi="Arial" w:cs="Arial"/>
          <w:bCs/>
          <w:sz w:val="21"/>
          <w:szCs w:val="21"/>
          <w:lang w:eastAsia="en-US"/>
        </w:rPr>
        <w:t>l’export</w:t>
      </w:r>
      <w:r w:rsidR="005035DB" w:rsidRPr="009B496D">
        <w:rPr>
          <w:rFonts w:ascii="Arial" w:hAnsi="Arial" w:cs="Arial"/>
          <w:bCs/>
          <w:sz w:val="21"/>
          <w:szCs w:val="21"/>
          <w:lang w:eastAsia="en-US"/>
        </w:rPr>
        <w:t xml:space="preserve"> </w:t>
      </w:r>
      <w:r w:rsidR="00731071">
        <w:rPr>
          <w:rFonts w:ascii="Arial" w:hAnsi="Arial" w:cs="Arial"/>
          <w:bCs/>
          <w:sz w:val="21"/>
          <w:szCs w:val="21"/>
          <w:lang w:eastAsia="en-US"/>
        </w:rPr>
        <w:t>cresce</w:t>
      </w:r>
      <w:r w:rsidR="00D612D2" w:rsidRPr="009B496D">
        <w:rPr>
          <w:rFonts w:ascii="Arial" w:hAnsi="Arial" w:cs="Arial"/>
          <w:bCs/>
          <w:sz w:val="21"/>
          <w:szCs w:val="21"/>
          <w:lang w:eastAsia="en-US"/>
        </w:rPr>
        <w:t xml:space="preserve"> </w:t>
      </w:r>
      <w:r w:rsidR="005035DB" w:rsidRPr="009B496D">
        <w:rPr>
          <w:rFonts w:ascii="Arial" w:hAnsi="Arial" w:cs="Arial"/>
          <w:bCs/>
          <w:sz w:val="21"/>
          <w:szCs w:val="21"/>
          <w:lang w:eastAsia="en-US"/>
        </w:rPr>
        <w:t>su base annua</w:t>
      </w:r>
      <w:r w:rsidR="00D612D2" w:rsidRPr="009B496D">
        <w:rPr>
          <w:rFonts w:ascii="Arial" w:hAnsi="Arial" w:cs="Arial"/>
          <w:bCs/>
          <w:sz w:val="21"/>
          <w:szCs w:val="21"/>
          <w:lang w:eastAsia="en-US"/>
        </w:rPr>
        <w:t xml:space="preserve"> del </w:t>
      </w:r>
      <w:r w:rsidR="00EE40CE">
        <w:rPr>
          <w:rFonts w:ascii="Arial" w:hAnsi="Arial" w:cs="Arial"/>
          <w:bCs/>
          <w:sz w:val="21"/>
          <w:szCs w:val="21"/>
          <w:lang w:eastAsia="en-US"/>
        </w:rPr>
        <w:t>3,0%</w:t>
      </w:r>
      <w:r w:rsidR="005035DB" w:rsidRPr="009B496D">
        <w:rPr>
          <w:rFonts w:ascii="Arial" w:hAnsi="Arial" w:cs="Arial"/>
          <w:bCs/>
          <w:sz w:val="21"/>
          <w:szCs w:val="21"/>
          <w:lang w:eastAsia="en-US"/>
        </w:rPr>
        <w:t xml:space="preserve"> </w:t>
      </w:r>
      <w:r w:rsidR="00933F90" w:rsidRPr="009B496D">
        <w:rPr>
          <w:rFonts w:ascii="Arial" w:hAnsi="Arial" w:cs="Arial"/>
          <w:bCs/>
          <w:sz w:val="21"/>
          <w:szCs w:val="21"/>
          <w:lang w:eastAsia="en-US"/>
        </w:rPr>
        <w:t xml:space="preserve">in termini </w:t>
      </w:r>
      <w:r w:rsidR="00933F90" w:rsidRPr="00891CB6">
        <w:rPr>
          <w:rFonts w:ascii="Arial" w:hAnsi="Arial" w:cs="Arial"/>
          <w:bCs/>
          <w:sz w:val="21"/>
          <w:szCs w:val="21"/>
          <w:lang w:eastAsia="en-US"/>
        </w:rPr>
        <w:t>monetari</w:t>
      </w:r>
      <w:r w:rsidR="00F33684" w:rsidRPr="00891CB6">
        <w:rPr>
          <w:rFonts w:ascii="Arial" w:hAnsi="Arial" w:cs="Arial"/>
          <w:bCs/>
          <w:sz w:val="21"/>
          <w:szCs w:val="21"/>
          <w:lang w:eastAsia="en-US"/>
        </w:rPr>
        <w:t xml:space="preserve"> </w:t>
      </w:r>
      <w:r w:rsidR="00AC73B4">
        <w:rPr>
          <w:rFonts w:ascii="Arial" w:hAnsi="Arial" w:cs="Arial"/>
          <w:bCs/>
          <w:sz w:val="21"/>
          <w:szCs w:val="21"/>
          <w:lang w:eastAsia="en-US"/>
        </w:rPr>
        <w:t xml:space="preserve">(era </w:t>
      </w:r>
      <w:r w:rsidR="00EE40CE">
        <w:rPr>
          <w:rFonts w:ascii="Arial" w:hAnsi="Arial" w:cs="Arial"/>
          <w:bCs/>
          <w:sz w:val="21"/>
          <w:szCs w:val="21"/>
          <w:lang w:eastAsia="en-US"/>
        </w:rPr>
        <w:t>-6,4% a settembre)</w:t>
      </w:r>
      <w:r w:rsidR="00AC73B4">
        <w:rPr>
          <w:rFonts w:ascii="Arial" w:hAnsi="Arial" w:cs="Arial"/>
          <w:bCs/>
          <w:sz w:val="21"/>
          <w:szCs w:val="21"/>
          <w:lang w:eastAsia="en-US"/>
        </w:rPr>
        <w:t xml:space="preserve"> </w:t>
      </w:r>
      <w:r w:rsidR="002226A1">
        <w:rPr>
          <w:rFonts w:ascii="Arial" w:hAnsi="Arial" w:cs="Arial"/>
          <w:bCs/>
          <w:sz w:val="21"/>
          <w:szCs w:val="21"/>
          <w:lang w:eastAsia="en-US"/>
        </w:rPr>
        <w:t>mentre</w:t>
      </w:r>
      <w:r w:rsidR="003D3C0A" w:rsidRPr="00891CB6">
        <w:rPr>
          <w:rFonts w:ascii="Arial" w:hAnsi="Arial" w:cs="Arial"/>
          <w:bCs/>
          <w:sz w:val="21"/>
          <w:szCs w:val="21"/>
          <w:lang w:eastAsia="en-US"/>
        </w:rPr>
        <w:t xml:space="preserve"> </w:t>
      </w:r>
      <w:r w:rsidR="00E75B24">
        <w:rPr>
          <w:rFonts w:ascii="Arial" w:hAnsi="Arial" w:cs="Arial"/>
          <w:bCs/>
          <w:sz w:val="21"/>
          <w:szCs w:val="21"/>
          <w:lang w:eastAsia="en-US"/>
        </w:rPr>
        <w:t>registra una lieve riduzione in volume (-</w:t>
      </w:r>
      <w:r w:rsidR="002226A1">
        <w:rPr>
          <w:rFonts w:ascii="Arial" w:hAnsi="Arial" w:cs="Arial"/>
          <w:bCs/>
          <w:sz w:val="21"/>
          <w:szCs w:val="21"/>
          <w:lang w:eastAsia="en-US"/>
        </w:rPr>
        <w:t>0,4%</w:t>
      </w:r>
      <w:r w:rsidR="00E75B24">
        <w:rPr>
          <w:rFonts w:ascii="Arial" w:hAnsi="Arial" w:cs="Arial"/>
          <w:bCs/>
          <w:sz w:val="21"/>
          <w:szCs w:val="21"/>
          <w:lang w:eastAsia="en-US"/>
        </w:rPr>
        <w:t>)</w:t>
      </w:r>
      <w:r w:rsidR="005847FD">
        <w:rPr>
          <w:rFonts w:ascii="Arial" w:hAnsi="Arial" w:cs="Arial"/>
          <w:bCs/>
          <w:sz w:val="21"/>
          <w:szCs w:val="21"/>
          <w:lang w:eastAsia="en-US"/>
        </w:rPr>
        <w:t>.</w:t>
      </w:r>
      <w:r w:rsidR="00891CB6" w:rsidRPr="00891CB6">
        <w:rPr>
          <w:rFonts w:ascii="Arial" w:hAnsi="Arial" w:cs="Arial"/>
          <w:bCs/>
          <w:sz w:val="21"/>
          <w:szCs w:val="21"/>
          <w:lang w:eastAsia="en-US"/>
        </w:rPr>
        <w:t xml:space="preserve"> L</w:t>
      </w:r>
      <w:r w:rsidR="002226A1">
        <w:rPr>
          <w:rFonts w:ascii="Arial" w:hAnsi="Arial" w:cs="Arial"/>
          <w:bCs/>
          <w:sz w:val="21"/>
          <w:szCs w:val="21"/>
          <w:lang w:eastAsia="en-US"/>
        </w:rPr>
        <w:t xml:space="preserve">a crescita dell’export in valore è sintesi di un aumento del 9,4% per i mercati extra-Ue e di una </w:t>
      </w:r>
      <w:r w:rsidR="00731071">
        <w:rPr>
          <w:rFonts w:ascii="Arial" w:hAnsi="Arial" w:cs="Arial"/>
          <w:bCs/>
          <w:sz w:val="21"/>
          <w:szCs w:val="21"/>
          <w:lang w:eastAsia="en-US"/>
        </w:rPr>
        <w:t>contrazione</w:t>
      </w:r>
      <w:r w:rsidR="002226A1">
        <w:rPr>
          <w:rFonts w:ascii="Arial" w:hAnsi="Arial" w:cs="Arial"/>
          <w:bCs/>
          <w:sz w:val="21"/>
          <w:szCs w:val="21"/>
          <w:lang w:eastAsia="en-US"/>
        </w:rPr>
        <w:t xml:space="preserve"> del 2,6% per l’area Ue.</w:t>
      </w:r>
      <w:r w:rsidR="00D25251" w:rsidRPr="00891CB6">
        <w:rPr>
          <w:rFonts w:ascii="Arial" w:hAnsi="Arial" w:cs="Arial"/>
          <w:bCs/>
          <w:sz w:val="21"/>
          <w:szCs w:val="21"/>
          <w:lang w:eastAsia="en-US"/>
        </w:rPr>
        <w:t xml:space="preserve"> </w:t>
      </w:r>
      <w:r w:rsidR="00F73176" w:rsidRPr="00891CB6">
        <w:rPr>
          <w:rFonts w:ascii="Arial" w:hAnsi="Arial" w:cs="Arial"/>
          <w:bCs/>
          <w:sz w:val="21"/>
          <w:szCs w:val="21"/>
          <w:lang w:eastAsia="en-US"/>
        </w:rPr>
        <w:t>L’import</w:t>
      </w:r>
      <w:r w:rsidR="005847FD">
        <w:rPr>
          <w:rFonts w:ascii="Arial" w:hAnsi="Arial" w:cs="Arial"/>
          <w:bCs/>
          <w:sz w:val="21"/>
          <w:szCs w:val="21"/>
          <w:lang w:eastAsia="en-US"/>
        </w:rPr>
        <w:t xml:space="preserve"> </w:t>
      </w:r>
      <w:r w:rsidR="00E75B24">
        <w:rPr>
          <w:rFonts w:ascii="Arial" w:hAnsi="Arial" w:cs="Arial"/>
          <w:bCs/>
          <w:sz w:val="21"/>
          <w:szCs w:val="21"/>
          <w:lang w:eastAsia="en-US"/>
        </w:rPr>
        <w:t>segna</w:t>
      </w:r>
      <w:r w:rsidR="002A5196" w:rsidRPr="00891CB6">
        <w:rPr>
          <w:rFonts w:ascii="Arial" w:hAnsi="Arial" w:cs="Arial"/>
          <w:bCs/>
          <w:sz w:val="21"/>
          <w:szCs w:val="21"/>
          <w:lang w:eastAsia="en-US"/>
        </w:rPr>
        <w:t xml:space="preserve"> un</w:t>
      </w:r>
      <w:r w:rsidR="006E11AD" w:rsidRPr="00891CB6">
        <w:rPr>
          <w:rFonts w:ascii="Arial" w:hAnsi="Arial" w:cs="Arial"/>
          <w:bCs/>
          <w:sz w:val="21"/>
          <w:szCs w:val="21"/>
          <w:lang w:eastAsia="en-US"/>
        </w:rPr>
        <w:t xml:space="preserve">a flessione </w:t>
      </w:r>
      <w:r w:rsidR="00D25251" w:rsidRPr="00891CB6">
        <w:rPr>
          <w:rFonts w:ascii="Arial" w:hAnsi="Arial" w:cs="Arial"/>
          <w:bCs/>
          <w:sz w:val="21"/>
          <w:szCs w:val="21"/>
          <w:lang w:eastAsia="en-US"/>
        </w:rPr>
        <w:t>tendenziale</w:t>
      </w:r>
      <w:r w:rsidR="0040101C" w:rsidRPr="00891CB6">
        <w:rPr>
          <w:rFonts w:ascii="Arial" w:hAnsi="Arial" w:cs="Arial"/>
          <w:bCs/>
          <w:sz w:val="21"/>
          <w:szCs w:val="21"/>
          <w:lang w:eastAsia="en-US"/>
        </w:rPr>
        <w:t xml:space="preserve"> </w:t>
      </w:r>
      <w:r w:rsidR="002A5196" w:rsidRPr="00891CB6">
        <w:rPr>
          <w:rFonts w:ascii="Arial" w:hAnsi="Arial" w:cs="Arial"/>
          <w:bCs/>
          <w:sz w:val="21"/>
          <w:szCs w:val="21"/>
          <w:lang w:eastAsia="en-US"/>
        </w:rPr>
        <w:t>del</w:t>
      </w:r>
      <w:r w:rsidR="00C032CA" w:rsidRPr="00891CB6">
        <w:rPr>
          <w:rFonts w:ascii="Arial" w:hAnsi="Arial" w:cs="Arial"/>
          <w:bCs/>
          <w:sz w:val="21"/>
          <w:szCs w:val="21"/>
          <w:lang w:eastAsia="en-US"/>
        </w:rPr>
        <w:t xml:space="preserve"> </w:t>
      </w:r>
      <w:r w:rsidR="002226A1">
        <w:rPr>
          <w:rFonts w:ascii="Arial" w:hAnsi="Arial" w:cs="Arial"/>
          <w:bCs/>
          <w:sz w:val="21"/>
          <w:szCs w:val="21"/>
          <w:lang w:eastAsia="en-US"/>
        </w:rPr>
        <w:t>9,2%</w:t>
      </w:r>
      <w:r w:rsidR="007C3234" w:rsidRPr="00891CB6">
        <w:rPr>
          <w:rFonts w:ascii="Arial" w:hAnsi="Arial" w:cs="Arial"/>
          <w:bCs/>
          <w:sz w:val="21"/>
          <w:szCs w:val="21"/>
          <w:lang w:eastAsia="en-US"/>
        </w:rPr>
        <w:t xml:space="preserve"> in valore</w:t>
      </w:r>
      <w:r w:rsidR="00EC28B9" w:rsidRPr="00891CB6">
        <w:rPr>
          <w:rFonts w:ascii="Arial" w:hAnsi="Arial" w:cs="Arial"/>
          <w:bCs/>
          <w:sz w:val="21"/>
          <w:szCs w:val="21"/>
          <w:lang w:eastAsia="en-US"/>
        </w:rPr>
        <w:t>,</w:t>
      </w:r>
      <w:r w:rsidR="0090447D" w:rsidRPr="00891CB6">
        <w:rPr>
          <w:rFonts w:ascii="Arial" w:hAnsi="Arial" w:cs="Arial"/>
          <w:bCs/>
          <w:sz w:val="21"/>
          <w:szCs w:val="21"/>
          <w:lang w:eastAsia="en-US"/>
        </w:rPr>
        <w:t xml:space="preserve"> molto</w:t>
      </w:r>
      <w:r w:rsidR="0090447D" w:rsidRPr="009B496D">
        <w:rPr>
          <w:rFonts w:ascii="Arial" w:hAnsi="Arial" w:cs="Arial"/>
          <w:bCs/>
          <w:sz w:val="21"/>
          <w:szCs w:val="21"/>
          <w:lang w:eastAsia="en-US"/>
        </w:rPr>
        <w:t xml:space="preserve"> ampia</w:t>
      </w:r>
      <w:r w:rsidR="003D3C0A" w:rsidRPr="009B496D">
        <w:rPr>
          <w:rFonts w:ascii="Arial" w:hAnsi="Arial" w:cs="Arial"/>
          <w:bCs/>
          <w:sz w:val="21"/>
          <w:szCs w:val="21"/>
          <w:lang w:eastAsia="en-US"/>
        </w:rPr>
        <w:t xml:space="preserve"> per </w:t>
      </w:r>
      <w:r w:rsidR="00B75971" w:rsidRPr="009B496D">
        <w:rPr>
          <w:rFonts w:ascii="Arial" w:hAnsi="Arial" w:cs="Arial"/>
          <w:bCs/>
          <w:sz w:val="21"/>
          <w:szCs w:val="21"/>
          <w:lang w:eastAsia="en-US"/>
        </w:rPr>
        <w:t>l</w:t>
      </w:r>
      <w:r w:rsidR="007B3F43" w:rsidRPr="009B496D">
        <w:rPr>
          <w:rFonts w:ascii="Arial" w:hAnsi="Arial" w:cs="Arial"/>
          <w:bCs/>
          <w:sz w:val="21"/>
          <w:szCs w:val="21"/>
          <w:lang w:eastAsia="en-US"/>
        </w:rPr>
        <w:t>’area extra Ue (-</w:t>
      </w:r>
      <w:r w:rsidR="002226A1">
        <w:rPr>
          <w:rFonts w:ascii="Arial" w:hAnsi="Arial" w:cs="Arial"/>
          <w:bCs/>
          <w:sz w:val="21"/>
          <w:szCs w:val="21"/>
          <w:lang w:eastAsia="en-US"/>
        </w:rPr>
        <w:t>18,6</w:t>
      </w:r>
      <w:r w:rsidR="007B3F43" w:rsidRPr="009B496D">
        <w:rPr>
          <w:rFonts w:ascii="Arial" w:hAnsi="Arial" w:cs="Arial"/>
          <w:bCs/>
          <w:sz w:val="21"/>
          <w:szCs w:val="21"/>
          <w:lang w:eastAsia="en-US"/>
        </w:rPr>
        <w:t>%)</w:t>
      </w:r>
      <w:r w:rsidR="002226A1">
        <w:rPr>
          <w:rFonts w:ascii="Arial" w:hAnsi="Arial" w:cs="Arial"/>
          <w:bCs/>
          <w:sz w:val="21"/>
          <w:szCs w:val="21"/>
          <w:lang w:eastAsia="en-US"/>
        </w:rPr>
        <w:t>, modesta per qu</w:t>
      </w:r>
      <w:r w:rsidR="009B496D" w:rsidRPr="009B496D">
        <w:rPr>
          <w:rFonts w:ascii="Arial" w:hAnsi="Arial" w:cs="Arial"/>
          <w:bCs/>
          <w:sz w:val="21"/>
          <w:szCs w:val="21"/>
          <w:lang w:eastAsia="en-US"/>
        </w:rPr>
        <w:t>ella</w:t>
      </w:r>
      <w:r w:rsidR="007B3F43" w:rsidRPr="009B496D">
        <w:rPr>
          <w:rFonts w:ascii="Arial" w:hAnsi="Arial" w:cs="Arial"/>
          <w:bCs/>
          <w:sz w:val="21"/>
          <w:szCs w:val="21"/>
          <w:lang w:eastAsia="en-US"/>
        </w:rPr>
        <w:t xml:space="preserve"> Ue (</w:t>
      </w:r>
      <w:r w:rsidR="003D3C0A" w:rsidRPr="009B496D">
        <w:rPr>
          <w:rFonts w:ascii="Arial" w:hAnsi="Arial" w:cs="Arial"/>
          <w:bCs/>
          <w:sz w:val="21"/>
          <w:szCs w:val="21"/>
          <w:lang w:eastAsia="en-US"/>
        </w:rPr>
        <w:t>-</w:t>
      </w:r>
      <w:r w:rsidR="002226A1">
        <w:rPr>
          <w:rFonts w:ascii="Arial" w:hAnsi="Arial" w:cs="Arial"/>
          <w:bCs/>
          <w:sz w:val="21"/>
          <w:szCs w:val="21"/>
          <w:lang w:eastAsia="en-US"/>
        </w:rPr>
        <w:t>0,3</w:t>
      </w:r>
      <w:r w:rsidR="007B3F43" w:rsidRPr="009B496D">
        <w:rPr>
          <w:rFonts w:ascii="Arial" w:hAnsi="Arial" w:cs="Arial"/>
          <w:bCs/>
          <w:sz w:val="21"/>
          <w:szCs w:val="21"/>
          <w:lang w:eastAsia="en-US"/>
        </w:rPr>
        <w:t>%)</w:t>
      </w:r>
      <w:r w:rsidR="009B496D" w:rsidRPr="009B496D">
        <w:rPr>
          <w:rFonts w:ascii="Arial" w:hAnsi="Arial" w:cs="Arial"/>
          <w:bCs/>
          <w:sz w:val="21"/>
          <w:szCs w:val="21"/>
          <w:lang w:eastAsia="en-US"/>
        </w:rPr>
        <w:t>; in volume</w:t>
      </w:r>
      <w:r w:rsidR="00E5175D">
        <w:rPr>
          <w:rFonts w:ascii="Arial" w:hAnsi="Arial" w:cs="Arial"/>
          <w:bCs/>
          <w:sz w:val="21"/>
          <w:szCs w:val="21"/>
          <w:lang w:eastAsia="en-US"/>
        </w:rPr>
        <w:t>,</w:t>
      </w:r>
      <w:r w:rsidR="002226A1">
        <w:rPr>
          <w:rFonts w:ascii="Arial" w:hAnsi="Arial" w:cs="Arial"/>
          <w:bCs/>
          <w:sz w:val="21"/>
          <w:szCs w:val="21"/>
          <w:lang w:eastAsia="en-US"/>
        </w:rPr>
        <w:t xml:space="preserve"> cresce del 2,6%.</w:t>
      </w:r>
      <w:r w:rsidR="00E86C2A" w:rsidRPr="009B496D">
        <w:rPr>
          <w:rFonts w:ascii="Arial" w:hAnsi="Arial" w:cs="Arial"/>
          <w:bCs/>
          <w:sz w:val="21"/>
          <w:szCs w:val="21"/>
          <w:lang w:eastAsia="en-US"/>
        </w:rPr>
        <w:t xml:space="preserve"> </w:t>
      </w:r>
    </w:p>
    <w:p w14:paraId="3D55E380" w14:textId="20505071" w:rsidR="001A66A2" w:rsidRPr="00F23257" w:rsidRDefault="00FC2A8B" w:rsidP="00AC73B4">
      <w:pPr>
        <w:numPr>
          <w:ilvl w:val="0"/>
          <w:numId w:val="22"/>
        </w:numPr>
        <w:tabs>
          <w:tab w:val="left" w:pos="426"/>
          <w:tab w:val="left" w:pos="1843"/>
        </w:tabs>
        <w:spacing w:after="100" w:line="230" w:lineRule="exact"/>
        <w:jc w:val="both"/>
        <w:rPr>
          <w:rFonts w:ascii="Arial" w:hAnsi="Arial" w:cs="Arial"/>
          <w:bCs/>
          <w:color w:val="000000" w:themeColor="text1"/>
          <w:sz w:val="21"/>
          <w:szCs w:val="21"/>
          <w:lang w:eastAsia="en-US"/>
        </w:rPr>
      </w:pPr>
      <w:r w:rsidRPr="00F23257">
        <w:rPr>
          <w:rFonts w:ascii="Arial" w:hAnsi="Arial" w:cs="Arial"/>
          <w:bCs/>
          <w:color w:val="000000" w:themeColor="text1"/>
          <w:sz w:val="21"/>
          <w:szCs w:val="21"/>
          <w:lang w:eastAsia="en-US"/>
        </w:rPr>
        <w:t xml:space="preserve">Tra i settori che contribuiscono maggiormente </w:t>
      </w:r>
      <w:r w:rsidR="004C3D0C" w:rsidRPr="00F23257">
        <w:rPr>
          <w:rFonts w:ascii="Arial" w:hAnsi="Arial" w:cs="Arial"/>
          <w:bCs/>
          <w:color w:val="000000" w:themeColor="text1"/>
          <w:sz w:val="21"/>
          <w:szCs w:val="21"/>
          <w:lang w:eastAsia="en-US"/>
        </w:rPr>
        <w:t>all</w:t>
      </w:r>
      <w:r w:rsidR="002226A1">
        <w:rPr>
          <w:rFonts w:ascii="Arial" w:hAnsi="Arial" w:cs="Arial"/>
          <w:bCs/>
          <w:color w:val="000000" w:themeColor="text1"/>
          <w:sz w:val="21"/>
          <w:szCs w:val="21"/>
          <w:lang w:eastAsia="en-US"/>
        </w:rPr>
        <w:t>’aumento</w:t>
      </w:r>
      <w:r w:rsidR="00BD642D">
        <w:rPr>
          <w:rFonts w:ascii="Arial" w:hAnsi="Arial" w:cs="Arial"/>
          <w:bCs/>
          <w:color w:val="000000" w:themeColor="text1"/>
          <w:sz w:val="21"/>
          <w:szCs w:val="21"/>
          <w:lang w:eastAsia="en-US"/>
        </w:rPr>
        <w:t xml:space="preserve"> tendenziale</w:t>
      </w:r>
      <w:r w:rsidRPr="00F23257">
        <w:rPr>
          <w:rFonts w:ascii="Arial" w:hAnsi="Arial" w:cs="Arial"/>
          <w:bCs/>
          <w:color w:val="000000" w:themeColor="text1"/>
          <w:sz w:val="21"/>
          <w:szCs w:val="21"/>
          <w:lang w:eastAsia="en-US"/>
        </w:rPr>
        <w:t xml:space="preserve"> dell’export si segnalano:</w:t>
      </w:r>
      <w:r w:rsidR="00835095" w:rsidRPr="00F23257">
        <w:rPr>
          <w:rFonts w:ascii="Arial" w:hAnsi="Arial" w:cs="Arial"/>
          <w:bCs/>
          <w:color w:val="000000" w:themeColor="text1"/>
          <w:sz w:val="21"/>
          <w:szCs w:val="21"/>
          <w:lang w:eastAsia="en-US"/>
        </w:rPr>
        <w:t xml:space="preserve"> </w:t>
      </w:r>
      <w:r w:rsidR="002226A1" w:rsidRPr="00F23257">
        <w:rPr>
          <w:rFonts w:ascii="Arial" w:hAnsi="Arial" w:cs="Arial"/>
          <w:color w:val="000000" w:themeColor="text1"/>
          <w:sz w:val="21"/>
          <w:szCs w:val="21"/>
          <w:shd w:val="clear" w:color="auto" w:fill="FFFFFF"/>
        </w:rPr>
        <w:t>macchinari e apparecchi non classificati altrove (n.c.a.)</w:t>
      </w:r>
      <w:r w:rsidR="002226A1">
        <w:rPr>
          <w:rFonts w:ascii="Arial" w:hAnsi="Arial" w:cs="Arial"/>
          <w:color w:val="000000" w:themeColor="text1"/>
          <w:sz w:val="21"/>
          <w:szCs w:val="21"/>
          <w:shd w:val="clear" w:color="auto" w:fill="FFFFFF"/>
        </w:rPr>
        <w:t xml:space="preserve"> (+11,9%), autoveicoli (+34,5%), </w:t>
      </w:r>
      <w:r w:rsidR="002226A1" w:rsidRPr="00F23257">
        <w:rPr>
          <w:rFonts w:ascii="Arial" w:hAnsi="Arial" w:cs="Arial"/>
          <w:bCs/>
          <w:color w:val="000000" w:themeColor="text1"/>
          <w:sz w:val="21"/>
          <w:szCs w:val="21"/>
          <w:lang w:eastAsia="en-US"/>
        </w:rPr>
        <w:t xml:space="preserve">mezzi di trasporto, autoveicoli esclusi </w:t>
      </w:r>
      <w:r w:rsidR="002226A1">
        <w:rPr>
          <w:rFonts w:ascii="Arial" w:hAnsi="Arial" w:cs="Arial"/>
          <w:bCs/>
          <w:color w:val="000000" w:themeColor="text1"/>
          <w:sz w:val="21"/>
          <w:szCs w:val="21"/>
          <w:lang w:eastAsia="en-US"/>
        </w:rPr>
        <w:t xml:space="preserve">(+26,8%) e prodotti alimentari, bevande e tabacco (+9,1%). </w:t>
      </w:r>
      <w:r w:rsidR="002053C2">
        <w:rPr>
          <w:rFonts w:ascii="Arial" w:hAnsi="Arial" w:cs="Arial"/>
          <w:bCs/>
          <w:color w:val="000000" w:themeColor="text1"/>
          <w:sz w:val="21"/>
          <w:szCs w:val="21"/>
          <w:lang w:eastAsia="en-US"/>
        </w:rPr>
        <w:t xml:space="preserve">Flettono su base annua le esportazioni di </w:t>
      </w:r>
      <w:r w:rsidR="00072181" w:rsidRPr="00F23257">
        <w:rPr>
          <w:rFonts w:ascii="Arial" w:hAnsi="Arial" w:cs="Arial"/>
          <w:bCs/>
          <w:color w:val="000000" w:themeColor="text1"/>
          <w:sz w:val="21"/>
          <w:szCs w:val="21"/>
          <w:lang w:eastAsia="en-US"/>
        </w:rPr>
        <w:t>metalli di base e prodotti in metallo, esclusi macchine e impianti (-</w:t>
      </w:r>
      <w:r w:rsidR="002053C2">
        <w:rPr>
          <w:rFonts w:ascii="Arial" w:hAnsi="Arial" w:cs="Arial"/>
          <w:bCs/>
          <w:color w:val="000000" w:themeColor="text1"/>
          <w:sz w:val="21"/>
          <w:szCs w:val="21"/>
          <w:lang w:eastAsia="en-US"/>
        </w:rPr>
        <w:t>9,1%)</w:t>
      </w:r>
      <w:r w:rsidR="00072181" w:rsidRPr="00F23257">
        <w:rPr>
          <w:rFonts w:ascii="Arial" w:hAnsi="Arial" w:cs="Arial"/>
          <w:bCs/>
          <w:color w:val="000000" w:themeColor="text1"/>
          <w:sz w:val="21"/>
          <w:szCs w:val="21"/>
          <w:lang w:eastAsia="en-US"/>
        </w:rPr>
        <w:t xml:space="preserve">, sostanze e prodotti chimici </w:t>
      </w:r>
      <w:r w:rsidR="002053C2">
        <w:rPr>
          <w:rFonts w:ascii="Arial" w:hAnsi="Arial" w:cs="Arial"/>
          <w:bCs/>
          <w:color w:val="000000" w:themeColor="text1"/>
          <w:sz w:val="21"/>
          <w:szCs w:val="21"/>
          <w:lang w:eastAsia="en-US"/>
        </w:rPr>
        <w:t xml:space="preserve">          </w:t>
      </w:r>
      <w:r w:rsidR="00072181" w:rsidRPr="00F23257">
        <w:rPr>
          <w:rFonts w:ascii="Arial" w:hAnsi="Arial" w:cs="Arial"/>
          <w:bCs/>
          <w:color w:val="000000" w:themeColor="text1"/>
          <w:sz w:val="21"/>
          <w:szCs w:val="21"/>
          <w:lang w:eastAsia="en-US"/>
        </w:rPr>
        <w:t>(-</w:t>
      </w:r>
      <w:r w:rsidR="002053C2">
        <w:rPr>
          <w:rFonts w:ascii="Arial" w:hAnsi="Arial" w:cs="Arial"/>
          <w:bCs/>
          <w:color w:val="000000" w:themeColor="text1"/>
          <w:sz w:val="21"/>
          <w:szCs w:val="21"/>
          <w:lang w:eastAsia="en-US"/>
        </w:rPr>
        <w:t>7,7</w:t>
      </w:r>
      <w:r w:rsidR="00072181" w:rsidRPr="00F23257">
        <w:rPr>
          <w:rFonts w:ascii="Arial" w:hAnsi="Arial" w:cs="Arial"/>
          <w:bCs/>
          <w:color w:val="000000" w:themeColor="text1"/>
          <w:sz w:val="21"/>
          <w:szCs w:val="21"/>
          <w:lang w:eastAsia="en-US"/>
        </w:rPr>
        <w:t xml:space="preserve">%), </w:t>
      </w:r>
      <w:r w:rsidR="002053C2">
        <w:rPr>
          <w:rFonts w:ascii="Arial" w:hAnsi="Arial" w:cs="Arial"/>
          <w:bCs/>
          <w:color w:val="000000" w:themeColor="text1"/>
          <w:sz w:val="21"/>
          <w:szCs w:val="21"/>
          <w:lang w:eastAsia="en-US"/>
        </w:rPr>
        <w:t>computer, apparecchi elettronici e ottici (-6,7%) e carta e prodotti di carta, prodotti della stampa e della riproduzione di supporti registrati (-13,6%).</w:t>
      </w:r>
    </w:p>
    <w:p w14:paraId="23056A23" w14:textId="1BAA7AA1" w:rsidR="00FC2A8B" w:rsidRPr="009B496D" w:rsidRDefault="00FC2A8B" w:rsidP="00AC73B4">
      <w:pPr>
        <w:numPr>
          <w:ilvl w:val="0"/>
          <w:numId w:val="22"/>
        </w:numPr>
        <w:tabs>
          <w:tab w:val="left" w:pos="426"/>
          <w:tab w:val="left" w:pos="1843"/>
        </w:tabs>
        <w:spacing w:after="100" w:line="230" w:lineRule="exact"/>
        <w:ind w:left="357" w:hanging="357"/>
        <w:jc w:val="both"/>
        <w:rPr>
          <w:rFonts w:ascii="Arial" w:hAnsi="Arial" w:cs="Arial"/>
          <w:bCs/>
          <w:sz w:val="21"/>
          <w:szCs w:val="21"/>
          <w:lang w:eastAsia="en-US"/>
        </w:rPr>
      </w:pPr>
      <w:r w:rsidRPr="009B496D">
        <w:rPr>
          <w:rFonts w:ascii="Arial" w:hAnsi="Arial" w:cs="Arial"/>
          <w:bCs/>
          <w:sz w:val="21"/>
          <w:szCs w:val="21"/>
          <w:lang w:eastAsia="en-US"/>
        </w:rPr>
        <w:t xml:space="preserve">Su base annua, i paesi che forniscono i </w:t>
      </w:r>
      <w:r w:rsidR="006E11AD" w:rsidRPr="009B496D">
        <w:rPr>
          <w:rFonts w:ascii="Arial" w:hAnsi="Arial" w:cs="Arial"/>
          <w:bCs/>
          <w:sz w:val="21"/>
          <w:szCs w:val="21"/>
          <w:lang w:eastAsia="en-US"/>
        </w:rPr>
        <w:t xml:space="preserve">maggiori </w:t>
      </w:r>
      <w:r w:rsidRPr="009B496D">
        <w:rPr>
          <w:rFonts w:ascii="Arial" w:hAnsi="Arial" w:cs="Arial"/>
          <w:bCs/>
          <w:sz w:val="21"/>
          <w:szCs w:val="21"/>
          <w:lang w:eastAsia="en-US"/>
        </w:rPr>
        <w:t xml:space="preserve">contributi </w:t>
      </w:r>
      <w:r w:rsidR="00D913A2" w:rsidRPr="009B496D">
        <w:rPr>
          <w:rFonts w:ascii="Arial" w:hAnsi="Arial" w:cs="Arial"/>
          <w:bCs/>
          <w:sz w:val="21"/>
          <w:szCs w:val="21"/>
          <w:lang w:eastAsia="en-US"/>
        </w:rPr>
        <w:t>a</w:t>
      </w:r>
      <w:r w:rsidR="00715DA9">
        <w:rPr>
          <w:rFonts w:ascii="Arial" w:hAnsi="Arial" w:cs="Arial"/>
          <w:bCs/>
          <w:sz w:val="21"/>
          <w:szCs w:val="21"/>
          <w:lang w:eastAsia="en-US"/>
        </w:rPr>
        <w:t xml:space="preserve">lla </w:t>
      </w:r>
      <w:r w:rsidR="002053C2">
        <w:rPr>
          <w:rFonts w:ascii="Arial" w:hAnsi="Arial" w:cs="Arial"/>
          <w:bCs/>
          <w:sz w:val="21"/>
          <w:szCs w:val="21"/>
          <w:lang w:eastAsia="en-US"/>
        </w:rPr>
        <w:t>crescita dell’export nazionale</w:t>
      </w:r>
      <w:r w:rsidRPr="009B496D">
        <w:rPr>
          <w:rFonts w:ascii="Arial" w:hAnsi="Arial" w:cs="Arial"/>
          <w:bCs/>
          <w:sz w:val="21"/>
          <w:szCs w:val="21"/>
          <w:lang w:eastAsia="en-US"/>
        </w:rPr>
        <w:t xml:space="preserve"> sono</w:t>
      </w:r>
      <w:r w:rsidR="00BF248D" w:rsidRPr="009B496D">
        <w:rPr>
          <w:rFonts w:ascii="Arial" w:hAnsi="Arial" w:cs="Arial"/>
          <w:bCs/>
          <w:sz w:val="21"/>
          <w:szCs w:val="21"/>
          <w:lang w:eastAsia="en-US"/>
        </w:rPr>
        <w:t>:</w:t>
      </w:r>
      <w:r w:rsidR="001A09CF" w:rsidRPr="009B496D">
        <w:rPr>
          <w:rFonts w:ascii="Arial" w:hAnsi="Arial" w:cs="Arial"/>
          <w:bCs/>
          <w:sz w:val="21"/>
          <w:szCs w:val="21"/>
          <w:lang w:eastAsia="en-US"/>
        </w:rPr>
        <w:t xml:space="preserve"> </w:t>
      </w:r>
      <w:r w:rsidR="002053C2">
        <w:rPr>
          <w:rFonts w:ascii="Arial" w:hAnsi="Arial" w:cs="Arial"/>
          <w:bCs/>
          <w:sz w:val="21"/>
          <w:szCs w:val="21"/>
          <w:lang w:eastAsia="en-US"/>
        </w:rPr>
        <w:t xml:space="preserve">paesi OPEC (+42,0%), </w:t>
      </w:r>
      <w:r w:rsidR="000172A0" w:rsidRPr="009B496D">
        <w:rPr>
          <w:rFonts w:ascii="Arial" w:hAnsi="Arial" w:cs="Arial"/>
          <w:bCs/>
          <w:sz w:val="21"/>
          <w:szCs w:val="21"/>
          <w:lang w:eastAsia="en-US"/>
        </w:rPr>
        <w:t>Stati Uniti</w:t>
      </w:r>
      <w:r w:rsidR="002053C2">
        <w:rPr>
          <w:rFonts w:ascii="Arial" w:hAnsi="Arial" w:cs="Arial"/>
          <w:bCs/>
          <w:sz w:val="21"/>
          <w:szCs w:val="21"/>
          <w:lang w:eastAsia="en-US"/>
        </w:rPr>
        <w:t xml:space="preserve"> </w:t>
      </w:r>
      <w:r w:rsidR="00D913A2" w:rsidRPr="009B496D">
        <w:rPr>
          <w:rFonts w:ascii="Arial" w:hAnsi="Arial" w:cs="Arial"/>
          <w:bCs/>
          <w:sz w:val="21"/>
          <w:szCs w:val="21"/>
          <w:lang w:eastAsia="en-US"/>
        </w:rPr>
        <w:t>(</w:t>
      </w:r>
      <w:r w:rsidR="002053C2">
        <w:rPr>
          <w:rFonts w:ascii="Arial" w:hAnsi="Arial" w:cs="Arial"/>
          <w:bCs/>
          <w:sz w:val="21"/>
          <w:szCs w:val="21"/>
          <w:lang w:eastAsia="en-US"/>
        </w:rPr>
        <w:t>+10,2%),</w:t>
      </w:r>
      <w:r w:rsidR="00715DA9">
        <w:rPr>
          <w:rFonts w:ascii="Arial" w:hAnsi="Arial" w:cs="Arial"/>
          <w:bCs/>
          <w:sz w:val="21"/>
          <w:szCs w:val="21"/>
          <w:lang w:eastAsia="en-US"/>
        </w:rPr>
        <w:t xml:space="preserve"> Regno Unito (</w:t>
      </w:r>
      <w:r w:rsidR="002053C2">
        <w:rPr>
          <w:rFonts w:ascii="Arial" w:hAnsi="Arial" w:cs="Arial"/>
          <w:bCs/>
          <w:sz w:val="21"/>
          <w:szCs w:val="21"/>
          <w:lang w:eastAsia="en-US"/>
        </w:rPr>
        <w:t>+10,9%) e Giappone (+25,3%). Per contro, si riducono le esportazioni verso Germania (-5,6%), Austria (-16,4%) e Belgio (-6,6%).</w:t>
      </w:r>
      <w:r w:rsidR="00002228" w:rsidRPr="009B496D">
        <w:rPr>
          <w:rFonts w:ascii="Arial" w:hAnsi="Arial" w:cs="Arial"/>
          <w:bCs/>
          <w:sz w:val="21"/>
          <w:szCs w:val="21"/>
          <w:lang w:eastAsia="en-US"/>
        </w:rPr>
        <w:t xml:space="preserve"> </w:t>
      </w:r>
    </w:p>
    <w:p w14:paraId="21C582E1" w14:textId="79412988" w:rsidR="008D02CF" w:rsidRPr="009B496D" w:rsidRDefault="002B693F" w:rsidP="00AC73B4">
      <w:pPr>
        <w:numPr>
          <w:ilvl w:val="0"/>
          <w:numId w:val="22"/>
        </w:numPr>
        <w:tabs>
          <w:tab w:val="left" w:pos="426"/>
          <w:tab w:val="left" w:pos="1843"/>
        </w:tabs>
        <w:spacing w:after="100" w:line="230" w:lineRule="exact"/>
        <w:jc w:val="both"/>
        <w:rPr>
          <w:rFonts w:ascii="Arial" w:hAnsi="Arial" w:cs="Arial"/>
          <w:bCs/>
          <w:sz w:val="21"/>
          <w:szCs w:val="21"/>
          <w:lang w:eastAsia="en-US"/>
        </w:rPr>
      </w:pPr>
      <w:r w:rsidRPr="009B496D">
        <w:rPr>
          <w:rStyle w:val="seocontent"/>
          <w:rFonts w:ascii="Arial" w:hAnsi="Arial" w:cs="Arial"/>
          <w:sz w:val="21"/>
          <w:szCs w:val="21"/>
        </w:rPr>
        <w:t xml:space="preserve">Nei primi </w:t>
      </w:r>
      <w:r w:rsidR="000E3FDA">
        <w:rPr>
          <w:rStyle w:val="seocontent"/>
          <w:rFonts w:ascii="Arial" w:hAnsi="Arial" w:cs="Arial"/>
          <w:sz w:val="21"/>
          <w:szCs w:val="21"/>
        </w:rPr>
        <w:t xml:space="preserve">dieci </w:t>
      </w:r>
      <w:r w:rsidRPr="009B496D">
        <w:rPr>
          <w:rStyle w:val="seocontent"/>
          <w:rFonts w:ascii="Arial" w:hAnsi="Arial" w:cs="Arial"/>
          <w:sz w:val="21"/>
          <w:szCs w:val="21"/>
        </w:rPr>
        <w:t>mesi del</w:t>
      </w:r>
      <w:r w:rsidR="004E520E" w:rsidRPr="009B496D">
        <w:rPr>
          <w:rStyle w:val="seocontent"/>
          <w:rFonts w:ascii="Arial" w:hAnsi="Arial" w:cs="Arial"/>
          <w:sz w:val="21"/>
          <w:szCs w:val="21"/>
        </w:rPr>
        <w:t xml:space="preserve"> </w:t>
      </w:r>
      <w:r w:rsidR="008D02CF" w:rsidRPr="009B496D">
        <w:rPr>
          <w:rStyle w:val="seocontent"/>
          <w:rFonts w:ascii="Arial" w:hAnsi="Arial" w:cs="Arial"/>
          <w:sz w:val="21"/>
          <w:szCs w:val="21"/>
        </w:rPr>
        <w:t xml:space="preserve">2023, </w:t>
      </w:r>
      <w:r w:rsidR="001720E4" w:rsidRPr="009B496D">
        <w:rPr>
          <w:rStyle w:val="seocontent"/>
          <w:rFonts w:ascii="Arial" w:hAnsi="Arial" w:cs="Arial"/>
          <w:sz w:val="21"/>
          <w:szCs w:val="21"/>
        </w:rPr>
        <w:t>l</w:t>
      </w:r>
      <w:r w:rsidR="00CE3964" w:rsidRPr="009B496D">
        <w:rPr>
          <w:rStyle w:val="seocontent"/>
          <w:rFonts w:ascii="Arial" w:hAnsi="Arial" w:cs="Arial"/>
          <w:sz w:val="21"/>
          <w:szCs w:val="21"/>
        </w:rPr>
        <w:t>’export registra</w:t>
      </w:r>
      <w:r w:rsidR="001720E4" w:rsidRPr="009B496D">
        <w:rPr>
          <w:rStyle w:val="seocontent"/>
          <w:rFonts w:ascii="Arial" w:hAnsi="Arial" w:cs="Arial"/>
          <w:sz w:val="21"/>
          <w:szCs w:val="21"/>
        </w:rPr>
        <w:t xml:space="preserve"> una</w:t>
      </w:r>
      <w:r w:rsidR="00355651" w:rsidRPr="009B496D">
        <w:rPr>
          <w:rStyle w:val="seocontent"/>
          <w:rFonts w:ascii="Arial" w:hAnsi="Arial" w:cs="Arial"/>
          <w:sz w:val="21"/>
          <w:szCs w:val="21"/>
        </w:rPr>
        <w:t xml:space="preserve"> c</w:t>
      </w:r>
      <w:r w:rsidR="008D02CF" w:rsidRPr="009B496D">
        <w:rPr>
          <w:rStyle w:val="seocontent"/>
          <w:rFonts w:ascii="Arial" w:hAnsi="Arial" w:cs="Arial"/>
          <w:sz w:val="21"/>
          <w:szCs w:val="21"/>
        </w:rPr>
        <w:t xml:space="preserve">rescita tendenziale </w:t>
      </w:r>
      <w:r w:rsidR="00594BC6">
        <w:rPr>
          <w:rStyle w:val="seocontent"/>
          <w:rFonts w:ascii="Arial" w:hAnsi="Arial" w:cs="Arial"/>
          <w:sz w:val="21"/>
          <w:szCs w:val="21"/>
        </w:rPr>
        <w:t>dell’</w:t>
      </w:r>
      <w:r w:rsidR="00715DA9">
        <w:rPr>
          <w:rStyle w:val="seocontent"/>
          <w:rFonts w:ascii="Arial" w:hAnsi="Arial" w:cs="Arial"/>
          <w:sz w:val="21"/>
          <w:szCs w:val="21"/>
        </w:rPr>
        <w:t>1,</w:t>
      </w:r>
      <w:r w:rsidR="002053C2">
        <w:rPr>
          <w:rStyle w:val="seocontent"/>
          <w:rFonts w:ascii="Arial" w:hAnsi="Arial" w:cs="Arial"/>
          <w:sz w:val="21"/>
          <w:szCs w:val="21"/>
        </w:rPr>
        <w:t>2</w:t>
      </w:r>
      <w:r w:rsidR="00715DA9">
        <w:rPr>
          <w:rStyle w:val="seocontent"/>
          <w:rFonts w:ascii="Arial" w:hAnsi="Arial" w:cs="Arial"/>
          <w:sz w:val="21"/>
          <w:szCs w:val="21"/>
        </w:rPr>
        <w:t>%</w:t>
      </w:r>
      <w:r w:rsidR="00355651" w:rsidRPr="009B496D">
        <w:rPr>
          <w:rStyle w:val="seocontent"/>
          <w:rFonts w:ascii="Arial" w:hAnsi="Arial" w:cs="Arial"/>
          <w:sz w:val="21"/>
          <w:szCs w:val="21"/>
        </w:rPr>
        <w:t>, cui contribuisc</w:t>
      </w:r>
      <w:r w:rsidR="00594BC6">
        <w:rPr>
          <w:rStyle w:val="seocontent"/>
          <w:rFonts w:ascii="Arial" w:hAnsi="Arial" w:cs="Arial"/>
          <w:sz w:val="21"/>
          <w:szCs w:val="21"/>
        </w:rPr>
        <w:t>ono</w:t>
      </w:r>
      <w:r w:rsidR="00355651" w:rsidRPr="009B496D">
        <w:rPr>
          <w:rStyle w:val="seocontent"/>
          <w:rFonts w:ascii="Arial" w:hAnsi="Arial" w:cs="Arial"/>
          <w:sz w:val="21"/>
          <w:szCs w:val="21"/>
        </w:rPr>
        <w:t xml:space="preserve"> </w:t>
      </w:r>
      <w:r w:rsidR="008D02CF" w:rsidRPr="009B496D">
        <w:rPr>
          <w:rStyle w:val="seocontent"/>
          <w:rFonts w:ascii="Arial" w:hAnsi="Arial" w:cs="Arial"/>
          <w:sz w:val="21"/>
          <w:szCs w:val="21"/>
        </w:rPr>
        <w:t xml:space="preserve">in particolare </w:t>
      </w:r>
      <w:r w:rsidR="00CE3964" w:rsidRPr="009B496D">
        <w:rPr>
          <w:rStyle w:val="seocontent"/>
          <w:rFonts w:ascii="Arial" w:hAnsi="Arial" w:cs="Arial"/>
          <w:sz w:val="21"/>
          <w:szCs w:val="21"/>
        </w:rPr>
        <w:t xml:space="preserve">le maggiori </w:t>
      </w:r>
      <w:r w:rsidR="008D02CF" w:rsidRPr="009B496D">
        <w:rPr>
          <w:rStyle w:val="seocontent"/>
          <w:rFonts w:ascii="Arial" w:hAnsi="Arial" w:cs="Arial"/>
          <w:sz w:val="21"/>
          <w:szCs w:val="21"/>
        </w:rPr>
        <w:t xml:space="preserve">vendite di </w:t>
      </w:r>
      <w:r w:rsidR="00FD2B30" w:rsidRPr="009B496D">
        <w:rPr>
          <w:rFonts w:ascii="Arial" w:hAnsi="Arial" w:cs="Arial"/>
          <w:bCs/>
          <w:sz w:val="21"/>
          <w:szCs w:val="21"/>
          <w:lang w:eastAsia="en-US"/>
        </w:rPr>
        <w:t>macchinari e apparecchi n</w:t>
      </w:r>
      <w:r w:rsidR="000C4D8E" w:rsidRPr="009B496D">
        <w:rPr>
          <w:rFonts w:ascii="Arial" w:hAnsi="Arial" w:cs="Arial"/>
          <w:bCs/>
          <w:sz w:val="21"/>
          <w:szCs w:val="21"/>
          <w:lang w:eastAsia="en-US"/>
        </w:rPr>
        <w:t>.</w:t>
      </w:r>
      <w:r w:rsidR="00FD2B30" w:rsidRPr="009B496D">
        <w:rPr>
          <w:rFonts w:ascii="Arial" w:hAnsi="Arial" w:cs="Arial"/>
          <w:bCs/>
          <w:sz w:val="21"/>
          <w:szCs w:val="21"/>
          <w:lang w:eastAsia="en-US"/>
        </w:rPr>
        <w:t>c</w:t>
      </w:r>
      <w:r w:rsidR="000C4D8E" w:rsidRPr="009B496D">
        <w:rPr>
          <w:rFonts w:ascii="Arial" w:hAnsi="Arial" w:cs="Arial"/>
          <w:bCs/>
          <w:sz w:val="21"/>
          <w:szCs w:val="21"/>
          <w:lang w:eastAsia="en-US"/>
        </w:rPr>
        <w:t>.</w:t>
      </w:r>
      <w:r w:rsidR="00FD2B30" w:rsidRPr="009B496D">
        <w:rPr>
          <w:rFonts w:ascii="Arial" w:hAnsi="Arial" w:cs="Arial"/>
          <w:bCs/>
          <w:sz w:val="21"/>
          <w:szCs w:val="21"/>
          <w:lang w:eastAsia="en-US"/>
        </w:rPr>
        <w:t>a</w:t>
      </w:r>
      <w:r w:rsidR="000C4D8E" w:rsidRPr="009B496D">
        <w:rPr>
          <w:rFonts w:ascii="Arial" w:hAnsi="Arial" w:cs="Arial"/>
          <w:bCs/>
          <w:sz w:val="21"/>
          <w:szCs w:val="21"/>
          <w:lang w:eastAsia="en-US"/>
        </w:rPr>
        <w:t>.</w:t>
      </w:r>
      <w:r w:rsidR="00FD2B30" w:rsidRPr="009B496D">
        <w:rPr>
          <w:rFonts w:ascii="Arial" w:hAnsi="Arial" w:cs="Arial"/>
          <w:bCs/>
          <w:sz w:val="21"/>
          <w:szCs w:val="21"/>
          <w:lang w:eastAsia="en-US"/>
        </w:rPr>
        <w:t xml:space="preserve"> (+</w:t>
      </w:r>
      <w:r w:rsidR="00475838" w:rsidRPr="009B496D">
        <w:rPr>
          <w:rFonts w:ascii="Arial" w:hAnsi="Arial" w:cs="Arial"/>
          <w:bCs/>
          <w:sz w:val="21"/>
          <w:szCs w:val="21"/>
          <w:lang w:eastAsia="en-US"/>
        </w:rPr>
        <w:t>1</w:t>
      </w:r>
      <w:r w:rsidR="00715DA9">
        <w:rPr>
          <w:rFonts w:ascii="Arial" w:hAnsi="Arial" w:cs="Arial"/>
          <w:bCs/>
          <w:sz w:val="21"/>
          <w:szCs w:val="21"/>
          <w:lang w:eastAsia="en-US"/>
        </w:rPr>
        <w:t>0,</w:t>
      </w:r>
      <w:r w:rsidR="002053C2">
        <w:rPr>
          <w:rFonts w:ascii="Arial" w:hAnsi="Arial" w:cs="Arial"/>
          <w:bCs/>
          <w:sz w:val="21"/>
          <w:szCs w:val="21"/>
          <w:lang w:eastAsia="en-US"/>
        </w:rPr>
        <w:t>6</w:t>
      </w:r>
      <w:r w:rsidR="00FD2B30" w:rsidRPr="009B496D">
        <w:rPr>
          <w:rFonts w:ascii="Arial" w:hAnsi="Arial" w:cs="Arial"/>
          <w:bCs/>
          <w:sz w:val="21"/>
          <w:szCs w:val="21"/>
          <w:lang w:eastAsia="en-US"/>
        </w:rPr>
        <w:t xml:space="preserve">%), </w:t>
      </w:r>
      <w:r w:rsidR="00FE6C4F" w:rsidRPr="009B496D">
        <w:rPr>
          <w:rStyle w:val="seocontent"/>
          <w:rFonts w:ascii="Arial" w:hAnsi="Arial" w:cs="Arial"/>
          <w:sz w:val="21"/>
          <w:szCs w:val="21"/>
        </w:rPr>
        <w:t>autoveicoli (+</w:t>
      </w:r>
      <w:r w:rsidR="00715DA9">
        <w:rPr>
          <w:rStyle w:val="seocontent"/>
          <w:rFonts w:ascii="Arial" w:hAnsi="Arial" w:cs="Arial"/>
          <w:sz w:val="21"/>
          <w:szCs w:val="21"/>
        </w:rPr>
        <w:t>2</w:t>
      </w:r>
      <w:r w:rsidR="002053C2">
        <w:rPr>
          <w:rStyle w:val="seocontent"/>
          <w:rFonts w:ascii="Arial" w:hAnsi="Arial" w:cs="Arial"/>
          <w:sz w:val="21"/>
          <w:szCs w:val="21"/>
        </w:rPr>
        <w:t>4,7</w:t>
      </w:r>
      <w:r w:rsidR="00FE6C4F" w:rsidRPr="009B496D">
        <w:rPr>
          <w:rStyle w:val="seocontent"/>
          <w:rFonts w:ascii="Arial" w:hAnsi="Arial" w:cs="Arial"/>
          <w:sz w:val="21"/>
          <w:szCs w:val="21"/>
        </w:rPr>
        <w:t xml:space="preserve">%), </w:t>
      </w:r>
      <w:r w:rsidR="00122713" w:rsidRPr="009B496D">
        <w:rPr>
          <w:rStyle w:val="seocontent"/>
          <w:rFonts w:ascii="Arial" w:hAnsi="Arial" w:cs="Arial"/>
          <w:sz w:val="21"/>
          <w:szCs w:val="21"/>
        </w:rPr>
        <w:t>prodotti alimentari, bevande e tabacco</w:t>
      </w:r>
      <w:r w:rsidR="00931795" w:rsidRPr="009B496D">
        <w:rPr>
          <w:rStyle w:val="seocontent"/>
          <w:rFonts w:ascii="Arial" w:hAnsi="Arial" w:cs="Arial"/>
          <w:sz w:val="21"/>
          <w:szCs w:val="21"/>
        </w:rPr>
        <w:t xml:space="preserve"> (+</w:t>
      </w:r>
      <w:r w:rsidR="00715DA9">
        <w:rPr>
          <w:rStyle w:val="seocontent"/>
          <w:rFonts w:ascii="Arial" w:hAnsi="Arial" w:cs="Arial"/>
          <w:sz w:val="21"/>
          <w:szCs w:val="21"/>
        </w:rPr>
        <w:t>6,</w:t>
      </w:r>
      <w:r w:rsidR="00E75B24">
        <w:rPr>
          <w:rStyle w:val="seocontent"/>
          <w:rFonts w:ascii="Arial" w:hAnsi="Arial" w:cs="Arial"/>
          <w:sz w:val="21"/>
          <w:szCs w:val="21"/>
        </w:rPr>
        <w:t>8</w:t>
      </w:r>
      <w:r w:rsidR="00931795" w:rsidRPr="009B496D">
        <w:rPr>
          <w:rStyle w:val="seocontent"/>
          <w:rFonts w:ascii="Arial" w:hAnsi="Arial" w:cs="Arial"/>
          <w:sz w:val="21"/>
          <w:szCs w:val="21"/>
        </w:rPr>
        <w:t>%), mezzi di trasporto, autoveicoli</w:t>
      </w:r>
      <w:r w:rsidR="009B496D" w:rsidRPr="009B496D">
        <w:rPr>
          <w:rStyle w:val="seocontent"/>
          <w:rFonts w:ascii="Arial" w:hAnsi="Arial" w:cs="Arial"/>
          <w:sz w:val="21"/>
          <w:szCs w:val="21"/>
        </w:rPr>
        <w:t xml:space="preserve"> esclusi</w:t>
      </w:r>
      <w:r w:rsidR="00931795" w:rsidRPr="009B496D">
        <w:rPr>
          <w:rStyle w:val="seocontent"/>
          <w:rFonts w:ascii="Arial" w:hAnsi="Arial" w:cs="Arial"/>
          <w:sz w:val="21"/>
          <w:szCs w:val="21"/>
        </w:rPr>
        <w:t xml:space="preserve"> (+</w:t>
      </w:r>
      <w:r w:rsidR="00E75B24">
        <w:rPr>
          <w:rStyle w:val="seocontent"/>
          <w:rFonts w:ascii="Arial" w:hAnsi="Arial" w:cs="Arial"/>
          <w:sz w:val="21"/>
          <w:szCs w:val="21"/>
        </w:rPr>
        <w:t>9,4</w:t>
      </w:r>
      <w:r w:rsidR="00931795" w:rsidRPr="009B496D">
        <w:rPr>
          <w:rStyle w:val="seocontent"/>
          <w:rFonts w:ascii="Arial" w:hAnsi="Arial" w:cs="Arial"/>
          <w:sz w:val="21"/>
          <w:szCs w:val="21"/>
        </w:rPr>
        <w:t xml:space="preserve">%) e </w:t>
      </w:r>
      <w:r w:rsidR="008D02CF" w:rsidRPr="009B496D">
        <w:rPr>
          <w:rStyle w:val="seocontent"/>
          <w:rFonts w:ascii="Arial" w:hAnsi="Arial" w:cs="Arial"/>
          <w:sz w:val="21"/>
          <w:szCs w:val="21"/>
        </w:rPr>
        <w:t>articoli farmaceuti</w:t>
      </w:r>
      <w:r w:rsidR="00122713" w:rsidRPr="009B496D">
        <w:rPr>
          <w:rStyle w:val="seocontent"/>
          <w:rFonts w:ascii="Arial" w:hAnsi="Arial" w:cs="Arial"/>
          <w:sz w:val="21"/>
          <w:szCs w:val="21"/>
        </w:rPr>
        <w:t>ci, chimico-medicali e botanici</w:t>
      </w:r>
      <w:r w:rsidR="008D02CF" w:rsidRPr="009B496D">
        <w:rPr>
          <w:rStyle w:val="seocontent"/>
          <w:rFonts w:ascii="Arial" w:hAnsi="Arial" w:cs="Arial"/>
          <w:sz w:val="21"/>
          <w:szCs w:val="21"/>
        </w:rPr>
        <w:t xml:space="preserve"> (+</w:t>
      </w:r>
      <w:r w:rsidR="00715DA9">
        <w:rPr>
          <w:rStyle w:val="seocontent"/>
          <w:rFonts w:ascii="Arial" w:hAnsi="Arial" w:cs="Arial"/>
          <w:sz w:val="21"/>
          <w:szCs w:val="21"/>
        </w:rPr>
        <w:t>5,1</w:t>
      </w:r>
      <w:r w:rsidR="008D02CF" w:rsidRPr="009B496D">
        <w:rPr>
          <w:rStyle w:val="seocontent"/>
          <w:rFonts w:ascii="Arial" w:hAnsi="Arial" w:cs="Arial"/>
          <w:sz w:val="21"/>
          <w:szCs w:val="21"/>
        </w:rPr>
        <w:t>%).</w:t>
      </w:r>
    </w:p>
    <w:p w14:paraId="313AB420" w14:textId="50114CB3" w:rsidR="0021204D" w:rsidRPr="00E75B24" w:rsidRDefault="00FF3F9E" w:rsidP="00AC73B4">
      <w:pPr>
        <w:numPr>
          <w:ilvl w:val="0"/>
          <w:numId w:val="22"/>
        </w:numPr>
        <w:tabs>
          <w:tab w:val="left" w:pos="426"/>
          <w:tab w:val="left" w:pos="1843"/>
        </w:tabs>
        <w:spacing w:after="100" w:line="230" w:lineRule="exact"/>
        <w:jc w:val="both"/>
        <w:rPr>
          <w:rFonts w:ascii="Arial" w:hAnsi="Arial" w:cs="Arial"/>
          <w:bCs/>
          <w:color w:val="000000"/>
          <w:sz w:val="21"/>
          <w:szCs w:val="21"/>
          <w:lang w:eastAsia="en-US"/>
        </w:rPr>
      </w:pPr>
      <w:r w:rsidRPr="009B496D">
        <w:rPr>
          <w:rFonts w:ascii="Arial" w:hAnsi="Arial" w:cs="Arial"/>
          <w:bCs/>
          <w:sz w:val="21"/>
          <w:szCs w:val="21"/>
          <w:lang w:eastAsia="en-US"/>
        </w:rPr>
        <w:t xml:space="preserve">La stima del </w:t>
      </w:r>
      <w:r w:rsidR="00415BF4" w:rsidRPr="009B496D">
        <w:rPr>
          <w:rFonts w:ascii="Arial" w:hAnsi="Arial" w:cs="Arial"/>
          <w:bCs/>
          <w:sz w:val="21"/>
          <w:szCs w:val="21"/>
          <w:lang w:eastAsia="en-US"/>
        </w:rPr>
        <w:t xml:space="preserve">saldo commerciale </w:t>
      </w:r>
      <w:r w:rsidR="00715DA9">
        <w:rPr>
          <w:rFonts w:ascii="Arial" w:hAnsi="Arial" w:cs="Arial"/>
          <w:bCs/>
          <w:sz w:val="21"/>
          <w:szCs w:val="21"/>
          <w:lang w:eastAsia="en-US"/>
        </w:rPr>
        <w:t xml:space="preserve">a </w:t>
      </w:r>
      <w:r w:rsidR="000E3FDA">
        <w:rPr>
          <w:rFonts w:ascii="Arial" w:hAnsi="Arial" w:cs="Arial"/>
          <w:bCs/>
          <w:sz w:val="21"/>
          <w:szCs w:val="21"/>
          <w:lang w:eastAsia="en-US"/>
        </w:rPr>
        <w:t>ottobre</w:t>
      </w:r>
      <w:r w:rsidRPr="009B496D">
        <w:rPr>
          <w:rFonts w:ascii="Arial" w:hAnsi="Arial" w:cs="Arial"/>
          <w:bCs/>
          <w:sz w:val="21"/>
          <w:szCs w:val="21"/>
          <w:lang w:eastAsia="en-US"/>
        </w:rPr>
        <w:t xml:space="preserve"> 2023 </w:t>
      </w:r>
      <w:r w:rsidR="00415BF4" w:rsidRPr="009B496D">
        <w:rPr>
          <w:rFonts w:ascii="Arial" w:hAnsi="Arial" w:cs="Arial"/>
          <w:bCs/>
          <w:sz w:val="21"/>
          <w:szCs w:val="21"/>
          <w:lang w:eastAsia="en-US"/>
        </w:rPr>
        <w:t xml:space="preserve">è </w:t>
      </w:r>
      <w:r w:rsidR="00F066F2" w:rsidRPr="009B496D">
        <w:rPr>
          <w:rFonts w:ascii="Arial" w:hAnsi="Arial" w:cs="Arial"/>
          <w:bCs/>
          <w:sz w:val="21"/>
          <w:szCs w:val="21"/>
          <w:lang w:eastAsia="en-US"/>
        </w:rPr>
        <w:t xml:space="preserve">pari a </w:t>
      </w:r>
      <w:r w:rsidR="00FD2B30" w:rsidRPr="009B496D">
        <w:rPr>
          <w:rFonts w:ascii="Arial" w:hAnsi="Arial" w:cs="Arial"/>
          <w:bCs/>
          <w:sz w:val="21"/>
          <w:szCs w:val="21"/>
          <w:lang w:eastAsia="en-US"/>
        </w:rPr>
        <w:t>+</w:t>
      </w:r>
      <w:r w:rsidR="00E75B24">
        <w:rPr>
          <w:rFonts w:ascii="Arial" w:hAnsi="Arial" w:cs="Arial"/>
          <w:bCs/>
          <w:sz w:val="21"/>
          <w:szCs w:val="21"/>
          <w:lang w:eastAsia="en-US"/>
        </w:rPr>
        <w:t>4.699</w:t>
      </w:r>
      <w:r w:rsidR="00E72130" w:rsidRPr="009B496D">
        <w:rPr>
          <w:rFonts w:ascii="Arial" w:hAnsi="Arial" w:cs="Arial"/>
          <w:bCs/>
          <w:sz w:val="21"/>
          <w:szCs w:val="21"/>
          <w:lang w:eastAsia="en-US"/>
        </w:rPr>
        <w:t xml:space="preserve"> </w:t>
      </w:r>
      <w:r w:rsidR="00C56C4B" w:rsidRPr="009B496D">
        <w:rPr>
          <w:rFonts w:ascii="Arial" w:hAnsi="Arial" w:cs="Arial"/>
          <w:bCs/>
          <w:sz w:val="21"/>
          <w:szCs w:val="21"/>
          <w:lang w:eastAsia="en-US"/>
        </w:rPr>
        <w:t>milioni</w:t>
      </w:r>
      <w:r w:rsidR="00F066F2" w:rsidRPr="009B496D">
        <w:rPr>
          <w:rFonts w:ascii="Arial" w:hAnsi="Arial" w:cs="Arial"/>
          <w:bCs/>
          <w:sz w:val="21"/>
          <w:szCs w:val="21"/>
          <w:lang w:eastAsia="en-US"/>
        </w:rPr>
        <w:t xml:space="preserve"> di euro</w:t>
      </w:r>
      <w:r w:rsidR="004075C7" w:rsidRPr="009B496D">
        <w:rPr>
          <w:rFonts w:ascii="Arial" w:hAnsi="Arial" w:cs="Arial"/>
          <w:bCs/>
          <w:sz w:val="21"/>
          <w:szCs w:val="21"/>
          <w:lang w:eastAsia="en-US"/>
        </w:rPr>
        <w:t xml:space="preserve"> </w:t>
      </w:r>
      <w:r w:rsidR="007D5DB7" w:rsidRPr="009B496D">
        <w:rPr>
          <w:rFonts w:ascii="Arial" w:hAnsi="Arial" w:cs="Arial"/>
          <w:bCs/>
          <w:sz w:val="21"/>
          <w:szCs w:val="21"/>
          <w:lang w:eastAsia="en-US"/>
        </w:rPr>
        <w:t>(</w:t>
      </w:r>
      <w:r w:rsidRPr="009B496D">
        <w:rPr>
          <w:rFonts w:ascii="Arial" w:hAnsi="Arial" w:cs="Arial"/>
          <w:bCs/>
          <w:sz w:val="21"/>
          <w:szCs w:val="21"/>
          <w:lang w:eastAsia="en-US"/>
        </w:rPr>
        <w:t xml:space="preserve">era </w:t>
      </w:r>
      <w:r w:rsidR="00E72130" w:rsidRPr="009B496D">
        <w:rPr>
          <w:rFonts w:ascii="Arial" w:hAnsi="Arial" w:cs="Arial"/>
          <w:bCs/>
          <w:sz w:val="21"/>
          <w:szCs w:val="21"/>
          <w:lang w:eastAsia="en-US"/>
        </w:rPr>
        <w:t>-</w:t>
      </w:r>
      <w:r w:rsidR="00E75B24">
        <w:rPr>
          <w:rFonts w:ascii="Arial" w:hAnsi="Arial" w:cs="Arial"/>
          <w:bCs/>
          <w:sz w:val="21"/>
          <w:szCs w:val="21"/>
          <w:lang w:eastAsia="en-US"/>
        </w:rPr>
        <w:t>2.192</w:t>
      </w:r>
      <w:r w:rsidR="00E72130" w:rsidRPr="009B496D">
        <w:rPr>
          <w:rFonts w:ascii="Arial" w:hAnsi="Arial" w:cs="Arial"/>
          <w:bCs/>
          <w:sz w:val="21"/>
          <w:szCs w:val="21"/>
          <w:lang w:eastAsia="en-US"/>
        </w:rPr>
        <w:t xml:space="preserve"> </w:t>
      </w:r>
      <w:r w:rsidR="003E1F8C" w:rsidRPr="009B496D">
        <w:rPr>
          <w:rFonts w:ascii="Arial" w:hAnsi="Arial" w:cs="Arial"/>
          <w:bCs/>
          <w:sz w:val="21"/>
          <w:szCs w:val="21"/>
          <w:lang w:eastAsia="en-US"/>
        </w:rPr>
        <w:t xml:space="preserve">milioni </w:t>
      </w:r>
      <w:r w:rsidR="007D5DB7" w:rsidRPr="009B496D">
        <w:rPr>
          <w:rFonts w:ascii="Arial" w:hAnsi="Arial" w:cs="Arial"/>
          <w:bCs/>
          <w:sz w:val="21"/>
          <w:szCs w:val="21"/>
          <w:lang w:eastAsia="en-US"/>
        </w:rPr>
        <w:t>a</w:t>
      </w:r>
      <w:r w:rsidR="00324AE0" w:rsidRPr="009B496D">
        <w:rPr>
          <w:rFonts w:ascii="Arial" w:hAnsi="Arial" w:cs="Arial"/>
          <w:bCs/>
          <w:sz w:val="21"/>
          <w:szCs w:val="21"/>
          <w:lang w:eastAsia="en-US"/>
        </w:rPr>
        <w:t xml:space="preserve"> </w:t>
      </w:r>
      <w:r w:rsidR="00E75B24">
        <w:rPr>
          <w:rFonts w:ascii="Arial" w:hAnsi="Arial" w:cs="Arial"/>
          <w:bCs/>
          <w:sz w:val="21"/>
          <w:szCs w:val="21"/>
          <w:lang w:eastAsia="en-US"/>
        </w:rPr>
        <w:t>ottobre</w:t>
      </w:r>
      <w:r w:rsidR="003E1F8C" w:rsidRPr="009B496D">
        <w:rPr>
          <w:rFonts w:ascii="Arial" w:hAnsi="Arial" w:cs="Arial"/>
          <w:bCs/>
          <w:sz w:val="21"/>
          <w:szCs w:val="21"/>
          <w:lang w:eastAsia="en-US"/>
        </w:rPr>
        <w:t xml:space="preserve"> 2022</w:t>
      </w:r>
      <w:r w:rsidR="007D5DB7" w:rsidRPr="009B496D">
        <w:rPr>
          <w:rFonts w:ascii="Arial" w:hAnsi="Arial" w:cs="Arial"/>
          <w:bCs/>
          <w:sz w:val="21"/>
          <w:szCs w:val="21"/>
          <w:lang w:eastAsia="en-US"/>
        </w:rPr>
        <w:t>)</w:t>
      </w:r>
      <w:r w:rsidR="003E1F8C" w:rsidRPr="009B496D">
        <w:rPr>
          <w:rFonts w:ascii="Arial" w:hAnsi="Arial" w:cs="Arial"/>
          <w:bCs/>
          <w:sz w:val="21"/>
          <w:szCs w:val="21"/>
          <w:lang w:eastAsia="en-US"/>
        </w:rPr>
        <w:t xml:space="preserve">. </w:t>
      </w:r>
      <w:r w:rsidR="00F066F2" w:rsidRPr="009B496D">
        <w:rPr>
          <w:rFonts w:ascii="Arial" w:hAnsi="Arial" w:cs="Arial"/>
          <w:bCs/>
          <w:sz w:val="21"/>
          <w:szCs w:val="21"/>
          <w:lang w:eastAsia="en-US"/>
        </w:rPr>
        <w:t xml:space="preserve">Il deficit energetico </w:t>
      </w:r>
      <w:r w:rsidR="00C56C4B" w:rsidRPr="009B496D">
        <w:rPr>
          <w:rFonts w:ascii="Arial" w:hAnsi="Arial" w:cs="Arial"/>
          <w:bCs/>
          <w:sz w:val="21"/>
          <w:szCs w:val="21"/>
          <w:lang w:eastAsia="en-US"/>
        </w:rPr>
        <w:t>(-</w:t>
      </w:r>
      <w:r w:rsidR="00715DA9">
        <w:rPr>
          <w:rFonts w:ascii="Arial" w:hAnsi="Arial" w:cs="Arial"/>
          <w:bCs/>
          <w:sz w:val="21"/>
          <w:szCs w:val="21"/>
          <w:lang w:eastAsia="en-US"/>
        </w:rPr>
        <w:t>5.1</w:t>
      </w:r>
      <w:r w:rsidR="00E75B24">
        <w:rPr>
          <w:rFonts w:ascii="Arial" w:hAnsi="Arial" w:cs="Arial"/>
          <w:bCs/>
          <w:sz w:val="21"/>
          <w:szCs w:val="21"/>
          <w:lang w:eastAsia="en-US"/>
        </w:rPr>
        <w:t>20</w:t>
      </w:r>
      <w:r w:rsidR="00E72130" w:rsidRPr="009B496D">
        <w:rPr>
          <w:rFonts w:ascii="Arial" w:hAnsi="Arial" w:cs="Arial"/>
          <w:bCs/>
          <w:sz w:val="21"/>
          <w:szCs w:val="21"/>
          <w:lang w:eastAsia="en-US"/>
        </w:rPr>
        <w:t xml:space="preserve"> </w:t>
      </w:r>
      <w:r w:rsidR="002A0930" w:rsidRPr="009B496D">
        <w:rPr>
          <w:rFonts w:ascii="Arial" w:hAnsi="Arial" w:cs="Arial"/>
          <w:bCs/>
          <w:sz w:val="21"/>
          <w:szCs w:val="21"/>
          <w:lang w:eastAsia="en-US"/>
        </w:rPr>
        <w:t xml:space="preserve">milioni) </w:t>
      </w:r>
      <w:r w:rsidR="00715DA9">
        <w:rPr>
          <w:rFonts w:ascii="Arial" w:hAnsi="Arial" w:cs="Arial"/>
          <w:bCs/>
          <w:sz w:val="21"/>
          <w:szCs w:val="21"/>
          <w:lang w:eastAsia="en-US"/>
        </w:rPr>
        <w:t xml:space="preserve">è </w:t>
      </w:r>
      <w:r w:rsidR="00E75B24">
        <w:rPr>
          <w:rFonts w:ascii="Arial" w:hAnsi="Arial" w:cs="Arial"/>
          <w:bCs/>
          <w:sz w:val="21"/>
          <w:szCs w:val="21"/>
          <w:lang w:eastAsia="en-US"/>
        </w:rPr>
        <w:t>in forte riduzione rispetto all’anno precedente</w:t>
      </w:r>
      <w:r w:rsidR="00642915">
        <w:rPr>
          <w:rFonts w:ascii="Arial" w:hAnsi="Arial" w:cs="Arial"/>
          <w:bCs/>
          <w:sz w:val="21"/>
          <w:szCs w:val="21"/>
          <w:lang w:eastAsia="en-US"/>
        </w:rPr>
        <w:t xml:space="preserve"> </w:t>
      </w:r>
      <w:r w:rsidR="002A0930" w:rsidRPr="009B496D">
        <w:rPr>
          <w:rFonts w:ascii="Arial" w:hAnsi="Arial" w:cs="Arial"/>
          <w:bCs/>
          <w:sz w:val="21"/>
          <w:szCs w:val="21"/>
          <w:lang w:eastAsia="en-US"/>
        </w:rPr>
        <w:t>(</w:t>
      </w:r>
      <w:r w:rsidR="00475838" w:rsidRPr="009B496D">
        <w:rPr>
          <w:rFonts w:ascii="Arial" w:hAnsi="Arial" w:cs="Arial"/>
          <w:bCs/>
          <w:sz w:val="21"/>
          <w:szCs w:val="21"/>
          <w:lang w:eastAsia="en-US"/>
        </w:rPr>
        <w:t>-</w:t>
      </w:r>
      <w:r w:rsidR="00E75B24">
        <w:rPr>
          <w:rFonts w:ascii="Arial" w:hAnsi="Arial" w:cs="Arial"/>
          <w:bCs/>
          <w:sz w:val="21"/>
          <w:szCs w:val="21"/>
          <w:lang w:eastAsia="en-US"/>
        </w:rPr>
        <w:t>8.651</w:t>
      </w:r>
      <w:r w:rsidR="00715DA9">
        <w:rPr>
          <w:rFonts w:ascii="Arial" w:hAnsi="Arial" w:cs="Arial"/>
          <w:bCs/>
          <w:sz w:val="21"/>
          <w:szCs w:val="21"/>
          <w:lang w:eastAsia="en-US"/>
        </w:rPr>
        <w:t xml:space="preserve"> </w:t>
      </w:r>
      <w:r w:rsidR="00F066F2" w:rsidRPr="009B496D">
        <w:rPr>
          <w:rFonts w:ascii="Arial" w:hAnsi="Arial" w:cs="Arial"/>
          <w:bCs/>
          <w:sz w:val="21"/>
          <w:szCs w:val="21"/>
          <w:lang w:eastAsia="en-US"/>
        </w:rPr>
        <w:t>milioni)</w:t>
      </w:r>
      <w:r w:rsidR="004E520E" w:rsidRPr="009B496D">
        <w:rPr>
          <w:rFonts w:ascii="Arial" w:hAnsi="Arial" w:cs="Arial"/>
          <w:bCs/>
          <w:sz w:val="21"/>
          <w:szCs w:val="21"/>
          <w:lang w:eastAsia="en-US"/>
        </w:rPr>
        <w:t>,</w:t>
      </w:r>
      <w:r w:rsidR="00AE5948" w:rsidRPr="009B496D">
        <w:rPr>
          <w:rFonts w:ascii="Arial" w:hAnsi="Arial" w:cs="Arial"/>
          <w:bCs/>
          <w:sz w:val="21"/>
          <w:szCs w:val="21"/>
          <w:lang w:eastAsia="en-US"/>
        </w:rPr>
        <w:t xml:space="preserve"> </w:t>
      </w:r>
      <w:r w:rsidR="001414BB" w:rsidRPr="009B496D">
        <w:rPr>
          <w:rFonts w:ascii="Arial" w:hAnsi="Arial" w:cs="Arial"/>
          <w:bCs/>
          <w:sz w:val="21"/>
          <w:szCs w:val="21"/>
          <w:lang w:eastAsia="en-US"/>
        </w:rPr>
        <w:t>mentre</w:t>
      </w:r>
      <w:r w:rsidRPr="009B496D">
        <w:rPr>
          <w:rFonts w:ascii="Arial" w:hAnsi="Arial" w:cs="Arial"/>
          <w:bCs/>
          <w:sz w:val="21"/>
          <w:szCs w:val="21"/>
          <w:lang w:eastAsia="en-US"/>
        </w:rPr>
        <w:t xml:space="preserve"> </w:t>
      </w:r>
      <w:r w:rsidR="002D30B3" w:rsidRPr="009B496D">
        <w:rPr>
          <w:rFonts w:ascii="Arial" w:hAnsi="Arial" w:cs="Arial"/>
          <w:bCs/>
          <w:sz w:val="21"/>
          <w:szCs w:val="21"/>
          <w:lang w:eastAsia="en-US"/>
        </w:rPr>
        <w:t>l</w:t>
      </w:r>
      <w:r w:rsidR="0015479F" w:rsidRPr="009B496D">
        <w:rPr>
          <w:rFonts w:ascii="Arial" w:hAnsi="Arial" w:cs="Arial"/>
          <w:bCs/>
          <w:sz w:val="21"/>
          <w:szCs w:val="21"/>
          <w:lang w:eastAsia="en-US"/>
        </w:rPr>
        <w:t>’avanzo nell’interscambi</w:t>
      </w:r>
      <w:r w:rsidR="00696151" w:rsidRPr="009B496D">
        <w:rPr>
          <w:rFonts w:ascii="Arial" w:hAnsi="Arial" w:cs="Arial"/>
          <w:bCs/>
          <w:sz w:val="21"/>
          <w:szCs w:val="21"/>
          <w:lang w:eastAsia="en-US"/>
        </w:rPr>
        <w:t>o di prodotti non energetici</w:t>
      </w:r>
      <w:r w:rsidR="001414BB" w:rsidRPr="009B496D">
        <w:rPr>
          <w:rFonts w:ascii="Arial" w:hAnsi="Arial" w:cs="Arial"/>
          <w:bCs/>
          <w:sz w:val="21"/>
          <w:szCs w:val="21"/>
          <w:lang w:eastAsia="en-US"/>
        </w:rPr>
        <w:t xml:space="preserve"> </w:t>
      </w:r>
      <w:r w:rsidR="00647498" w:rsidRPr="009B496D">
        <w:rPr>
          <w:rFonts w:ascii="Arial" w:hAnsi="Arial" w:cs="Arial"/>
          <w:bCs/>
          <w:sz w:val="21"/>
          <w:szCs w:val="21"/>
          <w:lang w:eastAsia="en-US"/>
        </w:rPr>
        <w:t xml:space="preserve">aumenta da </w:t>
      </w:r>
      <w:r w:rsidR="00E75B24">
        <w:rPr>
          <w:rFonts w:ascii="Arial" w:hAnsi="Arial" w:cs="Arial"/>
          <w:bCs/>
          <w:sz w:val="21"/>
          <w:szCs w:val="21"/>
          <w:lang w:eastAsia="en-US"/>
        </w:rPr>
        <w:t>6.459</w:t>
      </w:r>
      <w:r w:rsidR="00E72130" w:rsidRPr="009B496D">
        <w:rPr>
          <w:rFonts w:ascii="Arial" w:hAnsi="Arial" w:cs="Arial"/>
          <w:bCs/>
          <w:sz w:val="21"/>
          <w:szCs w:val="21"/>
          <w:lang w:eastAsia="en-US"/>
        </w:rPr>
        <w:t xml:space="preserve"> </w:t>
      </w:r>
      <w:r w:rsidR="00647498" w:rsidRPr="009B496D">
        <w:rPr>
          <w:rFonts w:ascii="Arial" w:hAnsi="Arial" w:cs="Arial"/>
          <w:bCs/>
          <w:sz w:val="21"/>
          <w:szCs w:val="21"/>
          <w:lang w:eastAsia="en-US"/>
        </w:rPr>
        <w:t xml:space="preserve">milioni di </w:t>
      </w:r>
      <w:r w:rsidR="00E75B24">
        <w:rPr>
          <w:rFonts w:ascii="Arial" w:hAnsi="Arial" w:cs="Arial"/>
          <w:bCs/>
          <w:sz w:val="21"/>
          <w:szCs w:val="21"/>
          <w:lang w:eastAsia="en-US"/>
        </w:rPr>
        <w:t>ottobre</w:t>
      </w:r>
      <w:r w:rsidR="00647498" w:rsidRPr="009B496D">
        <w:rPr>
          <w:rFonts w:ascii="Arial" w:hAnsi="Arial" w:cs="Arial"/>
          <w:bCs/>
          <w:sz w:val="21"/>
          <w:szCs w:val="21"/>
          <w:lang w:eastAsia="en-US"/>
        </w:rPr>
        <w:t xml:space="preserve"> 2022 a </w:t>
      </w:r>
      <w:r w:rsidR="00E75B24">
        <w:rPr>
          <w:rFonts w:ascii="Arial" w:hAnsi="Arial" w:cs="Arial"/>
          <w:bCs/>
          <w:sz w:val="21"/>
          <w:szCs w:val="21"/>
          <w:lang w:eastAsia="en-US"/>
        </w:rPr>
        <w:t>9.</w:t>
      </w:r>
      <w:r w:rsidR="00E75B24" w:rsidRPr="00E75B24">
        <w:rPr>
          <w:rFonts w:ascii="Arial" w:hAnsi="Arial" w:cs="Arial"/>
          <w:bCs/>
          <w:sz w:val="21"/>
          <w:szCs w:val="21"/>
          <w:lang w:eastAsia="en-US"/>
        </w:rPr>
        <w:t xml:space="preserve">819 </w:t>
      </w:r>
      <w:r w:rsidR="00355651" w:rsidRPr="00E75B24">
        <w:rPr>
          <w:rFonts w:ascii="Arial" w:hAnsi="Arial" w:cs="Arial"/>
          <w:bCs/>
          <w:sz w:val="21"/>
          <w:szCs w:val="21"/>
          <w:lang w:eastAsia="en-US"/>
        </w:rPr>
        <w:t>milioni</w:t>
      </w:r>
      <w:r w:rsidR="001414BB" w:rsidRPr="00E75B24">
        <w:rPr>
          <w:rFonts w:ascii="Arial" w:hAnsi="Arial" w:cs="Arial"/>
          <w:bCs/>
          <w:sz w:val="21"/>
          <w:szCs w:val="21"/>
          <w:lang w:eastAsia="en-US"/>
        </w:rPr>
        <w:t xml:space="preserve"> </w:t>
      </w:r>
      <w:r w:rsidR="00647498" w:rsidRPr="00E75B24">
        <w:rPr>
          <w:rFonts w:ascii="Arial" w:hAnsi="Arial" w:cs="Arial"/>
          <w:bCs/>
          <w:sz w:val="21"/>
          <w:szCs w:val="21"/>
          <w:lang w:eastAsia="en-US"/>
        </w:rPr>
        <w:t xml:space="preserve">di </w:t>
      </w:r>
      <w:r w:rsidR="00E75B24" w:rsidRPr="00E75B24">
        <w:rPr>
          <w:rFonts w:ascii="Arial" w:hAnsi="Arial" w:cs="Arial"/>
          <w:bCs/>
          <w:sz w:val="21"/>
          <w:szCs w:val="21"/>
          <w:lang w:eastAsia="en-US"/>
        </w:rPr>
        <w:t>ottobre</w:t>
      </w:r>
      <w:r w:rsidR="00647498" w:rsidRPr="00E75B24">
        <w:rPr>
          <w:rFonts w:ascii="Arial" w:hAnsi="Arial" w:cs="Arial"/>
          <w:bCs/>
          <w:sz w:val="21"/>
          <w:szCs w:val="21"/>
          <w:lang w:eastAsia="en-US"/>
        </w:rPr>
        <w:t xml:space="preserve"> 2023</w:t>
      </w:r>
      <w:r w:rsidR="00355651" w:rsidRPr="00E75B24">
        <w:rPr>
          <w:rFonts w:ascii="Arial" w:hAnsi="Arial" w:cs="Arial"/>
          <w:bCs/>
          <w:sz w:val="21"/>
          <w:szCs w:val="21"/>
          <w:lang w:eastAsia="en-US"/>
        </w:rPr>
        <w:t>.</w:t>
      </w:r>
      <w:r w:rsidR="00F066F2" w:rsidRPr="00E75B24">
        <w:rPr>
          <w:rFonts w:ascii="Arial" w:hAnsi="Arial" w:cs="Arial"/>
          <w:bCs/>
          <w:sz w:val="21"/>
          <w:szCs w:val="21"/>
        </w:rPr>
        <w:t xml:space="preserve"> </w:t>
      </w:r>
    </w:p>
    <w:p w14:paraId="17E9725B" w14:textId="2D83F065" w:rsidR="00153D89" w:rsidRPr="00E75B24" w:rsidRDefault="00153D89" w:rsidP="00153D89">
      <w:pPr>
        <w:pStyle w:val="Paragrafoelenco"/>
        <w:numPr>
          <w:ilvl w:val="0"/>
          <w:numId w:val="22"/>
        </w:numPr>
        <w:rPr>
          <w:rFonts w:ascii="Arial" w:hAnsi="Arial" w:cs="Arial"/>
          <w:bCs/>
          <w:color w:val="auto"/>
          <w:sz w:val="21"/>
          <w:szCs w:val="21"/>
          <w:lang w:eastAsia="en-US"/>
        </w:rPr>
      </w:pPr>
      <w:r w:rsidRPr="00E75B24">
        <w:rPr>
          <w:rFonts w:ascii="Arial" w:hAnsi="Arial" w:cs="Arial"/>
          <w:bCs/>
          <w:sz w:val="21"/>
          <w:szCs w:val="21"/>
          <w:lang w:eastAsia="en-US"/>
        </w:rPr>
        <w:t>Nel mese di ottobre 2023</w:t>
      </w:r>
      <w:r w:rsidRPr="00E75B24">
        <w:rPr>
          <w:rFonts w:ascii="Arial" w:hAnsi="Arial" w:cs="Arial"/>
          <w:bCs/>
          <w:color w:val="auto"/>
          <w:sz w:val="21"/>
          <w:szCs w:val="21"/>
          <w:lang w:eastAsia="en-US"/>
        </w:rPr>
        <w:t xml:space="preserve"> i prezzi all’importazione aumentano dell’1,1% su base mensile e diminuiscono del 10,2% su base annua</w:t>
      </w:r>
      <w:r w:rsidR="00E75B24" w:rsidRPr="00E75B24">
        <w:rPr>
          <w:rFonts w:ascii="Arial" w:hAnsi="Arial" w:cs="Arial"/>
          <w:bCs/>
          <w:color w:val="auto"/>
          <w:sz w:val="21"/>
          <w:szCs w:val="21"/>
          <w:lang w:eastAsia="en-US"/>
        </w:rPr>
        <w:t xml:space="preserve"> (da -12,1% di settembre)</w:t>
      </w:r>
      <w:r w:rsidRPr="00E75B24">
        <w:rPr>
          <w:rFonts w:ascii="Arial" w:hAnsi="Arial" w:cs="Arial"/>
          <w:bCs/>
          <w:color w:val="auto"/>
          <w:sz w:val="21"/>
          <w:szCs w:val="21"/>
          <w:lang w:eastAsia="en-US"/>
        </w:rPr>
        <w:t>.</w:t>
      </w:r>
    </w:p>
    <w:p w14:paraId="5659BA97" w14:textId="5A775871" w:rsidR="00E75B24" w:rsidRPr="000E3FDA" w:rsidRDefault="00F93B27" w:rsidP="00E75B24">
      <w:pPr>
        <w:pStyle w:val="Paragrafoelenco"/>
        <w:ind w:left="360"/>
        <w:rPr>
          <w:rFonts w:ascii="Arial" w:hAnsi="Arial" w:cs="Arial"/>
          <w:bCs/>
          <w:color w:val="auto"/>
          <w:sz w:val="21"/>
          <w:szCs w:val="21"/>
          <w:highlight w:val="yellow"/>
          <w:lang w:eastAsia="en-US"/>
        </w:rPr>
      </w:pPr>
      <w:r w:rsidRPr="004F13FA">
        <w:rPr>
          <w:noProof/>
          <w:highlight w:val="yellow"/>
          <w:lang w:eastAsia="it-IT"/>
        </w:rPr>
        <w:drawing>
          <wp:anchor distT="0" distB="0" distL="114300" distR="114300" simplePos="0" relativeHeight="251658240" behindDoc="0" locked="0" layoutInCell="1" allowOverlap="1" wp14:anchorId="54FA102A" wp14:editId="3943E5F0">
            <wp:simplePos x="0" y="0"/>
            <wp:positionH relativeFrom="column">
              <wp:posOffset>2540</wp:posOffset>
            </wp:positionH>
            <wp:positionV relativeFrom="paragraph">
              <wp:posOffset>43180</wp:posOffset>
            </wp:positionV>
            <wp:extent cx="752475" cy="719455"/>
            <wp:effectExtent l="0" t="0" r="9525" b="4445"/>
            <wp:wrapNone/>
            <wp:docPr id="260" name="Immagin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2475" cy="719455"/>
                    </a:xfrm>
                    <a:prstGeom prst="rect">
                      <a:avLst/>
                    </a:prstGeom>
                    <a:noFill/>
                  </pic:spPr>
                </pic:pic>
              </a:graphicData>
            </a:graphic>
            <wp14:sizeRelH relativeFrom="margin">
              <wp14:pctWidth>0</wp14:pctWidth>
            </wp14:sizeRelH>
            <wp14:sizeRelV relativeFrom="margin">
              <wp14:pctHeight>0</wp14:pctHeight>
            </wp14:sizeRelV>
          </wp:anchor>
        </w:drawing>
      </w:r>
    </w:p>
    <w:p w14:paraId="5564E452" w14:textId="77777777" w:rsidR="00AC73B4" w:rsidRPr="00EA244E" w:rsidRDefault="00AC73B4" w:rsidP="00AC73B4">
      <w:pPr>
        <w:pStyle w:val="Paragrafoelenco"/>
        <w:ind w:left="357"/>
        <w:contextualSpacing w:val="0"/>
        <w:rPr>
          <w:rFonts w:ascii="Arial" w:hAnsi="Arial" w:cs="Arial"/>
          <w:bCs/>
          <w:color w:val="auto"/>
          <w:sz w:val="2"/>
          <w:szCs w:val="2"/>
          <w:lang w:eastAsia="en-US"/>
        </w:rPr>
      </w:pPr>
    </w:p>
    <w:p w14:paraId="6E0CC606" w14:textId="6B2039CA" w:rsidR="00710291" w:rsidRPr="00710291" w:rsidRDefault="008B0A95" w:rsidP="005622DB">
      <w:pPr>
        <w:pStyle w:val="Paragrafoelenco"/>
        <w:spacing w:after="0"/>
        <w:ind w:left="357"/>
        <w:contextualSpacing w:val="0"/>
        <w:rPr>
          <w:rFonts w:ascii="Arial" w:hAnsi="Arial" w:cs="Arial"/>
          <w:bCs/>
          <w:color w:val="auto"/>
          <w:sz w:val="8"/>
          <w:szCs w:val="21"/>
          <w:lang w:eastAsia="en-US"/>
        </w:rPr>
      </w:pPr>
      <w:r>
        <w:rPr>
          <w:rFonts w:ascii="Arial" w:hAnsi="Arial" w:cs="Arial"/>
          <w:bCs/>
          <w:sz w:val="21"/>
          <w:szCs w:val="21"/>
          <w:lang w:eastAsia="en-US"/>
        </w:rPr>
        <w:t xml:space="preserve"> </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6"/>
        <w:gridCol w:w="3290"/>
      </w:tblGrid>
      <w:tr w:rsidR="00F527AD" w:rsidRPr="002578CE" w14:paraId="4B6E6D18" w14:textId="77777777" w:rsidTr="00053850">
        <w:trPr>
          <w:trHeight w:val="115"/>
        </w:trPr>
        <w:tc>
          <w:tcPr>
            <w:tcW w:w="6916" w:type="dxa"/>
            <w:vMerge w:val="restart"/>
            <w:tcBorders>
              <w:top w:val="nil"/>
              <w:left w:val="single" w:sz="4" w:space="0" w:color="FFFFFF"/>
              <w:right w:val="single" w:sz="48" w:space="0" w:color="FFFFFF"/>
            </w:tcBorders>
            <w:shd w:val="clear" w:color="auto" w:fill="D9D9D9"/>
          </w:tcPr>
          <w:p w14:paraId="7B15BC07" w14:textId="7EAD53DE" w:rsidR="00016974" w:rsidRDefault="005301CF" w:rsidP="009D2CD6">
            <w:pPr>
              <w:pStyle w:val="Paragrafobase"/>
              <w:spacing w:before="40" w:line="140" w:lineRule="atLeast"/>
              <w:rPr>
                <w:rFonts w:ascii="Arial" w:hAnsi="Arial" w:cs="Arial"/>
                <w:sz w:val="21"/>
                <w:szCs w:val="21"/>
              </w:rPr>
            </w:pPr>
            <w:r>
              <w:rPr>
                <w:noProof/>
              </w:rPr>
              <w:drawing>
                <wp:anchor distT="0" distB="0" distL="114300" distR="114300" simplePos="0" relativeHeight="251659264" behindDoc="0" locked="0" layoutInCell="1" allowOverlap="1" wp14:anchorId="0DAC9D23" wp14:editId="32150C20">
                  <wp:simplePos x="0" y="0"/>
                  <wp:positionH relativeFrom="column">
                    <wp:posOffset>5989320</wp:posOffset>
                  </wp:positionH>
                  <wp:positionV relativeFrom="paragraph">
                    <wp:posOffset>44450</wp:posOffset>
                  </wp:positionV>
                  <wp:extent cx="657225" cy="638175"/>
                  <wp:effectExtent l="0" t="0" r="0" b="0"/>
                  <wp:wrapNone/>
                  <wp:docPr id="259" name="Immagine 3" descr="Descrizione: iconeComunicati-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Descrizione: iconeComunicati-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225" cy="638175"/>
                          </a:xfrm>
                          <a:prstGeom prst="rect">
                            <a:avLst/>
                          </a:prstGeom>
                          <a:noFill/>
                          <a:ln>
                            <a:noFill/>
                          </a:ln>
                        </pic:spPr>
                      </pic:pic>
                    </a:graphicData>
                  </a:graphic>
                </wp:anchor>
              </w:drawing>
            </w:r>
            <w:r w:rsidR="00F527AD" w:rsidRPr="002578CE">
              <w:rPr>
                <w:rFonts w:ascii="Arial" w:hAnsi="Arial" w:cs="Arial"/>
                <w:sz w:val="22"/>
                <w:szCs w:val="22"/>
              </w:rPr>
              <w:t xml:space="preserve">                 </w:t>
            </w:r>
            <w:r w:rsidR="00F527AD">
              <w:rPr>
                <w:rFonts w:ascii="Arial" w:hAnsi="Arial" w:cs="Arial"/>
                <w:sz w:val="22"/>
                <w:szCs w:val="22"/>
              </w:rPr>
              <w:t xml:space="preserve"> </w:t>
            </w:r>
            <w:r w:rsidR="00F527AD" w:rsidRPr="00AF6380">
              <w:rPr>
                <w:rFonts w:ascii="Calibri" w:hAnsi="Calibri" w:cs="Arial"/>
                <w:color w:val="E41C18"/>
                <w:sz w:val="56"/>
                <w:szCs w:val="56"/>
              </w:rPr>
              <w:t>Il commento</w:t>
            </w:r>
          </w:p>
          <w:p w14:paraId="0BDB4F75" w14:textId="77777777" w:rsidR="00166759" w:rsidRPr="000077FA" w:rsidRDefault="00166759" w:rsidP="00166759">
            <w:pPr>
              <w:jc w:val="both"/>
              <w:rPr>
                <w:rFonts w:ascii="Arial" w:hAnsi="Arial" w:cs="Arial"/>
                <w:sz w:val="6"/>
                <w:szCs w:val="6"/>
              </w:rPr>
            </w:pPr>
          </w:p>
          <w:p w14:paraId="72D57620" w14:textId="3122F693" w:rsidR="009908CA" w:rsidRPr="00F93B27" w:rsidRDefault="00E5175D" w:rsidP="00265A7D">
            <w:pPr>
              <w:spacing w:after="40"/>
              <w:jc w:val="both"/>
              <w:rPr>
                <w:rFonts w:ascii="Arial" w:hAnsi="Arial" w:cs="Arial"/>
                <w:sz w:val="21"/>
                <w:szCs w:val="21"/>
              </w:rPr>
            </w:pPr>
            <w:r w:rsidRPr="005F06D7">
              <w:rPr>
                <w:rFonts w:ascii="Arial" w:hAnsi="Arial" w:cs="Arial"/>
                <w:sz w:val="21"/>
                <w:szCs w:val="21"/>
              </w:rPr>
              <w:t>Dopo la battuta di arresto di settembre, a ottobre l’export torna crescere su base mensile</w:t>
            </w:r>
            <w:r w:rsidR="005F06D7">
              <w:rPr>
                <w:rFonts w:ascii="Arial" w:hAnsi="Arial" w:cs="Arial"/>
                <w:sz w:val="21"/>
                <w:szCs w:val="21"/>
              </w:rPr>
              <w:t xml:space="preserve"> – </w:t>
            </w:r>
            <w:r w:rsidRPr="005F06D7">
              <w:rPr>
                <w:rFonts w:ascii="Arial" w:hAnsi="Arial" w:cs="Arial"/>
                <w:sz w:val="21"/>
                <w:szCs w:val="21"/>
              </w:rPr>
              <w:t xml:space="preserve"> </w:t>
            </w:r>
            <w:r w:rsidR="005F06D7" w:rsidRPr="005F06D7">
              <w:rPr>
                <w:rFonts w:ascii="Arial" w:hAnsi="Arial" w:cs="Arial"/>
                <w:sz w:val="21"/>
                <w:szCs w:val="21"/>
              </w:rPr>
              <w:t>in misura più intensa per l’area extra-Ue</w:t>
            </w:r>
            <w:r w:rsidR="005F06D7">
              <w:rPr>
                <w:rFonts w:ascii="Arial" w:hAnsi="Arial" w:cs="Arial"/>
                <w:sz w:val="21"/>
                <w:szCs w:val="21"/>
              </w:rPr>
              <w:t xml:space="preserve"> –</w:t>
            </w:r>
            <w:r w:rsidR="005F06D7" w:rsidRPr="005F06D7">
              <w:rPr>
                <w:rFonts w:ascii="Arial" w:hAnsi="Arial" w:cs="Arial"/>
                <w:sz w:val="21"/>
                <w:szCs w:val="21"/>
              </w:rPr>
              <w:t xml:space="preserve"> </w:t>
            </w:r>
            <w:r w:rsidR="005F06D7">
              <w:rPr>
                <w:rFonts w:ascii="Arial" w:hAnsi="Arial" w:cs="Arial"/>
                <w:sz w:val="21"/>
                <w:szCs w:val="21"/>
              </w:rPr>
              <w:t>t</w:t>
            </w:r>
            <w:r w:rsidR="005F06D7" w:rsidRPr="005F06D7">
              <w:rPr>
                <w:rFonts w:ascii="Arial" w:hAnsi="Arial" w:cs="Arial"/>
                <w:sz w:val="21"/>
                <w:szCs w:val="21"/>
              </w:rPr>
              <w:t>rainat</w:t>
            </w:r>
            <w:r w:rsidR="005F06D7">
              <w:rPr>
                <w:rFonts w:ascii="Arial" w:hAnsi="Arial" w:cs="Arial"/>
                <w:sz w:val="21"/>
                <w:szCs w:val="21"/>
              </w:rPr>
              <w:t>o</w:t>
            </w:r>
            <w:r w:rsidR="005F06D7" w:rsidRPr="005F06D7">
              <w:rPr>
                <w:rFonts w:ascii="Arial" w:hAnsi="Arial" w:cs="Arial"/>
                <w:sz w:val="21"/>
                <w:szCs w:val="21"/>
              </w:rPr>
              <w:t xml:space="preserve"> </w:t>
            </w:r>
            <w:r w:rsidR="00736FF6">
              <w:rPr>
                <w:rFonts w:ascii="Arial" w:hAnsi="Arial" w:cs="Arial"/>
                <w:sz w:val="21"/>
                <w:szCs w:val="21"/>
              </w:rPr>
              <w:t xml:space="preserve">dalle </w:t>
            </w:r>
            <w:r w:rsidR="00265A7D">
              <w:rPr>
                <w:rFonts w:ascii="Arial" w:hAnsi="Arial" w:cs="Arial"/>
                <w:sz w:val="21"/>
                <w:szCs w:val="21"/>
              </w:rPr>
              <w:t xml:space="preserve">maggiori </w:t>
            </w:r>
            <w:r w:rsidR="00736FF6" w:rsidRPr="00F93B27">
              <w:rPr>
                <w:rFonts w:ascii="Arial" w:hAnsi="Arial" w:cs="Arial"/>
                <w:sz w:val="21"/>
                <w:szCs w:val="21"/>
              </w:rPr>
              <w:t>vendite di beni di consumo non durevoli e beni strumentali</w:t>
            </w:r>
            <w:r w:rsidR="004257D9" w:rsidRPr="00F93B27">
              <w:rPr>
                <w:rFonts w:ascii="Arial" w:hAnsi="Arial" w:cs="Arial"/>
                <w:sz w:val="21"/>
                <w:szCs w:val="21"/>
              </w:rPr>
              <w:t>.</w:t>
            </w:r>
            <w:r w:rsidR="002B39AB" w:rsidRPr="00F93B27">
              <w:rPr>
                <w:rFonts w:ascii="Arial" w:hAnsi="Arial" w:cs="Arial"/>
                <w:sz w:val="21"/>
                <w:szCs w:val="21"/>
              </w:rPr>
              <w:t xml:space="preserve"> </w:t>
            </w:r>
            <w:r w:rsidR="00736FF6" w:rsidRPr="00F93B27">
              <w:rPr>
                <w:rFonts w:ascii="Arial" w:hAnsi="Arial" w:cs="Arial"/>
                <w:sz w:val="21"/>
                <w:szCs w:val="21"/>
              </w:rPr>
              <w:t>Anche l’import torna a crescere in termini congiunturali</w:t>
            </w:r>
            <w:r w:rsidR="005F06D7" w:rsidRPr="00F93B27">
              <w:rPr>
                <w:rFonts w:ascii="Arial" w:hAnsi="Arial" w:cs="Arial"/>
                <w:sz w:val="21"/>
                <w:szCs w:val="21"/>
              </w:rPr>
              <w:t>.</w:t>
            </w:r>
          </w:p>
          <w:p w14:paraId="711343F4" w14:textId="7F456103" w:rsidR="009D2CD6" w:rsidRPr="00F93B27" w:rsidRDefault="00C2250B" w:rsidP="00265A7D">
            <w:pPr>
              <w:spacing w:after="40"/>
              <w:jc w:val="both"/>
              <w:rPr>
                <w:rFonts w:ascii="Arial" w:hAnsi="Arial" w:cs="Arial"/>
                <w:sz w:val="21"/>
                <w:szCs w:val="21"/>
              </w:rPr>
            </w:pPr>
            <w:r w:rsidRPr="00F93B27">
              <w:rPr>
                <w:rFonts w:ascii="Arial" w:hAnsi="Arial" w:cs="Arial"/>
                <w:sz w:val="21"/>
                <w:szCs w:val="21"/>
              </w:rPr>
              <w:t>Su base annua</w:t>
            </w:r>
            <w:r w:rsidR="00EB5B9C" w:rsidRPr="00F93B27">
              <w:rPr>
                <w:rFonts w:ascii="Arial" w:hAnsi="Arial" w:cs="Arial"/>
                <w:sz w:val="21"/>
                <w:szCs w:val="21"/>
              </w:rPr>
              <w:t>,</w:t>
            </w:r>
            <w:r w:rsidR="00683FA6" w:rsidRPr="00F93B27">
              <w:rPr>
                <w:rFonts w:ascii="Arial" w:hAnsi="Arial" w:cs="Arial"/>
                <w:sz w:val="21"/>
                <w:szCs w:val="21"/>
              </w:rPr>
              <w:t xml:space="preserve"> </w:t>
            </w:r>
            <w:r w:rsidR="009D171A">
              <w:rPr>
                <w:rFonts w:ascii="Arial" w:hAnsi="Arial" w:cs="Arial"/>
                <w:sz w:val="21"/>
                <w:szCs w:val="21"/>
              </w:rPr>
              <w:t>la crescita in valore del</w:t>
            </w:r>
            <w:r w:rsidR="00683FA6" w:rsidRPr="00F93B27">
              <w:rPr>
                <w:rFonts w:ascii="Arial" w:hAnsi="Arial" w:cs="Arial"/>
                <w:sz w:val="21"/>
                <w:szCs w:val="21"/>
              </w:rPr>
              <w:t>l’export</w:t>
            </w:r>
            <w:r w:rsidR="001822EF" w:rsidRPr="00F93B27">
              <w:rPr>
                <w:rFonts w:ascii="Arial" w:hAnsi="Arial" w:cs="Arial"/>
                <w:sz w:val="21"/>
                <w:szCs w:val="21"/>
              </w:rPr>
              <w:t xml:space="preserve"> </w:t>
            </w:r>
            <w:r w:rsidR="005F06D7" w:rsidRPr="00F93B27">
              <w:rPr>
                <w:rFonts w:ascii="Arial" w:hAnsi="Arial" w:cs="Arial"/>
                <w:sz w:val="21"/>
                <w:szCs w:val="21"/>
              </w:rPr>
              <w:t>riguar</w:t>
            </w:r>
            <w:r w:rsidR="00265A7D">
              <w:rPr>
                <w:rFonts w:ascii="Arial" w:hAnsi="Arial" w:cs="Arial"/>
                <w:sz w:val="21"/>
                <w:szCs w:val="21"/>
              </w:rPr>
              <w:t>da i mercati extra-Ue</w:t>
            </w:r>
            <w:r w:rsidR="005F06D7" w:rsidRPr="00F93B27">
              <w:rPr>
                <w:rFonts w:ascii="Arial" w:hAnsi="Arial" w:cs="Arial"/>
                <w:sz w:val="21"/>
                <w:szCs w:val="21"/>
              </w:rPr>
              <w:t xml:space="preserve"> e </w:t>
            </w:r>
            <w:r w:rsidR="006B19D8" w:rsidRPr="00F93B27">
              <w:rPr>
                <w:rFonts w:ascii="Arial" w:hAnsi="Arial" w:cs="Arial"/>
                <w:sz w:val="21"/>
                <w:szCs w:val="21"/>
              </w:rPr>
              <w:t xml:space="preserve">coinvolge </w:t>
            </w:r>
            <w:r w:rsidR="00F93B27" w:rsidRPr="00F93B27">
              <w:rPr>
                <w:rFonts w:ascii="Arial" w:hAnsi="Arial" w:cs="Arial"/>
                <w:sz w:val="21"/>
                <w:szCs w:val="21"/>
              </w:rPr>
              <w:t>soprattutto</w:t>
            </w:r>
            <w:r w:rsidR="005F06D7" w:rsidRPr="00F93B27">
              <w:rPr>
                <w:rFonts w:ascii="Arial" w:hAnsi="Arial" w:cs="Arial"/>
                <w:sz w:val="21"/>
                <w:szCs w:val="21"/>
              </w:rPr>
              <w:t xml:space="preserve"> </w:t>
            </w:r>
            <w:r w:rsidR="002B39AB" w:rsidRPr="00F93B27">
              <w:rPr>
                <w:rFonts w:ascii="Arial" w:hAnsi="Arial" w:cs="Arial"/>
                <w:sz w:val="21"/>
                <w:szCs w:val="21"/>
              </w:rPr>
              <w:t>i settori</w:t>
            </w:r>
            <w:r w:rsidR="005F06D7" w:rsidRPr="00F93B27">
              <w:rPr>
                <w:rFonts w:ascii="Arial" w:hAnsi="Arial" w:cs="Arial"/>
                <w:sz w:val="21"/>
                <w:szCs w:val="21"/>
              </w:rPr>
              <w:t xml:space="preserve"> dei macchinari, autoveicoli e altri mezzi di trasporto</w:t>
            </w:r>
            <w:r w:rsidR="00F93B27" w:rsidRPr="00F93B27">
              <w:rPr>
                <w:rFonts w:ascii="Arial" w:hAnsi="Arial" w:cs="Arial"/>
                <w:sz w:val="21"/>
                <w:szCs w:val="21"/>
              </w:rPr>
              <w:t xml:space="preserve">; l’export verso l’area Ue, invece, segna ancora una contrazione, per oltre la metà </w:t>
            </w:r>
            <w:r w:rsidR="009D171A">
              <w:rPr>
                <w:rFonts w:ascii="Arial" w:hAnsi="Arial" w:cs="Arial"/>
                <w:sz w:val="21"/>
                <w:szCs w:val="21"/>
              </w:rPr>
              <w:t>dovuta</w:t>
            </w:r>
            <w:r w:rsidR="00F93B27" w:rsidRPr="00F93B27">
              <w:rPr>
                <w:rFonts w:ascii="Arial" w:hAnsi="Arial" w:cs="Arial"/>
                <w:sz w:val="21"/>
                <w:szCs w:val="21"/>
              </w:rPr>
              <w:t xml:space="preserve"> alle minori </w:t>
            </w:r>
            <w:r w:rsidR="00265A7D">
              <w:rPr>
                <w:rFonts w:ascii="Arial" w:hAnsi="Arial" w:cs="Arial"/>
                <w:sz w:val="21"/>
                <w:szCs w:val="21"/>
              </w:rPr>
              <w:t>vendite</w:t>
            </w:r>
            <w:r w:rsidR="00F93B27" w:rsidRPr="00F93B27">
              <w:rPr>
                <w:rFonts w:ascii="Arial" w:hAnsi="Arial" w:cs="Arial"/>
                <w:sz w:val="21"/>
                <w:szCs w:val="21"/>
              </w:rPr>
              <w:t xml:space="preserve"> verso Germania, Austria e Belgio.</w:t>
            </w:r>
            <w:r w:rsidR="002B39AB" w:rsidRPr="00F93B27">
              <w:rPr>
                <w:rFonts w:ascii="Arial" w:hAnsi="Arial" w:cs="Arial"/>
                <w:sz w:val="21"/>
                <w:szCs w:val="21"/>
              </w:rPr>
              <w:t xml:space="preserve"> L’import</w:t>
            </w:r>
            <w:r w:rsidR="005F06D7" w:rsidRPr="00F93B27">
              <w:rPr>
                <w:rFonts w:ascii="Arial" w:hAnsi="Arial" w:cs="Arial"/>
                <w:sz w:val="21"/>
                <w:szCs w:val="21"/>
              </w:rPr>
              <w:t xml:space="preserve"> mostra una decisa attenuazione della flessione</w:t>
            </w:r>
            <w:r w:rsidR="00265A7D">
              <w:rPr>
                <w:rFonts w:ascii="Arial" w:hAnsi="Arial" w:cs="Arial"/>
                <w:sz w:val="21"/>
                <w:szCs w:val="21"/>
              </w:rPr>
              <w:t xml:space="preserve"> tendenziale</w:t>
            </w:r>
            <w:r w:rsidR="006B19D8" w:rsidRPr="00F93B27">
              <w:rPr>
                <w:rFonts w:ascii="Arial" w:hAnsi="Arial" w:cs="Arial"/>
                <w:sz w:val="21"/>
                <w:szCs w:val="21"/>
              </w:rPr>
              <w:t>.</w:t>
            </w:r>
            <w:r w:rsidR="009D2CD6" w:rsidRPr="00F93B27">
              <w:rPr>
                <w:rFonts w:ascii="Arial" w:hAnsi="Arial" w:cs="Arial"/>
                <w:sz w:val="21"/>
                <w:szCs w:val="21"/>
              </w:rPr>
              <w:t xml:space="preserve"> </w:t>
            </w:r>
          </w:p>
          <w:p w14:paraId="06709B9D" w14:textId="5978BC42" w:rsidR="006B19D8" w:rsidRPr="00265A7D" w:rsidRDefault="006B19D8" w:rsidP="00265A7D">
            <w:pPr>
              <w:spacing w:after="40"/>
              <w:jc w:val="both"/>
              <w:rPr>
                <w:rFonts w:ascii="Arial" w:hAnsi="Arial" w:cs="Arial"/>
                <w:sz w:val="21"/>
                <w:szCs w:val="21"/>
              </w:rPr>
            </w:pPr>
            <w:r w:rsidRPr="00F93B27">
              <w:rPr>
                <w:rFonts w:ascii="Arial" w:hAnsi="Arial" w:cs="Arial"/>
                <w:sz w:val="21"/>
                <w:szCs w:val="21"/>
              </w:rPr>
              <w:t xml:space="preserve">Nei primi </w:t>
            </w:r>
            <w:r w:rsidR="00736FF6" w:rsidRPr="00F93B27">
              <w:rPr>
                <w:rFonts w:ascii="Arial" w:hAnsi="Arial" w:cs="Arial"/>
                <w:sz w:val="21"/>
                <w:szCs w:val="21"/>
              </w:rPr>
              <w:t xml:space="preserve">dieci </w:t>
            </w:r>
            <w:r w:rsidRPr="00F93B27">
              <w:rPr>
                <w:rFonts w:ascii="Arial" w:hAnsi="Arial" w:cs="Arial"/>
                <w:sz w:val="21"/>
                <w:szCs w:val="21"/>
              </w:rPr>
              <w:t>mesi del</w:t>
            </w:r>
            <w:r w:rsidR="009D171A">
              <w:rPr>
                <w:rFonts w:ascii="Arial" w:hAnsi="Arial" w:cs="Arial"/>
                <w:sz w:val="21"/>
                <w:szCs w:val="21"/>
              </w:rPr>
              <w:t xml:space="preserve"> 2023</w:t>
            </w:r>
            <w:r w:rsidRPr="00F93B27">
              <w:rPr>
                <w:rFonts w:ascii="Arial" w:hAnsi="Arial" w:cs="Arial"/>
                <w:sz w:val="21"/>
                <w:szCs w:val="21"/>
              </w:rPr>
              <w:t>, il saldo commerciale è</w:t>
            </w:r>
            <w:r w:rsidRPr="00736FF6">
              <w:rPr>
                <w:rFonts w:ascii="Arial" w:hAnsi="Arial" w:cs="Arial"/>
                <w:sz w:val="21"/>
                <w:szCs w:val="21"/>
              </w:rPr>
              <w:t xml:space="preserve"> positivo per 2</w:t>
            </w:r>
            <w:r w:rsidR="00736FF6" w:rsidRPr="00736FF6">
              <w:rPr>
                <w:rFonts w:ascii="Arial" w:hAnsi="Arial" w:cs="Arial"/>
                <w:sz w:val="21"/>
                <w:szCs w:val="21"/>
              </w:rPr>
              <w:t>4</w:t>
            </w:r>
            <w:r w:rsidRPr="00736FF6">
              <w:rPr>
                <w:rFonts w:ascii="Arial" w:hAnsi="Arial" w:cs="Arial"/>
                <w:sz w:val="21"/>
                <w:szCs w:val="21"/>
              </w:rPr>
              <w:t>,</w:t>
            </w:r>
            <w:r w:rsidR="00736FF6" w:rsidRPr="00736FF6">
              <w:rPr>
                <w:rFonts w:ascii="Arial" w:hAnsi="Arial" w:cs="Arial"/>
                <w:sz w:val="21"/>
                <w:szCs w:val="21"/>
              </w:rPr>
              <w:t>9</w:t>
            </w:r>
            <w:r w:rsidRPr="00736FF6">
              <w:rPr>
                <w:rFonts w:ascii="Arial" w:hAnsi="Arial" w:cs="Arial"/>
                <w:sz w:val="21"/>
                <w:szCs w:val="21"/>
              </w:rPr>
              <w:t xml:space="preserve"> miliardi (</w:t>
            </w:r>
            <w:r w:rsidRPr="00265A7D">
              <w:rPr>
                <w:rFonts w:ascii="Arial" w:hAnsi="Arial" w:cs="Arial"/>
                <w:sz w:val="21"/>
                <w:szCs w:val="21"/>
              </w:rPr>
              <w:t>era -3</w:t>
            </w:r>
            <w:r w:rsidR="00736FF6" w:rsidRPr="00265A7D">
              <w:rPr>
                <w:rFonts w:ascii="Arial" w:hAnsi="Arial" w:cs="Arial"/>
                <w:sz w:val="21"/>
                <w:szCs w:val="21"/>
              </w:rPr>
              <w:t>6</w:t>
            </w:r>
            <w:r w:rsidRPr="00265A7D">
              <w:rPr>
                <w:rFonts w:ascii="Arial" w:hAnsi="Arial" w:cs="Arial"/>
                <w:sz w:val="21"/>
                <w:szCs w:val="21"/>
              </w:rPr>
              <w:t>,</w:t>
            </w:r>
            <w:r w:rsidR="00736FF6" w:rsidRPr="00265A7D">
              <w:rPr>
                <w:rFonts w:ascii="Arial" w:hAnsi="Arial" w:cs="Arial"/>
                <w:sz w:val="21"/>
                <w:szCs w:val="21"/>
              </w:rPr>
              <w:t>2</w:t>
            </w:r>
            <w:r w:rsidRPr="00265A7D">
              <w:rPr>
                <w:rFonts w:ascii="Arial" w:hAnsi="Arial" w:cs="Arial"/>
                <w:sz w:val="21"/>
                <w:szCs w:val="21"/>
              </w:rPr>
              <w:t xml:space="preserve"> miliardi nello stesso periodo del 2022).</w:t>
            </w:r>
          </w:p>
          <w:p w14:paraId="3BE659D2" w14:textId="4F6BAC9F" w:rsidR="00921351" w:rsidRPr="00A46BE0" w:rsidRDefault="00A71714" w:rsidP="009D171A">
            <w:pPr>
              <w:spacing w:after="40"/>
              <w:jc w:val="both"/>
              <w:rPr>
                <w:rFonts w:ascii="Arial" w:hAnsi="Arial" w:cs="Arial"/>
                <w:sz w:val="21"/>
                <w:szCs w:val="21"/>
                <w:highlight w:val="yellow"/>
              </w:rPr>
            </w:pPr>
            <w:r w:rsidRPr="00265A7D">
              <w:rPr>
                <w:rFonts w:ascii="Arial" w:hAnsi="Arial" w:cs="Arial"/>
                <w:sz w:val="21"/>
                <w:szCs w:val="21"/>
              </w:rPr>
              <w:t>I prezzi all’import</w:t>
            </w:r>
            <w:r w:rsidR="00736FF6" w:rsidRPr="00265A7D">
              <w:rPr>
                <w:rFonts w:ascii="Arial" w:hAnsi="Arial" w:cs="Arial"/>
                <w:sz w:val="21"/>
                <w:szCs w:val="21"/>
              </w:rPr>
              <w:t xml:space="preserve"> </w:t>
            </w:r>
            <w:r w:rsidR="00F93B27" w:rsidRPr="00265A7D">
              <w:rPr>
                <w:rFonts w:ascii="Arial" w:hAnsi="Arial" w:cs="Arial"/>
                <w:sz w:val="21"/>
                <w:szCs w:val="21"/>
              </w:rPr>
              <w:t xml:space="preserve">crescono su base </w:t>
            </w:r>
            <w:r w:rsidR="00265A7D">
              <w:rPr>
                <w:rFonts w:ascii="Arial" w:hAnsi="Arial" w:cs="Arial"/>
                <w:sz w:val="21"/>
                <w:szCs w:val="21"/>
              </w:rPr>
              <w:t>congiunturale</w:t>
            </w:r>
            <w:r w:rsidR="00F93B27" w:rsidRPr="00265A7D">
              <w:rPr>
                <w:rFonts w:ascii="Arial" w:hAnsi="Arial" w:cs="Arial"/>
                <w:sz w:val="21"/>
                <w:szCs w:val="21"/>
              </w:rPr>
              <w:t xml:space="preserve"> </w:t>
            </w:r>
            <w:r w:rsidR="00736FF6" w:rsidRPr="00265A7D">
              <w:rPr>
                <w:rFonts w:ascii="Arial" w:hAnsi="Arial" w:cs="Arial"/>
                <w:sz w:val="21"/>
                <w:szCs w:val="21"/>
              </w:rPr>
              <w:t>per il secondo mese consecutivo</w:t>
            </w:r>
            <w:r w:rsidR="00F93B27" w:rsidRPr="00265A7D">
              <w:rPr>
                <w:rFonts w:ascii="Arial" w:hAnsi="Arial" w:cs="Arial"/>
                <w:sz w:val="21"/>
                <w:szCs w:val="21"/>
              </w:rPr>
              <w:t xml:space="preserve"> e </w:t>
            </w:r>
            <w:r w:rsidR="00736FF6" w:rsidRPr="00265A7D">
              <w:rPr>
                <w:rFonts w:ascii="Arial" w:hAnsi="Arial" w:cs="Arial"/>
                <w:sz w:val="21"/>
                <w:szCs w:val="21"/>
              </w:rPr>
              <w:t xml:space="preserve">la loro flessione </w:t>
            </w:r>
            <w:r w:rsidR="00265A7D">
              <w:rPr>
                <w:rFonts w:ascii="Arial" w:hAnsi="Arial" w:cs="Arial"/>
                <w:sz w:val="21"/>
                <w:szCs w:val="21"/>
              </w:rPr>
              <w:t>tendenziale</w:t>
            </w:r>
            <w:r w:rsidR="00736FF6" w:rsidRPr="00265A7D">
              <w:rPr>
                <w:rFonts w:ascii="Arial" w:hAnsi="Arial" w:cs="Arial"/>
                <w:sz w:val="21"/>
                <w:szCs w:val="21"/>
              </w:rPr>
              <w:t xml:space="preserve"> si </w:t>
            </w:r>
            <w:r w:rsidR="00F93B27" w:rsidRPr="00265A7D">
              <w:rPr>
                <w:rFonts w:ascii="Arial" w:hAnsi="Arial" w:cs="Arial"/>
                <w:sz w:val="21"/>
                <w:szCs w:val="21"/>
              </w:rPr>
              <w:t>ridimensiona</w:t>
            </w:r>
            <w:r w:rsidR="00736FF6" w:rsidRPr="00265A7D">
              <w:rPr>
                <w:rFonts w:ascii="Arial" w:hAnsi="Arial" w:cs="Arial"/>
                <w:sz w:val="21"/>
                <w:szCs w:val="21"/>
              </w:rPr>
              <w:t xml:space="preserve"> ulteriormente</w:t>
            </w:r>
            <w:r w:rsidR="00F93B27" w:rsidRPr="00265A7D">
              <w:rPr>
                <w:rFonts w:ascii="Arial" w:hAnsi="Arial" w:cs="Arial"/>
                <w:sz w:val="21"/>
                <w:szCs w:val="21"/>
              </w:rPr>
              <w:t xml:space="preserve">, </w:t>
            </w:r>
            <w:r w:rsidR="00736FF6" w:rsidRPr="00265A7D">
              <w:rPr>
                <w:rFonts w:ascii="Arial" w:hAnsi="Arial" w:cs="Arial"/>
                <w:sz w:val="21"/>
                <w:szCs w:val="21"/>
              </w:rPr>
              <w:t xml:space="preserve">per effetto </w:t>
            </w:r>
            <w:r w:rsidR="009D171A">
              <w:rPr>
                <w:rFonts w:ascii="Arial" w:hAnsi="Arial" w:cs="Arial"/>
                <w:sz w:val="21"/>
                <w:szCs w:val="21"/>
              </w:rPr>
              <w:t>soprattutto</w:t>
            </w:r>
            <w:r w:rsidR="00265A7D" w:rsidRPr="00265A7D">
              <w:rPr>
                <w:rFonts w:ascii="Arial" w:hAnsi="Arial" w:cs="Arial"/>
                <w:sz w:val="21"/>
                <w:szCs w:val="21"/>
              </w:rPr>
              <w:t xml:space="preserve"> </w:t>
            </w:r>
            <w:r w:rsidR="00736FF6" w:rsidRPr="00265A7D">
              <w:rPr>
                <w:rFonts w:ascii="Arial" w:hAnsi="Arial" w:cs="Arial"/>
                <w:sz w:val="21"/>
                <w:szCs w:val="21"/>
              </w:rPr>
              <w:t>de</w:t>
            </w:r>
            <w:r w:rsidR="00265A7D" w:rsidRPr="00265A7D">
              <w:rPr>
                <w:rFonts w:ascii="Arial" w:hAnsi="Arial" w:cs="Arial"/>
                <w:sz w:val="21"/>
                <w:szCs w:val="21"/>
              </w:rPr>
              <w:t xml:space="preserve">i rialzi </w:t>
            </w:r>
            <w:r w:rsidRPr="00265A7D">
              <w:rPr>
                <w:rFonts w:ascii="Arial" w:hAnsi="Arial" w:cs="Arial"/>
                <w:sz w:val="21"/>
                <w:szCs w:val="21"/>
              </w:rPr>
              <w:t>de</w:t>
            </w:r>
            <w:r w:rsidR="009D2CD6" w:rsidRPr="00265A7D">
              <w:rPr>
                <w:rFonts w:ascii="Arial" w:hAnsi="Arial" w:cs="Arial"/>
                <w:sz w:val="21"/>
                <w:szCs w:val="21"/>
              </w:rPr>
              <w:t xml:space="preserve">i prezzi dei </w:t>
            </w:r>
            <w:r w:rsidR="001806DF" w:rsidRPr="00265A7D">
              <w:rPr>
                <w:rFonts w:ascii="Arial" w:hAnsi="Arial" w:cs="Arial"/>
                <w:sz w:val="21"/>
                <w:szCs w:val="21"/>
              </w:rPr>
              <w:t>prodotti energetici.</w:t>
            </w:r>
          </w:p>
        </w:tc>
        <w:tc>
          <w:tcPr>
            <w:tcW w:w="3290" w:type="dxa"/>
            <w:tcBorders>
              <w:top w:val="nil"/>
              <w:left w:val="single" w:sz="48" w:space="0" w:color="FFFFFF"/>
              <w:bottom w:val="single" w:sz="36" w:space="0" w:color="FFFFFF"/>
              <w:right w:val="single" w:sz="36" w:space="0" w:color="FFFFFF"/>
            </w:tcBorders>
            <w:shd w:val="clear" w:color="auto" w:fill="E31C18"/>
          </w:tcPr>
          <w:p w14:paraId="0F10A495" w14:textId="77777777" w:rsidR="00F527AD" w:rsidRPr="00AC2483" w:rsidRDefault="00F527AD" w:rsidP="00FB50EB">
            <w:pPr>
              <w:pStyle w:val="Paragrafobase"/>
              <w:spacing w:before="200" w:line="320" w:lineRule="exact"/>
              <w:ind w:left="176"/>
              <w:rPr>
                <w:rFonts w:ascii="Calibri" w:hAnsi="Calibri" w:cs="Arial"/>
                <w:b/>
                <w:color w:val="FFFFFF"/>
                <w:sz w:val="28"/>
                <w:szCs w:val="28"/>
              </w:rPr>
            </w:pPr>
            <w:r w:rsidRPr="00AC2483">
              <w:rPr>
                <w:rFonts w:ascii="Calibri" w:hAnsi="Calibri" w:cs="Arial"/>
                <w:b/>
                <w:color w:val="FFFFFF"/>
                <w:sz w:val="28"/>
                <w:szCs w:val="28"/>
              </w:rPr>
              <w:t>PROSSIMA</w:t>
            </w:r>
          </w:p>
          <w:p w14:paraId="0C86B310" w14:textId="77777777" w:rsidR="00F527AD" w:rsidRDefault="00F527AD" w:rsidP="00FB50EB">
            <w:pPr>
              <w:pStyle w:val="Paragrafobase"/>
              <w:spacing w:line="320" w:lineRule="exact"/>
              <w:ind w:left="175"/>
              <w:rPr>
                <w:rFonts w:ascii="Calibri" w:hAnsi="Calibri" w:cs="Arial"/>
                <w:b/>
                <w:color w:val="FFFFFF"/>
                <w:sz w:val="28"/>
                <w:szCs w:val="28"/>
              </w:rPr>
            </w:pPr>
            <w:r w:rsidRPr="00AC2483">
              <w:rPr>
                <w:rFonts w:ascii="Calibri" w:hAnsi="Calibri" w:cs="Arial"/>
                <w:b/>
                <w:color w:val="FFFFFF"/>
                <w:sz w:val="28"/>
                <w:szCs w:val="28"/>
              </w:rPr>
              <w:t>DIFFUSIONE</w:t>
            </w:r>
          </w:p>
          <w:p w14:paraId="26901281" w14:textId="77777777" w:rsidR="00F527AD" w:rsidRPr="00C32401" w:rsidRDefault="00F527AD" w:rsidP="00FB50EB">
            <w:pPr>
              <w:pStyle w:val="Paragrafobase"/>
              <w:spacing w:line="320" w:lineRule="exact"/>
              <w:ind w:left="175"/>
              <w:rPr>
                <w:rStyle w:val="Collegamentoipertestuale"/>
                <w:rFonts w:ascii="Arial" w:hAnsi="Arial" w:cs="Arial"/>
                <w:color w:val="FFFFFF"/>
                <w:sz w:val="20"/>
                <w:szCs w:val="20"/>
              </w:rPr>
            </w:pPr>
          </w:p>
          <w:p w14:paraId="0022A05B" w14:textId="59928995" w:rsidR="00F527AD" w:rsidRPr="002578CE" w:rsidRDefault="00236734" w:rsidP="00CD778E">
            <w:pPr>
              <w:pStyle w:val="Paragrafobase"/>
              <w:spacing w:before="120" w:after="120" w:line="160" w:lineRule="atLeast"/>
              <w:ind w:left="176"/>
              <w:rPr>
                <w:rFonts w:ascii="Arial" w:hAnsi="Arial" w:cs="Arial"/>
                <w:sz w:val="21"/>
                <w:szCs w:val="21"/>
              </w:rPr>
            </w:pPr>
            <w:r>
              <w:rPr>
                <w:rFonts w:ascii="Arial Narrow" w:hAnsi="Arial Narrow" w:cs="Arial"/>
                <w:color w:val="FFFFFF"/>
                <w:sz w:val="22"/>
                <w:szCs w:val="22"/>
              </w:rPr>
              <w:t>1</w:t>
            </w:r>
            <w:r w:rsidR="00952628">
              <w:rPr>
                <w:rFonts w:ascii="Arial Narrow" w:hAnsi="Arial Narrow" w:cs="Arial"/>
                <w:color w:val="FFFFFF"/>
                <w:sz w:val="22"/>
                <w:szCs w:val="22"/>
              </w:rPr>
              <w:t>5</w:t>
            </w:r>
            <w:r w:rsidR="006C7BC0">
              <w:rPr>
                <w:rFonts w:ascii="Arial Narrow" w:hAnsi="Arial Narrow" w:cs="Arial"/>
                <w:color w:val="FFFFFF"/>
                <w:sz w:val="22"/>
                <w:szCs w:val="22"/>
              </w:rPr>
              <w:t xml:space="preserve"> </w:t>
            </w:r>
            <w:r w:rsidR="00CD778E">
              <w:rPr>
                <w:rFonts w:ascii="Arial Narrow" w:hAnsi="Arial Narrow" w:cs="Arial"/>
                <w:color w:val="FFFFFF"/>
                <w:sz w:val="22"/>
                <w:szCs w:val="22"/>
              </w:rPr>
              <w:t>Gennaio</w:t>
            </w:r>
            <w:r w:rsidR="00A45FC3">
              <w:rPr>
                <w:rFonts w:ascii="Arial Narrow" w:hAnsi="Arial Narrow" w:cs="Arial"/>
                <w:color w:val="FFFFFF"/>
                <w:sz w:val="22"/>
                <w:szCs w:val="22"/>
              </w:rPr>
              <w:t xml:space="preserve"> </w:t>
            </w:r>
            <w:r w:rsidR="009C7615">
              <w:rPr>
                <w:rFonts w:ascii="Arial Narrow" w:hAnsi="Arial Narrow" w:cs="Arial"/>
                <w:color w:val="FFFFFF"/>
                <w:sz w:val="22"/>
                <w:szCs w:val="22"/>
              </w:rPr>
              <w:t>202</w:t>
            </w:r>
            <w:r w:rsidR="00CD778E">
              <w:rPr>
                <w:rFonts w:ascii="Arial Narrow" w:hAnsi="Arial Narrow" w:cs="Arial"/>
                <w:color w:val="FFFFFF"/>
                <w:sz w:val="22"/>
                <w:szCs w:val="22"/>
              </w:rPr>
              <w:t>4</w:t>
            </w:r>
          </w:p>
        </w:tc>
      </w:tr>
      <w:tr w:rsidR="00F527AD" w:rsidRPr="002578CE" w14:paraId="1D7401E6" w14:textId="77777777" w:rsidTr="00053850">
        <w:trPr>
          <w:trHeight w:val="115"/>
        </w:trPr>
        <w:tc>
          <w:tcPr>
            <w:tcW w:w="6916" w:type="dxa"/>
            <w:vMerge/>
            <w:tcBorders>
              <w:left w:val="single" w:sz="4" w:space="0" w:color="FFFFFF"/>
              <w:right w:val="single" w:sz="48" w:space="0" w:color="FFFFFF"/>
            </w:tcBorders>
            <w:shd w:val="clear" w:color="auto" w:fill="D9D9D9"/>
          </w:tcPr>
          <w:p w14:paraId="665C07BC" w14:textId="77777777" w:rsidR="00F527AD" w:rsidRPr="002578CE" w:rsidRDefault="00F527AD" w:rsidP="00FB50EB">
            <w:pPr>
              <w:tabs>
                <w:tab w:val="left" w:pos="284"/>
                <w:tab w:val="left" w:pos="709"/>
              </w:tabs>
              <w:spacing w:after="120" w:line="230" w:lineRule="exact"/>
              <w:jc w:val="both"/>
              <w:rPr>
                <w:rFonts w:ascii="Arial" w:hAnsi="Arial" w:cs="Arial"/>
                <w:sz w:val="21"/>
                <w:szCs w:val="21"/>
              </w:rPr>
            </w:pPr>
          </w:p>
        </w:tc>
        <w:tc>
          <w:tcPr>
            <w:tcW w:w="3290" w:type="dxa"/>
            <w:tcBorders>
              <w:top w:val="single" w:sz="36" w:space="0" w:color="FFFFFF"/>
              <w:left w:val="single" w:sz="48" w:space="0" w:color="FFFFFF"/>
              <w:bottom w:val="single" w:sz="36" w:space="0" w:color="FFFFFF"/>
              <w:right w:val="single" w:sz="36" w:space="0" w:color="FFFFFF"/>
            </w:tcBorders>
            <w:shd w:val="clear" w:color="auto" w:fill="auto"/>
          </w:tcPr>
          <w:p w14:paraId="73A1B39A" w14:textId="77777777" w:rsidR="00F527AD" w:rsidRPr="002578CE" w:rsidRDefault="005301CF" w:rsidP="0056309F">
            <w:pPr>
              <w:pStyle w:val="Paragrafobase"/>
              <w:spacing w:before="120" w:line="240" w:lineRule="exact"/>
              <w:rPr>
                <w:rFonts w:ascii="Arial" w:hAnsi="Arial" w:cs="Arial"/>
                <w:sz w:val="21"/>
                <w:szCs w:val="21"/>
              </w:rPr>
            </w:pPr>
            <w:r>
              <w:rPr>
                <w:rFonts w:ascii="Arial" w:hAnsi="Arial" w:cs="Arial"/>
                <w:noProof/>
                <w:sz w:val="21"/>
                <w:szCs w:val="21"/>
              </w:rPr>
              <w:drawing>
                <wp:anchor distT="0" distB="0" distL="114300" distR="114300" simplePos="0" relativeHeight="251657216" behindDoc="0" locked="0" layoutInCell="1" allowOverlap="1" wp14:anchorId="6C7EFB3E" wp14:editId="5E796EA3">
                  <wp:simplePos x="0" y="0"/>
                  <wp:positionH relativeFrom="column">
                    <wp:posOffset>1497330</wp:posOffset>
                  </wp:positionH>
                  <wp:positionV relativeFrom="paragraph">
                    <wp:posOffset>49530</wp:posOffset>
                  </wp:positionV>
                  <wp:extent cx="647700" cy="628650"/>
                  <wp:effectExtent l="0" t="0" r="0" b="0"/>
                  <wp:wrapNone/>
                  <wp:docPr id="258" name="Immagine 9" descr="Descrizione: iconeComunicati-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Descrizione: iconeComunicati-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anchor>
              </w:drawing>
            </w:r>
          </w:p>
        </w:tc>
      </w:tr>
      <w:tr w:rsidR="00F527AD" w:rsidRPr="005622DB" w14:paraId="52E49903" w14:textId="77777777" w:rsidTr="00053850">
        <w:trPr>
          <w:trHeight w:val="115"/>
        </w:trPr>
        <w:tc>
          <w:tcPr>
            <w:tcW w:w="6916" w:type="dxa"/>
            <w:vMerge/>
            <w:tcBorders>
              <w:left w:val="single" w:sz="4" w:space="0" w:color="FFFFFF"/>
              <w:bottom w:val="nil"/>
              <w:right w:val="single" w:sz="48" w:space="0" w:color="FFFFFF"/>
            </w:tcBorders>
            <w:shd w:val="clear" w:color="auto" w:fill="D9D9D9"/>
          </w:tcPr>
          <w:p w14:paraId="06799E37" w14:textId="77777777" w:rsidR="00F527AD" w:rsidRPr="002578CE" w:rsidRDefault="00F527AD" w:rsidP="00FB50EB">
            <w:pPr>
              <w:tabs>
                <w:tab w:val="left" w:pos="284"/>
                <w:tab w:val="left" w:pos="709"/>
              </w:tabs>
              <w:spacing w:after="120" w:line="230" w:lineRule="exact"/>
              <w:jc w:val="both"/>
              <w:rPr>
                <w:rFonts w:ascii="Arial" w:hAnsi="Arial" w:cs="Arial"/>
                <w:sz w:val="21"/>
                <w:szCs w:val="21"/>
              </w:rPr>
            </w:pPr>
          </w:p>
        </w:tc>
        <w:tc>
          <w:tcPr>
            <w:tcW w:w="3290" w:type="dxa"/>
            <w:tcBorders>
              <w:top w:val="single" w:sz="36" w:space="0" w:color="FFFFFF"/>
              <w:left w:val="single" w:sz="48" w:space="0" w:color="FFFFFF"/>
              <w:bottom w:val="single" w:sz="36" w:space="0" w:color="FFFFFF"/>
              <w:right w:val="single" w:sz="36" w:space="0" w:color="FFFFFF"/>
            </w:tcBorders>
            <w:shd w:val="clear" w:color="auto" w:fill="E31C18"/>
          </w:tcPr>
          <w:p w14:paraId="02B7464D" w14:textId="77777777" w:rsidR="00F527AD" w:rsidRPr="002B39AB" w:rsidRDefault="00F527AD" w:rsidP="00FB50EB">
            <w:pPr>
              <w:pStyle w:val="Paragrafobase"/>
              <w:spacing w:before="160" w:line="320" w:lineRule="exact"/>
              <w:ind w:left="175"/>
              <w:rPr>
                <w:rFonts w:ascii="Calibri" w:hAnsi="Calibri" w:cs="Arial"/>
                <w:b/>
                <w:color w:val="FFFFFF"/>
                <w:sz w:val="28"/>
                <w:szCs w:val="28"/>
                <w:lang w:val="en-US"/>
              </w:rPr>
            </w:pPr>
            <w:r w:rsidRPr="002B39AB">
              <w:rPr>
                <w:rFonts w:ascii="Calibri" w:hAnsi="Calibri" w:cs="Arial"/>
                <w:b/>
                <w:color w:val="FFFFFF"/>
                <w:sz w:val="28"/>
                <w:szCs w:val="28"/>
                <w:lang w:val="en-US"/>
              </w:rPr>
              <w:t>Link utili</w:t>
            </w:r>
          </w:p>
          <w:p w14:paraId="4C10B2CA" w14:textId="77777777" w:rsidR="000876D8" w:rsidRPr="002B39AB" w:rsidRDefault="00BE250C" w:rsidP="000876D8">
            <w:pPr>
              <w:pStyle w:val="Paragrafobase"/>
              <w:spacing w:before="120" w:line="240" w:lineRule="exact"/>
              <w:ind w:left="176"/>
              <w:rPr>
                <w:rStyle w:val="Collegamentoipertestuale"/>
                <w:rFonts w:ascii="Arial Narrow" w:hAnsi="Arial Narrow" w:cs="Arial"/>
                <w:color w:val="FFFFFF"/>
                <w:sz w:val="22"/>
                <w:szCs w:val="22"/>
                <w:lang w:val="en-US"/>
              </w:rPr>
            </w:pPr>
            <w:hyperlink r:id="rId22" w:history="1">
              <w:r w:rsidR="000876D8" w:rsidRPr="002B39AB">
                <w:rPr>
                  <w:rStyle w:val="Collegamentoipertestuale"/>
                  <w:rFonts w:ascii="Arial Narrow" w:hAnsi="Arial Narrow" w:cs="Arial"/>
                  <w:color w:val="FFFFFF"/>
                  <w:sz w:val="22"/>
                  <w:szCs w:val="22"/>
                  <w:lang w:val="en-US"/>
                </w:rPr>
                <w:t>http://dati.istat.it/</w:t>
              </w:r>
            </w:hyperlink>
          </w:p>
          <w:p w14:paraId="37A7DFC7" w14:textId="77777777" w:rsidR="000876D8" w:rsidRPr="00AF6380" w:rsidRDefault="00BE250C" w:rsidP="000876D8">
            <w:pPr>
              <w:pStyle w:val="Paragrafobase"/>
              <w:spacing w:before="120" w:line="240" w:lineRule="exact"/>
              <w:ind w:left="175"/>
              <w:rPr>
                <w:rStyle w:val="Collegamentoipertestuale"/>
                <w:rFonts w:ascii="Arial Narrow" w:hAnsi="Arial Narrow" w:cs="Arial"/>
                <w:color w:val="FFFFFF"/>
                <w:sz w:val="22"/>
                <w:szCs w:val="22"/>
                <w:lang w:val="en-US"/>
              </w:rPr>
            </w:pPr>
            <w:hyperlink r:id="rId23" w:history="1">
              <w:r w:rsidR="000876D8" w:rsidRPr="00AF6380">
                <w:rPr>
                  <w:rStyle w:val="Collegamentoipertestuale"/>
                  <w:rFonts w:ascii="Arial Narrow" w:hAnsi="Arial Narrow" w:cs="Arial"/>
                  <w:color w:val="FFFFFF"/>
                  <w:sz w:val="22"/>
                  <w:szCs w:val="22"/>
                  <w:lang w:val="en-US"/>
                </w:rPr>
                <w:t>http://www.istat.it/it/congiuntura</w:t>
              </w:r>
            </w:hyperlink>
          </w:p>
          <w:p w14:paraId="2446E46C" w14:textId="77777777" w:rsidR="00430DDB" w:rsidRDefault="00BE250C" w:rsidP="006664BF">
            <w:pPr>
              <w:pStyle w:val="Paragrafobase"/>
              <w:spacing w:before="120" w:line="240" w:lineRule="exact"/>
              <w:ind w:left="176"/>
              <w:rPr>
                <w:rStyle w:val="Collegamentoipertestuale"/>
                <w:rFonts w:ascii="Arial Narrow" w:hAnsi="Arial Narrow" w:cs="Arial"/>
                <w:color w:val="FFFFFF"/>
                <w:sz w:val="22"/>
                <w:szCs w:val="22"/>
                <w:lang w:val="en-US"/>
              </w:rPr>
            </w:pPr>
            <w:hyperlink r:id="rId24" w:history="1">
              <w:r w:rsidR="000876D8" w:rsidRPr="00AF6380">
                <w:rPr>
                  <w:rStyle w:val="Collegamentoipertestuale"/>
                  <w:rFonts w:ascii="Arial Narrow" w:hAnsi="Arial Narrow" w:cs="Arial"/>
                  <w:color w:val="FFFFFF"/>
                  <w:sz w:val="22"/>
                  <w:szCs w:val="22"/>
                  <w:lang w:val="en-US"/>
                </w:rPr>
                <w:t>https://www.coeweb.istat.it</w:t>
              </w:r>
            </w:hyperlink>
          </w:p>
          <w:p w14:paraId="3E40B175" w14:textId="3CFF2BFA" w:rsidR="006664BF" w:rsidRPr="000077FA" w:rsidRDefault="006664BF" w:rsidP="006664BF">
            <w:pPr>
              <w:pStyle w:val="Paragrafobase"/>
              <w:spacing w:before="120" w:line="240" w:lineRule="exact"/>
              <w:ind w:left="176"/>
              <w:rPr>
                <w:rFonts w:ascii="Arial Narrow" w:hAnsi="Arial Narrow" w:cs="Arial"/>
                <w:color w:val="FFFFFF"/>
                <w:sz w:val="22"/>
                <w:szCs w:val="22"/>
                <w:u w:val="single"/>
                <w:lang w:val="en-US"/>
              </w:rPr>
            </w:pPr>
          </w:p>
        </w:tc>
      </w:tr>
    </w:tbl>
    <w:p w14:paraId="26CEFB2E" w14:textId="21842AD3" w:rsidR="00787294" w:rsidRDefault="00833A77" w:rsidP="00DC76B3">
      <w:pPr>
        <w:tabs>
          <w:tab w:val="left" w:pos="284"/>
        </w:tabs>
        <w:rPr>
          <w:sz w:val="22"/>
          <w:szCs w:val="22"/>
        </w:rPr>
      </w:pPr>
      <w:r w:rsidRPr="007939D9">
        <w:rPr>
          <w:rFonts w:ascii="Arial Narrow" w:hAnsi="Arial Narrow" w:cs="Arial"/>
          <w:b/>
          <w:color w:val="E42618"/>
          <w:sz w:val="22"/>
          <w:szCs w:val="22"/>
        </w:rPr>
        <w:lastRenderedPageBreak/>
        <w:t xml:space="preserve">FIGURA </w:t>
      </w:r>
      <w:r w:rsidR="00BE55AA">
        <w:rPr>
          <w:rFonts w:ascii="Arial Narrow" w:hAnsi="Arial Narrow" w:cs="Arial"/>
          <w:b/>
          <w:color w:val="E42618"/>
          <w:sz w:val="22"/>
          <w:szCs w:val="22"/>
        </w:rPr>
        <w:t>1</w:t>
      </w:r>
      <w:r w:rsidRPr="007939D9">
        <w:rPr>
          <w:rFonts w:ascii="Arial Narrow" w:hAnsi="Arial Narrow" w:cs="Arial"/>
          <w:b/>
          <w:color w:val="E42618"/>
          <w:sz w:val="22"/>
          <w:szCs w:val="22"/>
        </w:rPr>
        <w:t>.</w:t>
      </w:r>
      <w:r w:rsidRPr="007939D9">
        <w:rPr>
          <w:sz w:val="22"/>
          <w:szCs w:val="22"/>
        </w:rPr>
        <w:t xml:space="preserve"> </w:t>
      </w:r>
      <w:r w:rsidR="00787294" w:rsidRPr="00787294">
        <w:rPr>
          <w:rFonts w:ascii="Arial Narrow" w:hAnsi="Arial Narrow" w:cs="Arial"/>
          <w:b/>
          <w:caps/>
          <w:color w:val="5F5F5F"/>
          <w:sz w:val="22"/>
          <w:szCs w:val="22"/>
        </w:rPr>
        <w:t>FLUSSI COMMERCIALI CON L’ESTERO</w:t>
      </w:r>
      <w:r w:rsidR="00787294">
        <w:rPr>
          <w:sz w:val="22"/>
          <w:szCs w:val="22"/>
        </w:rPr>
        <w:t xml:space="preserve"> </w:t>
      </w:r>
    </w:p>
    <w:p w14:paraId="6D86ED8C" w14:textId="26CDF29B" w:rsidR="00833A77" w:rsidRDefault="00787294" w:rsidP="00293461">
      <w:pPr>
        <w:tabs>
          <w:tab w:val="left" w:pos="284"/>
        </w:tabs>
        <w:spacing w:after="60"/>
        <w:rPr>
          <w:rFonts w:ascii="Arial Narrow" w:hAnsi="Arial Narrow" w:cs="Arial"/>
          <w:color w:val="5F5F5F"/>
          <w:sz w:val="20"/>
        </w:rPr>
      </w:pPr>
      <w:r w:rsidRPr="0071152F">
        <w:rPr>
          <w:rFonts w:ascii="Arial Narrow" w:hAnsi="Arial Narrow" w:cs="Arial"/>
          <w:color w:val="5F5F5F"/>
          <w:sz w:val="20"/>
        </w:rPr>
        <w:t>Gennaio 201</w:t>
      </w:r>
      <w:r w:rsidR="007657DD">
        <w:rPr>
          <w:rFonts w:ascii="Arial Narrow" w:hAnsi="Arial Narrow" w:cs="Arial"/>
          <w:color w:val="5F5F5F"/>
          <w:sz w:val="20"/>
        </w:rPr>
        <w:t>8</w:t>
      </w:r>
      <w:r w:rsidR="004D5E96" w:rsidRPr="0071152F">
        <w:rPr>
          <w:rFonts w:ascii="Arial Narrow" w:hAnsi="Arial Narrow" w:cs="Arial"/>
          <w:color w:val="5F5F5F"/>
          <w:sz w:val="20"/>
        </w:rPr>
        <w:t xml:space="preserve"> </w:t>
      </w:r>
      <w:r w:rsidR="00644975">
        <w:rPr>
          <w:rFonts w:ascii="Arial Narrow" w:hAnsi="Arial Narrow" w:cs="Arial"/>
          <w:color w:val="5F5F5F"/>
          <w:sz w:val="20"/>
        </w:rPr>
        <w:t>–</w:t>
      </w:r>
      <w:r w:rsidRPr="0071152F">
        <w:rPr>
          <w:rFonts w:ascii="Arial Narrow" w:hAnsi="Arial Narrow" w:cs="Arial"/>
          <w:color w:val="5F5F5F"/>
          <w:sz w:val="20"/>
        </w:rPr>
        <w:t xml:space="preserve"> </w:t>
      </w:r>
      <w:r w:rsidR="00CD778E">
        <w:rPr>
          <w:rFonts w:ascii="Arial Narrow" w:hAnsi="Arial Narrow" w:cs="Arial"/>
          <w:color w:val="5F5F5F"/>
          <w:sz w:val="20"/>
        </w:rPr>
        <w:t>ottobre</w:t>
      </w:r>
      <w:r w:rsidR="00C60507" w:rsidRPr="0071152F">
        <w:rPr>
          <w:rFonts w:ascii="Arial Narrow" w:hAnsi="Arial Narrow" w:cs="Arial"/>
          <w:color w:val="5F5F5F"/>
          <w:sz w:val="20"/>
        </w:rPr>
        <w:t xml:space="preserve"> </w:t>
      </w:r>
      <w:r w:rsidRPr="0071152F">
        <w:rPr>
          <w:rFonts w:ascii="Arial Narrow" w:hAnsi="Arial Narrow" w:cs="Arial"/>
          <w:color w:val="5F5F5F"/>
          <w:sz w:val="20"/>
        </w:rPr>
        <w:t>20</w:t>
      </w:r>
      <w:r w:rsidR="007657DD">
        <w:rPr>
          <w:rFonts w:ascii="Arial Narrow" w:hAnsi="Arial Narrow" w:cs="Arial"/>
          <w:color w:val="5F5F5F"/>
          <w:sz w:val="20"/>
        </w:rPr>
        <w:t>23</w:t>
      </w:r>
      <w:r w:rsidRPr="0071152F">
        <w:rPr>
          <w:rFonts w:ascii="Arial Narrow" w:hAnsi="Arial Narrow" w:cs="Arial"/>
          <w:color w:val="5F5F5F"/>
          <w:sz w:val="20"/>
        </w:rPr>
        <w:t xml:space="preserve">, </w:t>
      </w:r>
      <w:r w:rsidR="000B7E0D" w:rsidRPr="0071152F">
        <w:rPr>
          <w:rFonts w:ascii="Arial Narrow" w:hAnsi="Arial Narrow" w:cs="Arial"/>
          <w:color w:val="5F5F5F"/>
          <w:sz w:val="20"/>
        </w:rPr>
        <w:t xml:space="preserve">dati mensili e medie mobili a tre mesi, </w:t>
      </w:r>
      <w:r w:rsidR="00D36CA1" w:rsidRPr="0071152F">
        <w:rPr>
          <w:rFonts w:ascii="Arial Narrow" w:hAnsi="Arial Narrow" w:cs="Arial"/>
          <w:color w:val="5F5F5F"/>
          <w:sz w:val="20"/>
        </w:rPr>
        <w:t>dati destagionalizzati e saldi in</w:t>
      </w:r>
      <w:r w:rsidR="00516EEC" w:rsidRPr="0071152F">
        <w:rPr>
          <w:rFonts w:ascii="Arial Narrow" w:hAnsi="Arial Narrow" w:cs="Arial"/>
          <w:color w:val="5F5F5F"/>
          <w:sz w:val="20"/>
        </w:rPr>
        <w:t xml:space="preserve"> miliardi</w:t>
      </w:r>
      <w:r w:rsidRPr="0071152F">
        <w:rPr>
          <w:rFonts w:ascii="Arial Narrow" w:hAnsi="Arial Narrow" w:cs="Arial"/>
          <w:color w:val="5F5F5F"/>
          <w:sz w:val="20"/>
        </w:rPr>
        <w:t xml:space="preserve"> di eur</w:t>
      </w:r>
      <w:r w:rsidR="00D36CA1" w:rsidRPr="0071152F">
        <w:rPr>
          <w:rFonts w:ascii="Arial Narrow" w:hAnsi="Arial Narrow" w:cs="Arial"/>
          <w:color w:val="5F5F5F"/>
          <w:sz w:val="20"/>
        </w:rPr>
        <w:t>o</w:t>
      </w:r>
    </w:p>
    <w:p w14:paraId="70192C72" w14:textId="0D0EDCD5" w:rsidR="00E24C53" w:rsidRPr="0071152F" w:rsidRDefault="002E7D66" w:rsidP="00293461">
      <w:pPr>
        <w:tabs>
          <w:tab w:val="left" w:pos="284"/>
        </w:tabs>
        <w:spacing w:after="60"/>
        <w:rPr>
          <w:rFonts w:ascii="Arial Narrow" w:hAnsi="Arial Narrow" w:cs="Arial"/>
          <w:color w:val="5F5F5F"/>
          <w:sz w:val="20"/>
        </w:rPr>
      </w:pPr>
      <w:r>
        <w:rPr>
          <w:noProof/>
        </w:rPr>
        <w:drawing>
          <wp:inline distT="0" distB="0" distL="0" distR="0" wp14:anchorId="0E3A864A" wp14:editId="78F29290">
            <wp:extent cx="6480000" cy="3240000"/>
            <wp:effectExtent l="0" t="0" r="0" b="0"/>
            <wp:docPr id="12" name="Gra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F5929BA" w14:textId="5872E42D" w:rsidR="00104132" w:rsidRDefault="00104132" w:rsidP="00D36CA1">
      <w:pPr>
        <w:rPr>
          <w:rFonts w:ascii="Arial Narrow" w:hAnsi="Arial Narrow" w:cs="Arial"/>
          <w:b/>
          <w:color w:val="E42618"/>
          <w:sz w:val="14"/>
          <w:szCs w:val="14"/>
        </w:rPr>
      </w:pPr>
    </w:p>
    <w:p w14:paraId="4AA864B2" w14:textId="77777777" w:rsidR="00E24C53" w:rsidRPr="006448AE" w:rsidRDefault="00E24C53" w:rsidP="00D36CA1">
      <w:pPr>
        <w:rPr>
          <w:rFonts w:ascii="Arial Narrow" w:hAnsi="Arial Narrow" w:cs="Arial"/>
          <w:b/>
          <w:color w:val="E42618"/>
          <w:sz w:val="14"/>
          <w:szCs w:val="14"/>
        </w:rPr>
      </w:pPr>
    </w:p>
    <w:p w14:paraId="4AA2C72C" w14:textId="77777777" w:rsidR="00833A77" w:rsidRDefault="00F00744" w:rsidP="00D36CA1">
      <w:pPr>
        <w:rPr>
          <w:rFonts w:ascii="Arial Narrow" w:hAnsi="Arial Narrow" w:cs="Arial"/>
          <w:b/>
          <w:caps/>
          <w:color w:val="5F5F5F"/>
          <w:sz w:val="22"/>
          <w:szCs w:val="22"/>
        </w:rPr>
      </w:pPr>
      <w:r w:rsidRPr="007939D9">
        <w:rPr>
          <w:rFonts w:ascii="Arial Narrow" w:hAnsi="Arial Narrow" w:cs="Arial"/>
          <w:b/>
          <w:color w:val="E42618"/>
          <w:sz w:val="22"/>
          <w:szCs w:val="22"/>
        </w:rPr>
        <w:t xml:space="preserve">FIGURA </w:t>
      </w:r>
      <w:r>
        <w:rPr>
          <w:rFonts w:ascii="Arial Narrow" w:hAnsi="Arial Narrow" w:cs="Arial"/>
          <w:b/>
          <w:color w:val="E42618"/>
          <w:sz w:val="22"/>
          <w:szCs w:val="22"/>
        </w:rPr>
        <w:t>2</w:t>
      </w:r>
      <w:r w:rsidRPr="007939D9">
        <w:rPr>
          <w:rFonts w:ascii="Arial Narrow" w:hAnsi="Arial Narrow" w:cs="Arial"/>
          <w:b/>
          <w:color w:val="E42618"/>
          <w:sz w:val="22"/>
          <w:szCs w:val="22"/>
        </w:rPr>
        <w:t>.</w:t>
      </w:r>
      <w:r w:rsidR="00D36CA1">
        <w:rPr>
          <w:rFonts w:ascii="Arial Narrow" w:hAnsi="Arial Narrow" w:cs="Arial"/>
          <w:b/>
          <w:color w:val="E42618"/>
          <w:sz w:val="22"/>
          <w:szCs w:val="22"/>
        </w:rPr>
        <w:t xml:space="preserve"> </w:t>
      </w:r>
      <w:r w:rsidR="00605103" w:rsidRPr="00D36CA1">
        <w:rPr>
          <w:rFonts w:ascii="Arial Narrow" w:hAnsi="Arial Narrow" w:cs="Arial"/>
          <w:b/>
          <w:caps/>
          <w:color w:val="5F5F5F"/>
          <w:sz w:val="22"/>
          <w:szCs w:val="22"/>
        </w:rPr>
        <w:t>ESPORTAZIO</w:t>
      </w:r>
      <w:r w:rsidR="00605103">
        <w:rPr>
          <w:rFonts w:ascii="Arial Narrow" w:hAnsi="Arial Narrow" w:cs="Arial"/>
          <w:b/>
          <w:caps/>
          <w:color w:val="5F5F5F"/>
          <w:sz w:val="22"/>
          <w:szCs w:val="22"/>
        </w:rPr>
        <w:t xml:space="preserve">NI E IMPORTAZIONI </w:t>
      </w:r>
      <w:r w:rsidR="008014ED" w:rsidRPr="007C052D">
        <w:rPr>
          <w:rFonts w:ascii="Arial Narrow" w:hAnsi="Arial Narrow" w:cs="Arial"/>
          <w:b/>
          <w:caps/>
          <w:color w:val="5F5F5F"/>
          <w:sz w:val="22"/>
          <w:szCs w:val="22"/>
        </w:rPr>
        <w:t>CON L’</w:t>
      </w:r>
      <w:r w:rsidR="00D36CA1" w:rsidRPr="007C052D">
        <w:rPr>
          <w:rFonts w:ascii="Arial Narrow" w:hAnsi="Arial Narrow" w:cs="Arial"/>
          <w:b/>
          <w:caps/>
          <w:color w:val="5F5F5F"/>
          <w:sz w:val="22"/>
          <w:szCs w:val="22"/>
        </w:rPr>
        <w:t>AREA Ue</w:t>
      </w:r>
      <w:r w:rsidR="00E56E72" w:rsidRPr="007C052D">
        <w:rPr>
          <w:rFonts w:ascii="Arial Narrow" w:hAnsi="Arial Narrow" w:cs="Arial"/>
          <w:b/>
          <w:caps/>
          <w:color w:val="5F5F5F"/>
          <w:sz w:val="22"/>
          <w:szCs w:val="22"/>
        </w:rPr>
        <w:t>27</w:t>
      </w:r>
      <w:r w:rsidR="00D36CA1" w:rsidRPr="00D36CA1">
        <w:rPr>
          <w:rFonts w:ascii="Arial Narrow" w:hAnsi="Arial Narrow" w:cs="Arial"/>
          <w:b/>
          <w:caps/>
          <w:color w:val="5F5F5F"/>
          <w:sz w:val="22"/>
          <w:szCs w:val="22"/>
        </w:rPr>
        <w:t xml:space="preserve"> </w:t>
      </w:r>
    </w:p>
    <w:p w14:paraId="61BFAD89" w14:textId="57992EE9" w:rsidR="00516EEC" w:rsidRPr="0071152F" w:rsidRDefault="008D7D7F" w:rsidP="00293461">
      <w:pPr>
        <w:tabs>
          <w:tab w:val="left" w:pos="284"/>
        </w:tabs>
        <w:spacing w:after="60"/>
        <w:rPr>
          <w:rFonts w:ascii="Arial Narrow" w:hAnsi="Arial Narrow" w:cs="Arial"/>
          <w:color w:val="5F5F5F"/>
          <w:sz w:val="20"/>
        </w:rPr>
      </w:pPr>
      <w:r w:rsidRPr="0071152F">
        <w:rPr>
          <w:rFonts w:ascii="Arial Narrow" w:hAnsi="Arial Narrow" w:cs="Arial"/>
          <w:color w:val="5F5F5F"/>
          <w:sz w:val="20"/>
        </w:rPr>
        <w:t>Gennaio 201</w:t>
      </w:r>
      <w:r w:rsidR="007657DD">
        <w:rPr>
          <w:rFonts w:ascii="Arial Narrow" w:hAnsi="Arial Narrow" w:cs="Arial"/>
          <w:color w:val="5F5F5F"/>
          <w:sz w:val="20"/>
        </w:rPr>
        <w:t>8</w:t>
      </w:r>
      <w:r w:rsidRPr="0071152F">
        <w:rPr>
          <w:rFonts w:ascii="Arial Narrow" w:hAnsi="Arial Narrow" w:cs="Arial"/>
          <w:color w:val="5F5F5F"/>
          <w:sz w:val="20"/>
        </w:rPr>
        <w:t xml:space="preserve"> </w:t>
      </w:r>
      <w:r w:rsidR="00644975">
        <w:rPr>
          <w:rFonts w:ascii="Arial Narrow" w:hAnsi="Arial Narrow" w:cs="Arial"/>
          <w:color w:val="5F5F5F"/>
          <w:sz w:val="20"/>
        </w:rPr>
        <w:t>–</w:t>
      </w:r>
      <w:r w:rsidRPr="0071152F">
        <w:rPr>
          <w:rFonts w:ascii="Arial Narrow" w:hAnsi="Arial Narrow" w:cs="Arial"/>
          <w:color w:val="5F5F5F"/>
          <w:sz w:val="20"/>
        </w:rPr>
        <w:t xml:space="preserve"> </w:t>
      </w:r>
      <w:r w:rsidR="00CD778E">
        <w:rPr>
          <w:rFonts w:ascii="Arial Narrow" w:hAnsi="Arial Narrow" w:cs="Arial"/>
          <w:color w:val="5F5F5F"/>
          <w:sz w:val="20"/>
        </w:rPr>
        <w:t>ottobre</w:t>
      </w:r>
      <w:r w:rsidR="00CD778E" w:rsidRPr="0071152F">
        <w:rPr>
          <w:rFonts w:ascii="Arial Narrow" w:hAnsi="Arial Narrow" w:cs="Arial"/>
          <w:color w:val="5F5F5F"/>
          <w:sz w:val="20"/>
        </w:rPr>
        <w:t xml:space="preserve"> </w:t>
      </w:r>
      <w:r w:rsidRPr="0071152F">
        <w:rPr>
          <w:rFonts w:ascii="Arial Narrow" w:hAnsi="Arial Narrow" w:cs="Arial"/>
          <w:color w:val="5F5F5F"/>
          <w:sz w:val="20"/>
        </w:rPr>
        <w:t>20</w:t>
      </w:r>
      <w:r w:rsidR="007657DD">
        <w:rPr>
          <w:rFonts w:ascii="Arial Narrow" w:hAnsi="Arial Narrow" w:cs="Arial"/>
          <w:color w:val="5F5F5F"/>
          <w:sz w:val="20"/>
        </w:rPr>
        <w:t>23</w:t>
      </w:r>
      <w:r w:rsidR="00516EEC" w:rsidRPr="0071152F">
        <w:rPr>
          <w:rFonts w:ascii="Arial Narrow" w:hAnsi="Arial Narrow" w:cs="Arial"/>
          <w:color w:val="5F5F5F"/>
          <w:sz w:val="20"/>
        </w:rPr>
        <w:t xml:space="preserve">, </w:t>
      </w:r>
      <w:r w:rsidR="0063317A" w:rsidRPr="0071152F">
        <w:rPr>
          <w:rFonts w:ascii="Arial Narrow" w:hAnsi="Arial Narrow" w:cs="Arial"/>
          <w:color w:val="5F5F5F"/>
          <w:sz w:val="20"/>
        </w:rPr>
        <w:t xml:space="preserve">dati mensili e medie mobili a tre mesi, </w:t>
      </w:r>
      <w:r w:rsidR="00516EEC" w:rsidRPr="0071152F">
        <w:rPr>
          <w:rFonts w:ascii="Arial Narrow" w:hAnsi="Arial Narrow" w:cs="Arial"/>
          <w:color w:val="5F5F5F"/>
          <w:sz w:val="20"/>
        </w:rPr>
        <w:t>dati destagionalizzati in miliardi di euro</w:t>
      </w:r>
    </w:p>
    <w:p w14:paraId="117156B6" w14:textId="46E4D850" w:rsidR="002F6355" w:rsidRPr="007939D9" w:rsidRDefault="002E7D66" w:rsidP="00D36CA1">
      <w:pPr>
        <w:rPr>
          <w:rFonts w:ascii="Arial Narrow" w:hAnsi="Arial Narrow" w:cs="Arial"/>
          <w:b/>
          <w:caps/>
          <w:color w:val="5F5F5F"/>
          <w:spacing w:val="-2"/>
          <w:sz w:val="22"/>
          <w:szCs w:val="22"/>
        </w:rPr>
      </w:pPr>
      <w:r>
        <w:rPr>
          <w:noProof/>
        </w:rPr>
        <w:drawing>
          <wp:inline distT="0" distB="0" distL="0" distR="0" wp14:anchorId="544B4037" wp14:editId="333EB76A">
            <wp:extent cx="6660000" cy="2160000"/>
            <wp:effectExtent l="0" t="0" r="7620" b="0"/>
            <wp:docPr id="16" name="Gra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41833D9" w14:textId="77777777" w:rsidR="0003608C" w:rsidRPr="0003608C" w:rsidRDefault="0003608C" w:rsidP="000B7E0D">
      <w:pPr>
        <w:rPr>
          <w:rFonts w:ascii="Arial Narrow" w:hAnsi="Arial Narrow" w:cs="Arial"/>
          <w:b/>
          <w:color w:val="E42618"/>
          <w:sz w:val="14"/>
          <w:szCs w:val="14"/>
        </w:rPr>
      </w:pPr>
    </w:p>
    <w:p w14:paraId="6F89DA5B" w14:textId="77777777" w:rsidR="000B7E0D" w:rsidRDefault="000B7E0D" w:rsidP="000B7E0D">
      <w:pPr>
        <w:rPr>
          <w:rFonts w:ascii="Arial Narrow" w:hAnsi="Arial Narrow" w:cs="Arial"/>
          <w:b/>
          <w:caps/>
          <w:color w:val="5F5F5F"/>
          <w:sz w:val="22"/>
          <w:szCs w:val="22"/>
        </w:rPr>
      </w:pPr>
      <w:r w:rsidRPr="007939D9">
        <w:rPr>
          <w:rFonts w:ascii="Arial Narrow" w:hAnsi="Arial Narrow" w:cs="Arial"/>
          <w:b/>
          <w:color w:val="E42618"/>
          <w:sz w:val="22"/>
          <w:szCs w:val="22"/>
        </w:rPr>
        <w:t xml:space="preserve">FIGURA </w:t>
      </w:r>
      <w:r w:rsidR="00CF30A4">
        <w:rPr>
          <w:rFonts w:ascii="Arial Narrow" w:hAnsi="Arial Narrow" w:cs="Arial"/>
          <w:b/>
          <w:color w:val="E42618"/>
          <w:sz w:val="22"/>
          <w:szCs w:val="22"/>
        </w:rPr>
        <w:t>3</w:t>
      </w:r>
      <w:r w:rsidRPr="007939D9">
        <w:rPr>
          <w:rFonts w:ascii="Arial Narrow" w:hAnsi="Arial Narrow" w:cs="Arial"/>
          <w:b/>
          <w:color w:val="E42618"/>
          <w:sz w:val="22"/>
          <w:szCs w:val="22"/>
        </w:rPr>
        <w:t>.</w:t>
      </w:r>
      <w:r>
        <w:rPr>
          <w:rFonts w:ascii="Arial Narrow" w:hAnsi="Arial Narrow" w:cs="Arial"/>
          <w:b/>
          <w:color w:val="E42618"/>
          <w:sz w:val="22"/>
          <w:szCs w:val="22"/>
        </w:rPr>
        <w:t xml:space="preserve"> </w:t>
      </w:r>
      <w:r w:rsidRPr="00D36CA1">
        <w:rPr>
          <w:rFonts w:ascii="Arial Narrow" w:hAnsi="Arial Narrow" w:cs="Arial"/>
          <w:b/>
          <w:caps/>
          <w:color w:val="5F5F5F"/>
          <w:sz w:val="22"/>
          <w:szCs w:val="22"/>
        </w:rPr>
        <w:t>ESPORTAZIO</w:t>
      </w:r>
      <w:r w:rsidR="00CF30A4">
        <w:rPr>
          <w:rFonts w:ascii="Arial Narrow" w:hAnsi="Arial Narrow" w:cs="Arial"/>
          <w:b/>
          <w:caps/>
          <w:color w:val="5F5F5F"/>
          <w:sz w:val="22"/>
          <w:szCs w:val="22"/>
        </w:rPr>
        <w:t xml:space="preserve">NI E IMPORTAZIONI </w:t>
      </w:r>
      <w:r w:rsidR="008014ED">
        <w:rPr>
          <w:rFonts w:ascii="Arial Narrow" w:hAnsi="Arial Narrow" w:cs="Arial"/>
          <w:b/>
          <w:caps/>
          <w:color w:val="5F5F5F"/>
          <w:sz w:val="22"/>
          <w:szCs w:val="22"/>
        </w:rPr>
        <w:t xml:space="preserve">CON </w:t>
      </w:r>
      <w:r w:rsidR="008014ED" w:rsidRPr="007C052D">
        <w:rPr>
          <w:rFonts w:ascii="Arial Narrow" w:hAnsi="Arial Narrow" w:cs="Arial"/>
          <w:b/>
          <w:caps/>
          <w:color w:val="5F5F5F"/>
          <w:sz w:val="22"/>
          <w:szCs w:val="22"/>
        </w:rPr>
        <w:t>L’</w:t>
      </w:r>
      <w:r w:rsidR="00CF30A4" w:rsidRPr="007C052D">
        <w:rPr>
          <w:rFonts w:ascii="Arial Narrow" w:hAnsi="Arial Narrow" w:cs="Arial"/>
          <w:b/>
          <w:caps/>
          <w:color w:val="5F5F5F"/>
          <w:sz w:val="22"/>
          <w:szCs w:val="22"/>
        </w:rPr>
        <w:t>AREA</w:t>
      </w:r>
      <w:r w:rsidRPr="007C052D">
        <w:rPr>
          <w:rFonts w:ascii="Arial Narrow" w:hAnsi="Arial Narrow" w:cs="Arial"/>
          <w:b/>
          <w:caps/>
          <w:color w:val="5F5F5F"/>
          <w:sz w:val="22"/>
          <w:szCs w:val="22"/>
        </w:rPr>
        <w:t xml:space="preserve"> extra Ue</w:t>
      </w:r>
      <w:r w:rsidR="00E56E72" w:rsidRPr="007C052D">
        <w:rPr>
          <w:rFonts w:ascii="Arial Narrow" w:hAnsi="Arial Narrow" w:cs="Arial"/>
          <w:b/>
          <w:caps/>
          <w:color w:val="5F5F5F"/>
          <w:sz w:val="22"/>
          <w:szCs w:val="22"/>
        </w:rPr>
        <w:t>27</w:t>
      </w:r>
    </w:p>
    <w:p w14:paraId="168ABCB0" w14:textId="08DD5E37" w:rsidR="00CF30A4" w:rsidRPr="005B110A" w:rsidRDefault="008D7D7F" w:rsidP="00293461">
      <w:pPr>
        <w:tabs>
          <w:tab w:val="left" w:pos="284"/>
        </w:tabs>
        <w:spacing w:after="60"/>
        <w:rPr>
          <w:rFonts w:ascii="Arial Narrow" w:hAnsi="Arial Narrow" w:cs="Arial"/>
          <w:color w:val="5F5F5F"/>
          <w:sz w:val="20"/>
        </w:rPr>
      </w:pPr>
      <w:r w:rsidRPr="0071152F">
        <w:rPr>
          <w:rFonts w:ascii="Arial Narrow" w:hAnsi="Arial Narrow" w:cs="Arial"/>
          <w:color w:val="5F5F5F"/>
          <w:sz w:val="20"/>
        </w:rPr>
        <w:t>Gennaio 201</w:t>
      </w:r>
      <w:r w:rsidR="007657DD">
        <w:rPr>
          <w:rFonts w:ascii="Arial Narrow" w:hAnsi="Arial Narrow" w:cs="Arial"/>
          <w:color w:val="5F5F5F"/>
          <w:sz w:val="20"/>
        </w:rPr>
        <w:t>8</w:t>
      </w:r>
      <w:r w:rsidRPr="0071152F">
        <w:rPr>
          <w:rFonts w:ascii="Arial Narrow" w:hAnsi="Arial Narrow" w:cs="Arial"/>
          <w:color w:val="5F5F5F"/>
          <w:sz w:val="20"/>
        </w:rPr>
        <w:t xml:space="preserve"> </w:t>
      </w:r>
      <w:r w:rsidR="00644975">
        <w:rPr>
          <w:rFonts w:ascii="Arial Narrow" w:hAnsi="Arial Narrow" w:cs="Arial"/>
          <w:color w:val="5F5F5F"/>
          <w:sz w:val="20"/>
        </w:rPr>
        <w:t>–</w:t>
      </w:r>
      <w:r w:rsidRPr="0071152F">
        <w:rPr>
          <w:rFonts w:ascii="Arial Narrow" w:hAnsi="Arial Narrow" w:cs="Arial"/>
          <w:color w:val="5F5F5F"/>
          <w:sz w:val="20"/>
        </w:rPr>
        <w:t xml:space="preserve"> </w:t>
      </w:r>
      <w:r w:rsidR="00CD778E">
        <w:rPr>
          <w:rFonts w:ascii="Arial Narrow" w:hAnsi="Arial Narrow" w:cs="Arial"/>
          <w:color w:val="5F5F5F"/>
          <w:sz w:val="20"/>
        </w:rPr>
        <w:t>ottobre</w:t>
      </w:r>
      <w:r w:rsidR="00CD778E" w:rsidRPr="0071152F">
        <w:rPr>
          <w:rFonts w:ascii="Arial Narrow" w:hAnsi="Arial Narrow" w:cs="Arial"/>
          <w:color w:val="5F5F5F"/>
          <w:sz w:val="20"/>
        </w:rPr>
        <w:t xml:space="preserve"> </w:t>
      </w:r>
      <w:r w:rsidRPr="0071152F">
        <w:rPr>
          <w:rFonts w:ascii="Arial Narrow" w:hAnsi="Arial Narrow" w:cs="Arial"/>
          <w:color w:val="5F5F5F"/>
          <w:sz w:val="20"/>
        </w:rPr>
        <w:t>20</w:t>
      </w:r>
      <w:r w:rsidR="007657DD">
        <w:rPr>
          <w:rFonts w:ascii="Arial Narrow" w:hAnsi="Arial Narrow" w:cs="Arial"/>
          <w:color w:val="5F5F5F"/>
          <w:sz w:val="20"/>
        </w:rPr>
        <w:t>23</w:t>
      </w:r>
      <w:r w:rsidR="00CF30A4" w:rsidRPr="005B110A">
        <w:rPr>
          <w:rFonts w:ascii="Arial Narrow" w:hAnsi="Arial Narrow" w:cs="Arial"/>
          <w:color w:val="5F5F5F"/>
          <w:sz w:val="20"/>
        </w:rPr>
        <w:t xml:space="preserve">, </w:t>
      </w:r>
      <w:r w:rsidR="0063317A" w:rsidRPr="005B110A">
        <w:rPr>
          <w:rFonts w:ascii="Arial Narrow" w:hAnsi="Arial Narrow" w:cs="Arial"/>
          <w:color w:val="5F5F5F"/>
          <w:sz w:val="20"/>
        </w:rPr>
        <w:t xml:space="preserve">dati mensili e medie mobili a tre mesi, </w:t>
      </w:r>
      <w:r w:rsidR="00CF30A4" w:rsidRPr="005B110A">
        <w:rPr>
          <w:rFonts w:ascii="Arial Narrow" w:hAnsi="Arial Narrow" w:cs="Arial"/>
          <w:color w:val="5F5F5F"/>
          <w:sz w:val="20"/>
        </w:rPr>
        <w:t>dati destagionalizzati in miliardi di euro</w:t>
      </w:r>
    </w:p>
    <w:p w14:paraId="63756781" w14:textId="01544141" w:rsidR="00F31459" w:rsidRDefault="002E7D66" w:rsidP="00A43169">
      <w:pPr>
        <w:tabs>
          <w:tab w:val="left" w:pos="284"/>
        </w:tabs>
        <w:spacing w:after="120"/>
        <w:rPr>
          <w:rFonts w:ascii="Arial" w:hAnsi="Arial" w:cs="Arial"/>
          <w:b/>
          <w:color w:val="000000"/>
        </w:rPr>
      </w:pPr>
      <w:r>
        <w:rPr>
          <w:noProof/>
        </w:rPr>
        <w:drawing>
          <wp:inline distT="0" distB="0" distL="0" distR="0" wp14:anchorId="18581D9A" wp14:editId="57886447">
            <wp:extent cx="6660000" cy="2160000"/>
            <wp:effectExtent l="0" t="0" r="7620" b="0"/>
            <wp:docPr id="25" name="Gra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A10A937" w14:textId="4EA27DFB" w:rsidR="00516EEC" w:rsidRDefault="00516EEC" w:rsidP="00516EEC">
      <w:pPr>
        <w:tabs>
          <w:tab w:val="left" w:pos="284"/>
        </w:tabs>
        <w:rPr>
          <w:sz w:val="22"/>
          <w:szCs w:val="22"/>
        </w:rPr>
      </w:pPr>
      <w:r w:rsidRPr="007939D9">
        <w:rPr>
          <w:rFonts w:ascii="Arial Narrow" w:hAnsi="Arial Narrow" w:cs="Arial"/>
          <w:b/>
          <w:color w:val="E42618"/>
          <w:sz w:val="22"/>
          <w:szCs w:val="22"/>
        </w:rPr>
        <w:lastRenderedPageBreak/>
        <w:t xml:space="preserve">FIGURA </w:t>
      </w:r>
      <w:r w:rsidR="006D02F3">
        <w:rPr>
          <w:rFonts w:ascii="Arial Narrow" w:hAnsi="Arial Narrow" w:cs="Arial"/>
          <w:b/>
          <w:color w:val="E42618"/>
          <w:sz w:val="22"/>
          <w:szCs w:val="22"/>
        </w:rPr>
        <w:t>4</w:t>
      </w:r>
      <w:r w:rsidRPr="007939D9">
        <w:rPr>
          <w:rFonts w:ascii="Arial Narrow" w:hAnsi="Arial Narrow" w:cs="Arial"/>
          <w:b/>
          <w:color w:val="E42618"/>
          <w:sz w:val="22"/>
          <w:szCs w:val="22"/>
        </w:rPr>
        <w:t>.</w:t>
      </w:r>
      <w:r w:rsidRPr="007939D9">
        <w:rPr>
          <w:sz w:val="22"/>
          <w:szCs w:val="22"/>
        </w:rPr>
        <w:t xml:space="preserve"> </w:t>
      </w:r>
      <w:r w:rsidRPr="00787294">
        <w:rPr>
          <w:rFonts w:ascii="Arial Narrow" w:hAnsi="Arial Narrow" w:cs="Arial"/>
          <w:b/>
          <w:caps/>
          <w:color w:val="5F5F5F"/>
          <w:sz w:val="22"/>
          <w:szCs w:val="22"/>
        </w:rPr>
        <w:t>FLUSSI COMMERCIALI CON L’ESTERO</w:t>
      </w:r>
      <w:r w:rsidR="00B827C7">
        <w:rPr>
          <w:sz w:val="22"/>
          <w:szCs w:val="22"/>
        </w:rPr>
        <w:t>,</w:t>
      </w:r>
      <w:r w:rsidR="008014ED">
        <w:rPr>
          <w:sz w:val="22"/>
          <w:szCs w:val="22"/>
        </w:rPr>
        <w:t xml:space="preserve"> </w:t>
      </w:r>
      <w:r>
        <w:rPr>
          <w:rFonts w:ascii="Arial Narrow" w:hAnsi="Arial Narrow" w:cs="Arial"/>
          <w:b/>
          <w:caps/>
          <w:color w:val="5F5F5F"/>
          <w:sz w:val="22"/>
          <w:szCs w:val="22"/>
        </w:rPr>
        <w:t xml:space="preserve">VARIAZIONI </w:t>
      </w:r>
      <w:r w:rsidR="00146099">
        <w:rPr>
          <w:rFonts w:ascii="Arial Narrow" w:hAnsi="Arial Narrow" w:cs="Arial"/>
          <w:b/>
          <w:caps/>
          <w:color w:val="5F5F5F"/>
          <w:sz w:val="22"/>
          <w:szCs w:val="22"/>
        </w:rPr>
        <w:t xml:space="preserve">PERCENTUALI </w:t>
      </w:r>
      <w:r w:rsidRPr="00516EEC">
        <w:rPr>
          <w:rFonts w:ascii="Arial Narrow" w:hAnsi="Arial Narrow" w:cs="Arial"/>
          <w:b/>
          <w:caps/>
          <w:color w:val="5F5F5F"/>
          <w:sz w:val="22"/>
          <w:szCs w:val="22"/>
        </w:rPr>
        <w:t>TENDENZIALI</w:t>
      </w:r>
    </w:p>
    <w:p w14:paraId="5C38654A" w14:textId="74679298" w:rsidR="00516EEC" w:rsidRPr="00787294" w:rsidRDefault="008D7D7F" w:rsidP="00516EEC">
      <w:pPr>
        <w:tabs>
          <w:tab w:val="left" w:pos="284"/>
        </w:tabs>
        <w:spacing w:after="120"/>
        <w:rPr>
          <w:rFonts w:ascii="Arial Narrow" w:hAnsi="Arial Narrow" w:cs="Arial"/>
          <w:color w:val="5F5F5F"/>
        </w:rPr>
      </w:pPr>
      <w:r w:rsidRPr="0071152F">
        <w:rPr>
          <w:rFonts w:ascii="Arial Narrow" w:hAnsi="Arial Narrow" w:cs="Arial"/>
          <w:color w:val="5F5F5F"/>
          <w:sz w:val="20"/>
        </w:rPr>
        <w:t>Gennaio 201</w:t>
      </w:r>
      <w:r w:rsidR="007657DD">
        <w:rPr>
          <w:rFonts w:ascii="Arial Narrow" w:hAnsi="Arial Narrow" w:cs="Arial"/>
          <w:color w:val="5F5F5F"/>
          <w:sz w:val="20"/>
        </w:rPr>
        <w:t>9</w:t>
      </w:r>
      <w:r w:rsidRPr="0071152F">
        <w:rPr>
          <w:rFonts w:ascii="Arial Narrow" w:hAnsi="Arial Narrow" w:cs="Arial"/>
          <w:color w:val="5F5F5F"/>
          <w:sz w:val="20"/>
        </w:rPr>
        <w:t xml:space="preserve"> </w:t>
      </w:r>
      <w:r w:rsidR="00644975">
        <w:rPr>
          <w:rFonts w:ascii="Arial Narrow" w:hAnsi="Arial Narrow" w:cs="Arial"/>
          <w:color w:val="5F5F5F"/>
          <w:sz w:val="20"/>
        </w:rPr>
        <w:t>–</w:t>
      </w:r>
      <w:r w:rsidRPr="0071152F">
        <w:rPr>
          <w:rFonts w:ascii="Arial Narrow" w:hAnsi="Arial Narrow" w:cs="Arial"/>
          <w:color w:val="5F5F5F"/>
          <w:sz w:val="20"/>
        </w:rPr>
        <w:t xml:space="preserve"> </w:t>
      </w:r>
      <w:r w:rsidR="00CD778E">
        <w:rPr>
          <w:rFonts w:ascii="Arial Narrow" w:hAnsi="Arial Narrow" w:cs="Arial"/>
          <w:color w:val="5F5F5F"/>
          <w:sz w:val="20"/>
        </w:rPr>
        <w:t>ottobre</w:t>
      </w:r>
      <w:r w:rsidR="00CD778E" w:rsidRPr="0071152F">
        <w:rPr>
          <w:rFonts w:ascii="Arial Narrow" w:hAnsi="Arial Narrow" w:cs="Arial"/>
          <w:color w:val="5F5F5F"/>
          <w:sz w:val="20"/>
        </w:rPr>
        <w:t xml:space="preserve"> </w:t>
      </w:r>
      <w:r w:rsidRPr="0071152F">
        <w:rPr>
          <w:rFonts w:ascii="Arial Narrow" w:hAnsi="Arial Narrow" w:cs="Arial"/>
          <w:color w:val="5F5F5F"/>
          <w:sz w:val="20"/>
        </w:rPr>
        <w:t>20</w:t>
      </w:r>
      <w:r w:rsidR="007657DD">
        <w:rPr>
          <w:rFonts w:ascii="Arial Narrow" w:hAnsi="Arial Narrow" w:cs="Arial"/>
          <w:color w:val="5F5F5F"/>
          <w:sz w:val="20"/>
        </w:rPr>
        <w:t>23</w:t>
      </w:r>
      <w:r w:rsidR="0063317A" w:rsidRPr="00EE5993">
        <w:rPr>
          <w:rFonts w:ascii="Arial Narrow" w:hAnsi="Arial Narrow" w:cs="Arial"/>
          <w:color w:val="5F5F5F"/>
          <w:sz w:val="20"/>
        </w:rPr>
        <w:t>,</w:t>
      </w:r>
      <w:r w:rsidR="00516EEC" w:rsidRPr="00EE5993">
        <w:rPr>
          <w:rFonts w:ascii="Arial Narrow" w:hAnsi="Arial Narrow" w:cs="Arial"/>
          <w:color w:val="5F5F5F"/>
          <w:sz w:val="20"/>
        </w:rPr>
        <w:t xml:space="preserve"> dati grezzi</w:t>
      </w:r>
      <w:r w:rsidR="00516EEC" w:rsidRPr="00EE5993">
        <w:rPr>
          <w:noProof/>
          <w:sz w:val="20"/>
        </w:rPr>
        <w:t xml:space="preserve"> </w:t>
      </w:r>
      <w:r w:rsidR="002E7D66">
        <w:rPr>
          <w:noProof/>
        </w:rPr>
        <w:drawing>
          <wp:inline distT="0" distB="0" distL="0" distR="0" wp14:anchorId="446FC7AE" wp14:editId="629D2D61">
            <wp:extent cx="6660000" cy="2160000"/>
            <wp:effectExtent l="0" t="0" r="7620" b="0"/>
            <wp:docPr id="27" name="Gra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A92BE91" w14:textId="77777777" w:rsidR="00F31459" w:rsidRDefault="00F31459" w:rsidP="00833A77">
      <w:pPr>
        <w:spacing w:line="240" w:lineRule="exact"/>
        <w:rPr>
          <w:rFonts w:ascii="Arial" w:hAnsi="Arial" w:cs="Arial"/>
          <w:b/>
          <w:color w:val="000000"/>
        </w:rPr>
      </w:pPr>
    </w:p>
    <w:p w14:paraId="6AA5B616" w14:textId="77777777" w:rsidR="00FE069A" w:rsidRDefault="00FE069A" w:rsidP="00516EEC">
      <w:pPr>
        <w:tabs>
          <w:tab w:val="left" w:pos="284"/>
        </w:tabs>
        <w:rPr>
          <w:rFonts w:ascii="Arial Narrow" w:hAnsi="Arial Narrow" w:cs="Arial"/>
          <w:b/>
          <w:color w:val="E42618"/>
          <w:sz w:val="22"/>
          <w:szCs w:val="22"/>
        </w:rPr>
      </w:pPr>
    </w:p>
    <w:p w14:paraId="72475C1B" w14:textId="77777777" w:rsidR="00516EEC" w:rsidRPr="00B64F0D" w:rsidRDefault="00516EEC" w:rsidP="00516EEC">
      <w:pPr>
        <w:tabs>
          <w:tab w:val="left" w:pos="284"/>
        </w:tabs>
        <w:rPr>
          <w:sz w:val="22"/>
          <w:szCs w:val="22"/>
        </w:rPr>
      </w:pPr>
      <w:r w:rsidRPr="00B64F0D">
        <w:rPr>
          <w:rFonts w:ascii="Arial Narrow" w:hAnsi="Arial Narrow" w:cs="Arial"/>
          <w:b/>
          <w:color w:val="E42618"/>
          <w:sz w:val="22"/>
          <w:szCs w:val="22"/>
        </w:rPr>
        <w:t xml:space="preserve">FIGURA </w:t>
      </w:r>
      <w:r w:rsidR="006D02F3" w:rsidRPr="00B64F0D">
        <w:rPr>
          <w:rFonts w:ascii="Arial Narrow" w:hAnsi="Arial Narrow" w:cs="Arial"/>
          <w:b/>
          <w:color w:val="E42618"/>
          <w:sz w:val="22"/>
          <w:szCs w:val="22"/>
        </w:rPr>
        <w:t>5</w:t>
      </w:r>
      <w:r w:rsidRPr="00B64F0D">
        <w:rPr>
          <w:rFonts w:ascii="Arial Narrow" w:hAnsi="Arial Narrow" w:cs="Arial"/>
          <w:b/>
          <w:color w:val="E42618"/>
          <w:sz w:val="22"/>
          <w:szCs w:val="22"/>
        </w:rPr>
        <w:t>.</w:t>
      </w:r>
      <w:r w:rsidRPr="00B64F0D">
        <w:rPr>
          <w:sz w:val="22"/>
          <w:szCs w:val="22"/>
        </w:rPr>
        <w:t xml:space="preserve"> </w:t>
      </w:r>
      <w:r w:rsidRPr="00B64F0D">
        <w:rPr>
          <w:rFonts w:ascii="Arial Narrow" w:hAnsi="Arial Narrow" w:cs="Arial"/>
          <w:b/>
          <w:caps/>
          <w:color w:val="5F5F5F"/>
          <w:sz w:val="22"/>
          <w:szCs w:val="22"/>
        </w:rPr>
        <w:t>PREZZI ALL’IMPORTAZIONE</w:t>
      </w:r>
      <w:r w:rsidR="00806BEC" w:rsidRPr="00B64F0D">
        <w:rPr>
          <w:rFonts w:ascii="Arial Narrow" w:hAnsi="Arial Narrow" w:cs="Arial"/>
          <w:b/>
          <w:caps/>
          <w:color w:val="5F5F5F"/>
          <w:sz w:val="22"/>
          <w:szCs w:val="22"/>
        </w:rPr>
        <w:t>, VARIAZIONI PERCENTUALI TENDENZIALI</w:t>
      </w:r>
    </w:p>
    <w:p w14:paraId="36A56A26" w14:textId="5E821B02" w:rsidR="00F00744" w:rsidRDefault="008D7D7F" w:rsidP="00EB3E42">
      <w:pPr>
        <w:spacing w:after="120"/>
        <w:rPr>
          <w:noProof/>
          <w:sz w:val="20"/>
        </w:rPr>
      </w:pPr>
      <w:r w:rsidRPr="00B64F0D">
        <w:rPr>
          <w:rFonts w:ascii="Arial Narrow" w:hAnsi="Arial Narrow" w:cs="Arial"/>
          <w:color w:val="5F5F5F"/>
          <w:sz w:val="20"/>
        </w:rPr>
        <w:t>Gennaio 201</w:t>
      </w:r>
      <w:r w:rsidR="007657DD" w:rsidRPr="00B64F0D">
        <w:rPr>
          <w:rFonts w:ascii="Arial Narrow" w:hAnsi="Arial Narrow" w:cs="Arial"/>
          <w:color w:val="5F5F5F"/>
          <w:sz w:val="20"/>
        </w:rPr>
        <w:t>9</w:t>
      </w:r>
      <w:r w:rsidRPr="00B64F0D">
        <w:rPr>
          <w:rFonts w:ascii="Arial Narrow" w:hAnsi="Arial Narrow" w:cs="Arial"/>
          <w:color w:val="5F5F5F"/>
          <w:sz w:val="20"/>
        </w:rPr>
        <w:t xml:space="preserve"> </w:t>
      </w:r>
      <w:r w:rsidR="009446F0" w:rsidRPr="00B64F0D">
        <w:rPr>
          <w:rFonts w:ascii="Arial Narrow" w:hAnsi="Arial Narrow" w:cs="Arial"/>
          <w:color w:val="5F5F5F"/>
          <w:sz w:val="20"/>
        </w:rPr>
        <w:t>–</w:t>
      </w:r>
      <w:r w:rsidRPr="00B64F0D">
        <w:rPr>
          <w:rFonts w:ascii="Arial Narrow" w:hAnsi="Arial Narrow" w:cs="Arial"/>
          <w:color w:val="5F5F5F"/>
          <w:sz w:val="20"/>
        </w:rPr>
        <w:t xml:space="preserve"> </w:t>
      </w:r>
      <w:r w:rsidR="00CD778E">
        <w:rPr>
          <w:rFonts w:ascii="Arial Narrow" w:hAnsi="Arial Narrow" w:cs="Arial"/>
          <w:color w:val="5F5F5F"/>
          <w:sz w:val="20"/>
        </w:rPr>
        <w:t>ottobre</w:t>
      </w:r>
      <w:r w:rsidR="00CD778E" w:rsidRPr="0071152F">
        <w:rPr>
          <w:rFonts w:ascii="Arial Narrow" w:hAnsi="Arial Narrow" w:cs="Arial"/>
          <w:color w:val="5F5F5F"/>
          <w:sz w:val="20"/>
        </w:rPr>
        <w:t xml:space="preserve"> </w:t>
      </w:r>
      <w:r w:rsidR="007657DD" w:rsidRPr="00B64F0D">
        <w:rPr>
          <w:rFonts w:ascii="Arial Narrow" w:hAnsi="Arial Narrow" w:cs="Arial"/>
          <w:color w:val="5F5F5F"/>
          <w:sz w:val="20"/>
        </w:rPr>
        <w:t>2023</w:t>
      </w:r>
      <w:r w:rsidR="00B827C7" w:rsidRPr="00B64F0D">
        <w:rPr>
          <w:rFonts w:ascii="Arial Narrow" w:hAnsi="Arial Narrow" w:cs="Arial"/>
          <w:color w:val="5F5F5F"/>
          <w:sz w:val="20"/>
        </w:rPr>
        <w:t>,</w:t>
      </w:r>
      <w:r w:rsidR="00516EEC" w:rsidRPr="00B64F0D">
        <w:rPr>
          <w:rFonts w:ascii="Arial Narrow" w:hAnsi="Arial Narrow" w:cs="Arial"/>
          <w:color w:val="5F5F5F"/>
          <w:sz w:val="20"/>
        </w:rPr>
        <w:t xml:space="preserve"> (base 2015=100)</w:t>
      </w:r>
      <w:r w:rsidR="00B23E66" w:rsidRPr="00EE5993">
        <w:rPr>
          <w:noProof/>
          <w:sz w:val="20"/>
        </w:rPr>
        <w:t xml:space="preserve"> </w:t>
      </w:r>
    </w:p>
    <w:p w14:paraId="04226369" w14:textId="756A58BA" w:rsidR="00931795" w:rsidRDefault="00153D89" w:rsidP="00EB3E42">
      <w:pPr>
        <w:spacing w:after="120"/>
        <w:rPr>
          <w:noProof/>
          <w:sz w:val="20"/>
        </w:rPr>
      </w:pPr>
      <w:r>
        <w:rPr>
          <w:noProof/>
        </w:rPr>
        <w:drawing>
          <wp:inline distT="0" distB="0" distL="0" distR="0" wp14:anchorId="0BDABF46" wp14:editId="6CB30C82">
            <wp:extent cx="6659880" cy="2228850"/>
            <wp:effectExtent l="0" t="0" r="7620" b="0"/>
            <wp:docPr id="20" name="Gra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F47733F" w14:textId="55F8525D" w:rsidR="00B13392" w:rsidRDefault="00B13392" w:rsidP="00EB3E42">
      <w:pPr>
        <w:spacing w:after="120"/>
        <w:rPr>
          <w:noProof/>
          <w:sz w:val="20"/>
        </w:rPr>
      </w:pPr>
    </w:p>
    <w:p w14:paraId="50588D46" w14:textId="6102FA2F" w:rsidR="00B64F0D" w:rsidRDefault="00B64F0D" w:rsidP="00B64F0D">
      <w:pPr>
        <w:spacing w:after="120"/>
        <w:jc w:val="center"/>
        <w:rPr>
          <w:noProof/>
          <w:sz w:val="20"/>
        </w:rPr>
      </w:pPr>
    </w:p>
    <w:p w14:paraId="02E614D7" w14:textId="1F61812E" w:rsidR="00EB3E42" w:rsidRDefault="00EB3E42" w:rsidP="00516EEC">
      <w:pPr>
        <w:rPr>
          <w:noProof/>
          <w:sz w:val="20"/>
        </w:rPr>
      </w:pPr>
    </w:p>
    <w:p w14:paraId="4FBA3833" w14:textId="77777777" w:rsidR="00EB3E42" w:rsidRDefault="00EB3E42" w:rsidP="00516EEC">
      <w:pPr>
        <w:rPr>
          <w:noProof/>
          <w:sz w:val="20"/>
        </w:rPr>
      </w:pPr>
    </w:p>
    <w:p w14:paraId="360AC9EE" w14:textId="77777777" w:rsidR="00A84F05" w:rsidRDefault="00A84F05" w:rsidP="00516EEC">
      <w:pPr>
        <w:rPr>
          <w:noProof/>
          <w:sz w:val="20"/>
        </w:rPr>
      </w:pPr>
    </w:p>
    <w:p w14:paraId="56F1924A" w14:textId="77777777" w:rsidR="00A84F05" w:rsidRDefault="00A84F05" w:rsidP="00516EEC">
      <w:pPr>
        <w:rPr>
          <w:noProof/>
          <w:sz w:val="20"/>
        </w:rPr>
      </w:pPr>
    </w:p>
    <w:p w14:paraId="0C861121" w14:textId="77777777" w:rsidR="00A84F05" w:rsidRDefault="00A84F05" w:rsidP="00516EEC">
      <w:pPr>
        <w:rPr>
          <w:noProof/>
          <w:sz w:val="20"/>
        </w:rPr>
      </w:pPr>
    </w:p>
    <w:p w14:paraId="0E4BD637" w14:textId="77777777" w:rsidR="00A84F05" w:rsidRPr="00EE5993" w:rsidRDefault="00A84F05" w:rsidP="00516EEC">
      <w:pPr>
        <w:rPr>
          <w:noProof/>
          <w:sz w:val="20"/>
        </w:rPr>
      </w:pPr>
    </w:p>
    <w:p w14:paraId="0E65AA70" w14:textId="77777777" w:rsidR="009176F5" w:rsidRDefault="009176F5" w:rsidP="00516EEC">
      <w:pPr>
        <w:rPr>
          <w:rFonts w:ascii="Arial" w:hAnsi="Arial" w:cs="Arial"/>
          <w:b/>
          <w:color w:val="000000"/>
        </w:rPr>
      </w:pPr>
    </w:p>
    <w:p w14:paraId="6D4855D7" w14:textId="77777777" w:rsidR="00F31459" w:rsidRDefault="00F31459" w:rsidP="00833A77">
      <w:pPr>
        <w:spacing w:line="240" w:lineRule="exact"/>
        <w:rPr>
          <w:rFonts w:ascii="Arial" w:hAnsi="Arial" w:cs="Arial"/>
          <w:b/>
          <w:color w:val="000000"/>
        </w:rPr>
      </w:pPr>
    </w:p>
    <w:p w14:paraId="0B11FA11" w14:textId="77777777" w:rsidR="00787294" w:rsidRPr="005E4472" w:rsidRDefault="00787294" w:rsidP="00AF23DD">
      <w:pPr>
        <w:pStyle w:val="Corpodeltesto1"/>
        <w:spacing w:after="120"/>
        <w:rPr>
          <w:rFonts w:ascii="Arial" w:hAnsi="Arial" w:cs="Arial"/>
          <w:sz w:val="22"/>
          <w:szCs w:val="22"/>
        </w:rPr>
      </w:pPr>
    </w:p>
    <w:p w14:paraId="4BB31373" w14:textId="77777777" w:rsidR="00833A77" w:rsidRPr="006768B9" w:rsidRDefault="00833A77" w:rsidP="00833A77">
      <w:pPr>
        <w:tabs>
          <w:tab w:val="left" w:pos="7485"/>
        </w:tabs>
        <w:sectPr w:rsidR="00833A77" w:rsidRPr="006768B9" w:rsidSect="004B7EA2">
          <w:headerReference w:type="default" r:id="rId30"/>
          <w:footerReference w:type="default" r:id="rId31"/>
          <w:headerReference w:type="first" r:id="rId32"/>
          <w:pgSz w:w="11907" w:h="16840" w:code="9"/>
          <w:pgMar w:top="1701" w:right="851" w:bottom="284" w:left="851" w:header="567" w:footer="567" w:gutter="0"/>
          <w:cols w:space="720"/>
          <w:noEndnote/>
          <w:titlePg/>
          <w:docGrid w:linePitch="326"/>
        </w:sectPr>
      </w:pPr>
    </w:p>
    <w:p w14:paraId="2FFE023D" w14:textId="77777777" w:rsidR="008D10C8" w:rsidRPr="005F1ADE" w:rsidRDefault="008D10C8" w:rsidP="004B5FCF">
      <w:pPr>
        <w:pStyle w:val="001TitoloBolocco"/>
        <w:spacing w:after="120" w:line="240" w:lineRule="auto"/>
        <w:rPr>
          <w:rFonts w:cs="Calibri"/>
          <w:b w:val="0"/>
          <w:bCs w:val="0"/>
          <w:caps w:val="0"/>
          <w:color w:val="E42618"/>
          <w:sz w:val="36"/>
          <w:szCs w:val="36"/>
        </w:rPr>
      </w:pPr>
      <w:r w:rsidRPr="005F1ADE">
        <w:rPr>
          <w:rFonts w:cs="Calibri"/>
          <w:b w:val="0"/>
          <w:bCs w:val="0"/>
          <w:caps w:val="0"/>
          <w:color w:val="E42618"/>
          <w:sz w:val="36"/>
          <w:szCs w:val="36"/>
        </w:rPr>
        <w:lastRenderedPageBreak/>
        <w:t>Commercio con l’estero</w:t>
      </w:r>
    </w:p>
    <w:p w14:paraId="3EA8A15F" w14:textId="77777777" w:rsidR="00833A77" w:rsidRDefault="00BF702B" w:rsidP="004B5FCF">
      <w:pPr>
        <w:pStyle w:val="001TitoloBolocco"/>
        <w:spacing w:after="120" w:line="240" w:lineRule="auto"/>
      </w:pPr>
      <w:r>
        <w:rPr>
          <w:bCs w:val="0"/>
          <w:caps w:val="0"/>
        </w:rPr>
        <w:t>P</w:t>
      </w:r>
      <w:r w:rsidR="003C7722">
        <w:rPr>
          <w:bCs w:val="0"/>
          <w:caps w:val="0"/>
        </w:rPr>
        <w:t>RODOTTI ESPORTATI E IMPORTATI</w:t>
      </w:r>
    </w:p>
    <w:p w14:paraId="664390BA" w14:textId="2B9547B0" w:rsidR="00516EEC" w:rsidRPr="00EE5993" w:rsidRDefault="00516EEC" w:rsidP="00516EEC">
      <w:pPr>
        <w:spacing w:after="120"/>
        <w:rPr>
          <w:rFonts w:ascii="Arial Narrow" w:hAnsi="Arial Narrow" w:cs="Arial"/>
          <w:b/>
          <w:bCs/>
          <w:i/>
          <w:sz w:val="16"/>
          <w:szCs w:val="19"/>
        </w:rPr>
      </w:pPr>
      <w:r w:rsidRPr="007939D9">
        <w:rPr>
          <w:rFonts w:ascii="Arial Narrow" w:hAnsi="Arial Narrow" w:cs="Arial"/>
          <w:b/>
          <w:bCs/>
          <w:color w:val="E42618"/>
          <w:sz w:val="22"/>
          <w:szCs w:val="22"/>
        </w:rPr>
        <w:t>PROSPETTO 1</w:t>
      </w:r>
      <w:r w:rsidRPr="00AF23DD">
        <w:rPr>
          <w:rFonts w:ascii="Arial Narrow" w:hAnsi="Arial Narrow" w:cs="Arial"/>
          <w:b/>
          <w:bCs/>
          <w:color w:val="E42618"/>
          <w:sz w:val="22"/>
          <w:szCs w:val="22"/>
        </w:rPr>
        <w:t xml:space="preserve">. </w:t>
      </w:r>
      <w:r w:rsidRPr="003C7722">
        <w:rPr>
          <w:rFonts w:ascii="Arial Narrow" w:hAnsi="Arial Narrow" w:cs="Arial"/>
          <w:b/>
          <w:bCs/>
          <w:color w:val="5F5F5F"/>
          <w:sz w:val="22"/>
          <w:szCs w:val="22"/>
        </w:rPr>
        <w:t>ESPORTAZIONI, IMPORTAZIONI E SALDI DELLA BILANCIA COMMERCIALE</w:t>
      </w:r>
      <w:r w:rsidRPr="005F1ADE">
        <w:rPr>
          <w:rFonts w:ascii="Arial Narrow" w:hAnsi="Arial Narrow" w:cs="Arial"/>
          <w:b/>
          <w:bCs/>
          <w:color w:val="7F7F7F"/>
          <w:sz w:val="22"/>
          <w:szCs w:val="22"/>
        </w:rPr>
        <w:br/>
      </w:r>
      <w:r w:rsidR="00CD778E">
        <w:rPr>
          <w:rFonts w:ascii="Arial Narrow" w:hAnsi="Arial Narrow" w:cs="Arial"/>
          <w:color w:val="5F5F5F"/>
          <w:sz w:val="20"/>
        </w:rPr>
        <w:t>Ottobre</w:t>
      </w:r>
      <w:r w:rsidR="007657DD">
        <w:rPr>
          <w:rFonts w:ascii="Arial Narrow" w:hAnsi="Arial Narrow" w:cs="Arial"/>
          <w:color w:val="5F5F5F"/>
          <w:sz w:val="20"/>
        </w:rPr>
        <w:t xml:space="preserve"> 2023</w:t>
      </w:r>
      <w:r w:rsidRPr="00EE5993">
        <w:rPr>
          <w:rFonts w:ascii="Arial Narrow" w:hAnsi="Arial Narrow" w:cs="Arial"/>
          <w:color w:val="5F5F5F"/>
          <w:sz w:val="20"/>
        </w:rPr>
        <w:t xml:space="preserve">, variazioni percentuali congiunturali e tendenziali e </w:t>
      </w:r>
      <w:r w:rsidR="00AF23DD" w:rsidRPr="00EE5993">
        <w:rPr>
          <w:rFonts w:ascii="Arial Narrow" w:hAnsi="Arial Narrow" w:cs="Arial"/>
          <w:color w:val="5F5F5F"/>
          <w:sz w:val="20"/>
        </w:rPr>
        <w:t xml:space="preserve">saldi in milioni di </w:t>
      </w:r>
      <w:r w:rsidR="00AF23DD" w:rsidRPr="00243B6A">
        <w:rPr>
          <w:rFonts w:ascii="Arial Narrow" w:hAnsi="Arial Narrow" w:cs="Arial"/>
          <w:color w:val="5F5F5F"/>
          <w:sz w:val="20"/>
        </w:rPr>
        <w:t>e</w:t>
      </w:r>
      <w:r w:rsidR="00CE1ED0" w:rsidRPr="00243B6A">
        <w:rPr>
          <w:rFonts w:ascii="Arial Narrow" w:hAnsi="Arial Narrow" w:cs="Arial"/>
          <w:color w:val="5F5F5F"/>
          <w:sz w:val="20"/>
        </w:rPr>
        <w:t>u</w:t>
      </w:r>
      <w:r w:rsidR="00AF23DD" w:rsidRPr="00243B6A">
        <w:rPr>
          <w:rFonts w:ascii="Arial Narrow" w:hAnsi="Arial Narrow" w:cs="Arial"/>
          <w:color w:val="5F5F5F"/>
          <w:sz w:val="20"/>
        </w:rPr>
        <w:t>ro</w:t>
      </w:r>
    </w:p>
    <w:tbl>
      <w:tblPr>
        <w:tblW w:w="10300" w:type="dxa"/>
        <w:tblInd w:w="70" w:type="dxa"/>
        <w:tblBorders>
          <w:top w:val="single" w:sz="4" w:space="0" w:color="333333"/>
          <w:bottom w:val="single" w:sz="4" w:space="0" w:color="333333"/>
          <w:insideH w:val="single" w:sz="4" w:space="0" w:color="333333"/>
        </w:tblBorders>
        <w:tblLayout w:type="fixed"/>
        <w:tblCellMar>
          <w:left w:w="70" w:type="dxa"/>
          <w:right w:w="70" w:type="dxa"/>
        </w:tblCellMar>
        <w:tblLook w:val="0000" w:firstRow="0" w:lastRow="0" w:firstColumn="0" w:lastColumn="0" w:noHBand="0" w:noVBand="0"/>
      </w:tblPr>
      <w:tblGrid>
        <w:gridCol w:w="1348"/>
        <w:gridCol w:w="709"/>
        <w:gridCol w:w="1123"/>
        <w:gridCol w:w="7"/>
        <w:gridCol w:w="629"/>
        <w:gridCol w:w="36"/>
        <w:gridCol w:w="1060"/>
        <w:gridCol w:w="7"/>
        <w:gridCol w:w="665"/>
        <w:gridCol w:w="1219"/>
        <w:gridCol w:w="7"/>
        <w:gridCol w:w="160"/>
        <w:gridCol w:w="672"/>
        <w:gridCol w:w="989"/>
        <w:gridCol w:w="7"/>
        <w:gridCol w:w="665"/>
        <w:gridCol w:w="990"/>
        <w:gridCol w:w="7"/>
      </w:tblGrid>
      <w:tr w:rsidR="00225962" w:rsidRPr="003C7722" w14:paraId="45525199" w14:textId="77777777" w:rsidTr="00A36AAE">
        <w:trPr>
          <w:gridAfter w:val="1"/>
          <w:wAfter w:w="7" w:type="dxa"/>
          <w:trHeight w:val="255"/>
        </w:trPr>
        <w:tc>
          <w:tcPr>
            <w:tcW w:w="1348" w:type="dxa"/>
            <w:vMerge w:val="restart"/>
            <w:shd w:val="clear" w:color="auto" w:fill="auto"/>
            <w:noWrap/>
            <w:vAlign w:val="center"/>
          </w:tcPr>
          <w:p w14:paraId="491419E5" w14:textId="77777777" w:rsidR="00225962" w:rsidRPr="003C7722" w:rsidRDefault="00225962" w:rsidP="00A36AAE">
            <w:pPr>
              <w:spacing w:before="40" w:after="20"/>
              <w:ind w:left="-57"/>
              <w:rPr>
                <w:rFonts w:ascii="Arial Narrow" w:hAnsi="Arial Narrow"/>
                <w:sz w:val="18"/>
                <w:szCs w:val="18"/>
              </w:rPr>
            </w:pPr>
          </w:p>
        </w:tc>
        <w:tc>
          <w:tcPr>
            <w:tcW w:w="3564" w:type="dxa"/>
            <w:gridSpan w:val="6"/>
            <w:tcBorders>
              <w:bottom w:val="single" w:sz="4" w:space="0" w:color="333333"/>
            </w:tcBorders>
            <w:shd w:val="clear" w:color="auto" w:fill="D9D9D9"/>
            <w:vAlign w:val="center"/>
          </w:tcPr>
          <w:p w14:paraId="2332365E" w14:textId="77777777" w:rsidR="00225962" w:rsidRPr="003C7722" w:rsidRDefault="00225962" w:rsidP="00A36AAE">
            <w:pPr>
              <w:tabs>
                <w:tab w:val="left" w:pos="1316"/>
              </w:tabs>
              <w:spacing w:before="40" w:after="20"/>
              <w:ind w:right="-70"/>
              <w:jc w:val="center"/>
              <w:rPr>
                <w:rFonts w:ascii="Arial Narrow" w:hAnsi="Arial Narrow"/>
                <w:sz w:val="18"/>
                <w:szCs w:val="18"/>
              </w:rPr>
            </w:pPr>
            <w:r w:rsidRPr="003C7722">
              <w:rPr>
                <w:rFonts w:ascii="Arial Narrow" w:hAnsi="Arial Narrow" w:cs="Arial"/>
                <w:b/>
                <w:sz w:val="18"/>
                <w:szCs w:val="18"/>
              </w:rPr>
              <w:t>ESPORTAZIONI</w:t>
            </w:r>
          </w:p>
        </w:tc>
        <w:tc>
          <w:tcPr>
            <w:tcW w:w="3719" w:type="dxa"/>
            <w:gridSpan w:val="7"/>
            <w:tcBorders>
              <w:bottom w:val="single" w:sz="4" w:space="0" w:color="333333"/>
            </w:tcBorders>
            <w:shd w:val="clear" w:color="auto" w:fill="auto"/>
            <w:vAlign w:val="center"/>
          </w:tcPr>
          <w:p w14:paraId="585C7543" w14:textId="77777777" w:rsidR="00225962" w:rsidRPr="003C7722" w:rsidRDefault="00225962" w:rsidP="00A36AAE">
            <w:pPr>
              <w:spacing w:before="40" w:after="20"/>
              <w:jc w:val="center"/>
              <w:rPr>
                <w:rFonts w:ascii="Arial Narrow" w:hAnsi="Arial Narrow"/>
                <w:sz w:val="18"/>
                <w:szCs w:val="18"/>
              </w:rPr>
            </w:pPr>
            <w:r w:rsidRPr="003C7722">
              <w:rPr>
                <w:rFonts w:ascii="Arial Narrow" w:hAnsi="Arial Narrow" w:cs="Arial"/>
                <w:b/>
                <w:sz w:val="18"/>
                <w:szCs w:val="18"/>
              </w:rPr>
              <w:t>IMPORTAZIONI</w:t>
            </w:r>
          </w:p>
        </w:tc>
        <w:tc>
          <w:tcPr>
            <w:tcW w:w="1662" w:type="dxa"/>
            <w:gridSpan w:val="3"/>
            <w:vMerge w:val="restart"/>
            <w:shd w:val="clear" w:color="auto" w:fill="auto"/>
            <w:vAlign w:val="center"/>
          </w:tcPr>
          <w:p w14:paraId="6E0B5F42" w14:textId="77777777" w:rsidR="00225962" w:rsidRPr="003C7722" w:rsidRDefault="00225962" w:rsidP="00A36AAE">
            <w:pPr>
              <w:spacing w:before="40" w:after="20"/>
              <w:jc w:val="center"/>
              <w:rPr>
                <w:rFonts w:ascii="Arial Narrow" w:hAnsi="Arial Narrow"/>
                <w:b/>
                <w:bCs/>
                <w:sz w:val="18"/>
                <w:szCs w:val="18"/>
              </w:rPr>
            </w:pPr>
            <w:r w:rsidRPr="003C7722">
              <w:rPr>
                <w:rFonts w:ascii="Arial Narrow" w:hAnsi="Arial Narrow"/>
                <w:b/>
                <w:bCs/>
                <w:sz w:val="18"/>
                <w:szCs w:val="18"/>
              </w:rPr>
              <w:t>SALDI</w:t>
            </w:r>
          </w:p>
        </w:tc>
      </w:tr>
      <w:tr w:rsidR="00225962" w:rsidRPr="003C7722" w14:paraId="47A7F2EB" w14:textId="77777777" w:rsidTr="00A36AAE">
        <w:trPr>
          <w:gridAfter w:val="1"/>
          <w:wAfter w:w="7" w:type="dxa"/>
          <w:trHeight w:val="255"/>
        </w:trPr>
        <w:tc>
          <w:tcPr>
            <w:tcW w:w="1348" w:type="dxa"/>
            <w:vMerge/>
            <w:shd w:val="clear" w:color="auto" w:fill="auto"/>
            <w:noWrap/>
            <w:vAlign w:val="center"/>
          </w:tcPr>
          <w:p w14:paraId="021146B5" w14:textId="77777777" w:rsidR="00225962" w:rsidRPr="003C7722" w:rsidRDefault="00225962" w:rsidP="00A36AAE">
            <w:pPr>
              <w:spacing w:before="40" w:after="20"/>
              <w:ind w:left="-57"/>
              <w:rPr>
                <w:rFonts w:ascii="Arial Narrow" w:hAnsi="Arial Narrow"/>
                <w:sz w:val="18"/>
                <w:szCs w:val="18"/>
              </w:rPr>
            </w:pPr>
          </w:p>
        </w:tc>
        <w:tc>
          <w:tcPr>
            <w:tcW w:w="1832" w:type="dxa"/>
            <w:gridSpan w:val="2"/>
            <w:tcBorders>
              <w:bottom w:val="single" w:sz="4" w:space="0" w:color="333333"/>
            </w:tcBorders>
            <w:shd w:val="clear" w:color="auto" w:fill="auto"/>
            <w:vAlign w:val="center"/>
          </w:tcPr>
          <w:p w14:paraId="6BD24559" w14:textId="77777777" w:rsidR="00225962" w:rsidRDefault="00225962" w:rsidP="00A36AAE">
            <w:pPr>
              <w:tabs>
                <w:tab w:val="left" w:pos="1316"/>
              </w:tabs>
              <w:spacing w:before="40" w:after="20"/>
              <w:ind w:right="-70"/>
              <w:jc w:val="center"/>
              <w:rPr>
                <w:rFonts w:ascii="Arial Narrow" w:hAnsi="Arial Narrow" w:cs="Arial"/>
                <w:b/>
                <w:sz w:val="18"/>
                <w:szCs w:val="18"/>
              </w:rPr>
            </w:pPr>
            <w:r w:rsidRPr="00AF23DD">
              <w:rPr>
                <w:rFonts w:ascii="Arial Narrow" w:hAnsi="Arial Narrow" w:cs="Arial"/>
                <w:b/>
                <w:sz w:val="18"/>
                <w:szCs w:val="18"/>
              </w:rPr>
              <w:t>Variazioni</w:t>
            </w:r>
          </w:p>
          <w:p w14:paraId="7CBB5EFE" w14:textId="77777777" w:rsidR="00225962" w:rsidRPr="00AF23DD" w:rsidRDefault="00225962" w:rsidP="00A36AAE">
            <w:pPr>
              <w:tabs>
                <w:tab w:val="left" w:pos="1316"/>
              </w:tabs>
              <w:spacing w:before="40" w:after="20"/>
              <w:ind w:right="-70"/>
              <w:jc w:val="center"/>
              <w:rPr>
                <w:rFonts w:ascii="Arial Narrow" w:hAnsi="Arial Narrow" w:cs="Arial"/>
                <w:b/>
                <w:sz w:val="18"/>
                <w:szCs w:val="18"/>
              </w:rPr>
            </w:pPr>
            <w:r w:rsidRPr="00AF23DD">
              <w:rPr>
                <w:rFonts w:ascii="Arial Narrow" w:hAnsi="Arial Narrow" w:cs="Arial"/>
                <w:b/>
                <w:sz w:val="18"/>
                <w:szCs w:val="18"/>
              </w:rPr>
              <w:t>congiunturali</w:t>
            </w:r>
          </w:p>
        </w:tc>
        <w:tc>
          <w:tcPr>
            <w:tcW w:w="1732" w:type="dxa"/>
            <w:gridSpan w:val="4"/>
            <w:tcBorders>
              <w:bottom w:val="single" w:sz="4" w:space="0" w:color="333333"/>
            </w:tcBorders>
            <w:shd w:val="clear" w:color="auto" w:fill="auto"/>
            <w:vAlign w:val="center"/>
          </w:tcPr>
          <w:p w14:paraId="3B382A30" w14:textId="77777777" w:rsidR="00225962" w:rsidRDefault="00225962" w:rsidP="00A36AAE">
            <w:pPr>
              <w:tabs>
                <w:tab w:val="left" w:pos="1316"/>
              </w:tabs>
              <w:spacing w:before="40"/>
              <w:ind w:right="-68"/>
              <w:jc w:val="center"/>
              <w:rPr>
                <w:rFonts w:ascii="Arial Narrow" w:hAnsi="Arial Narrow" w:cs="Arial"/>
                <w:b/>
                <w:sz w:val="18"/>
                <w:szCs w:val="18"/>
              </w:rPr>
            </w:pPr>
            <w:r w:rsidRPr="00AF23DD">
              <w:rPr>
                <w:rFonts w:ascii="Arial Narrow" w:hAnsi="Arial Narrow" w:cs="Arial"/>
                <w:b/>
                <w:sz w:val="18"/>
                <w:szCs w:val="18"/>
              </w:rPr>
              <w:t>Variazioni</w:t>
            </w:r>
          </w:p>
          <w:p w14:paraId="74B74D46" w14:textId="77777777" w:rsidR="00225962" w:rsidRPr="003C7722" w:rsidRDefault="00225962" w:rsidP="00A36AAE">
            <w:pPr>
              <w:tabs>
                <w:tab w:val="left" w:pos="1316"/>
              </w:tabs>
              <w:spacing w:before="40" w:after="20"/>
              <w:ind w:right="-70"/>
              <w:jc w:val="center"/>
              <w:rPr>
                <w:rFonts w:ascii="Arial Narrow" w:hAnsi="Arial Narrow" w:cs="Arial"/>
                <w:b/>
                <w:sz w:val="18"/>
                <w:szCs w:val="18"/>
              </w:rPr>
            </w:pPr>
            <w:r>
              <w:rPr>
                <w:rFonts w:ascii="Arial Narrow" w:hAnsi="Arial Narrow" w:cs="Arial"/>
                <w:b/>
                <w:sz w:val="18"/>
                <w:szCs w:val="18"/>
              </w:rPr>
              <w:t>tendenziali</w:t>
            </w:r>
          </w:p>
        </w:tc>
        <w:tc>
          <w:tcPr>
            <w:tcW w:w="2058" w:type="dxa"/>
            <w:gridSpan w:val="5"/>
            <w:tcBorders>
              <w:bottom w:val="single" w:sz="4" w:space="0" w:color="333333"/>
            </w:tcBorders>
            <w:shd w:val="clear" w:color="auto" w:fill="auto"/>
            <w:vAlign w:val="center"/>
          </w:tcPr>
          <w:p w14:paraId="371C6E77" w14:textId="77777777" w:rsidR="00225962" w:rsidRDefault="00225962" w:rsidP="00A36AAE">
            <w:pPr>
              <w:tabs>
                <w:tab w:val="left" w:pos="1316"/>
              </w:tabs>
              <w:spacing w:before="40" w:after="20"/>
              <w:ind w:right="-70"/>
              <w:jc w:val="center"/>
              <w:rPr>
                <w:rFonts w:ascii="Arial Narrow" w:hAnsi="Arial Narrow" w:cs="Arial"/>
                <w:b/>
                <w:sz w:val="18"/>
                <w:szCs w:val="18"/>
              </w:rPr>
            </w:pPr>
            <w:r w:rsidRPr="00AF23DD">
              <w:rPr>
                <w:rFonts w:ascii="Arial Narrow" w:hAnsi="Arial Narrow" w:cs="Arial"/>
                <w:b/>
                <w:sz w:val="18"/>
                <w:szCs w:val="18"/>
              </w:rPr>
              <w:t>Variazioni</w:t>
            </w:r>
          </w:p>
          <w:p w14:paraId="58C6A4C5" w14:textId="77777777" w:rsidR="00225962" w:rsidRPr="003C7722" w:rsidRDefault="00225962" w:rsidP="00A36AAE">
            <w:pPr>
              <w:tabs>
                <w:tab w:val="left" w:pos="1316"/>
              </w:tabs>
              <w:spacing w:before="40" w:after="20"/>
              <w:ind w:right="-70"/>
              <w:jc w:val="center"/>
              <w:rPr>
                <w:rFonts w:ascii="Arial Narrow" w:hAnsi="Arial Narrow" w:cs="Arial"/>
                <w:b/>
                <w:sz w:val="18"/>
                <w:szCs w:val="18"/>
              </w:rPr>
            </w:pPr>
            <w:r w:rsidRPr="00AF23DD">
              <w:rPr>
                <w:rFonts w:ascii="Arial Narrow" w:hAnsi="Arial Narrow" w:cs="Arial"/>
                <w:b/>
                <w:sz w:val="18"/>
                <w:szCs w:val="18"/>
              </w:rPr>
              <w:t>congiunturali</w:t>
            </w:r>
          </w:p>
        </w:tc>
        <w:tc>
          <w:tcPr>
            <w:tcW w:w="1661" w:type="dxa"/>
            <w:gridSpan w:val="2"/>
            <w:tcBorders>
              <w:bottom w:val="single" w:sz="4" w:space="0" w:color="333333"/>
            </w:tcBorders>
            <w:shd w:val="clear" w:color="auto" w:fill="auto"/>
            <w:vAlign w:val="center"/>
          </w:tcPr>
          <w:p w14:paraId="57ABF5BA" w14:textId="77777777" w:rsidR="00225962" w:rsidRDefault="00225962" w:rsidP="00A36AAE">
            <w:pPr>
              <w:tabs>
                <w:tab w:val="left" w:pos="1316"/>
              </w:tabs>
              <w:spacing w:before="40"/>
              <w:ind w:right="-68"/>
              <w:jc w:val="center"/>
              <w:rPr>
                <w:rFonts w:ascii="Arial Narrow" w:hAnsi="Arial Narrow" w:cs="Arial"/>
                <w:b/>
                <w:sz w:val="18"/>
                <w:szCs w:val="18"/>
              </w:rPr>
            </w:pPr>
            <w:r w:rsidRPr="00AF23DD">
              <w:rPr>
                <w:rFonts w:ascii="Arial Narrow" w:hAnsi="Arial Narrow" w:cs="Arial"/>
                <w:b/>
                <w:sz w:val="18"/>
                <w:szCs w:val="18"/>
              </w:rPr>
              <w:t>Variazioni</w:t>
            </w:r>
          </w:p>
          <w:p w14:paraId="7AFECA71" w14:textId="77777777" w:rsidR="00225962" w:rsidRPr="003C7722" w:rsidRDefault="00225962" w:rsidP="00A36AAE">
            <w:pPr>
              <w:tabs>
                <w:tab w:val="left" w:pos="1316"/>
              </w:tabs>
              <w:spacing w:before="40" w:after="20"/>
              <w:ind w:right="-70"/>
              <w:jc w:val="center"/>
              <w:rPr>
                <w:rFonts w:ascii="Arial Narrow" w:hAnsi="Arial Narrow" w:cs="Arial"/>
                <w:b/>
                <w:sz w:val="18"/>
                <w:szCs w:val="18"/>
              </w:rPr>
            </w:pPr>
            <w:r>
              <w:rPr>
                <w:rFonts w:ascii="Arial Narrow" w:hAnsi="Arial Narrow" w:cs="Arial"/>
                <w:b/>
                <w:sz w:val="18"/>
                <w:szCs w:val="18"/>
              </w:rPr>
              <w:t>tendenziali</w:t>
            </w:r>
          </w:p>
        </w:tc>
        <w:tc>
          <w:tcPr>
            <w:tcW w:w="1662" w:type="dxa"/>
            <w:gridSpan w:val="3"/>
            <w:vMerge/>
            <w:shd w:val="clear" w:color="auto" w:fill="auto"/>
            <w:vAlign w:val="center"/>
          </w:tcPr>
          <w:p w14:paraId="1BA94425" w14:textId="77777777" w:rsidR="00225962" w:rsidRPr="003C7722" w:rsidRDefault="00225962" w:rsidP="00A36AAE">
            <w:pPr>
              <w:spacing w:before="40" w:after="20"/>
              <w:jc w:val="center"/>
              <w:rPr>
                <w:rFonts w:ascii="Arial Narrow" w:hAnsi="Arial Narrow"/>
                <w:b/>
                <w:bCs/>
                <w:sz w:val="18"/>
                <w:szCs w:val="18"/>
              </w:rPr>
            </w:pPr>
          </w:p>
        </w:tc>
      </w:tr>
      <w:tr w:rsidR="00225962" w:rsidRPr="003C7722" w14:paraId="1C53D238" w14:textId="77777777" w:rsidTr="00A36AAE">
        <w:trPr>
          <w:gridAfter w:val="1"/>
          <w:wAfter w:w="7" w:type="dxa"/>
          <w:trHeight w:val="255"/>
        </w:trPr>
        <w:tc>
          <w:tcPr>
            <w:tcW w:w="1348" w:type="dxa"/>
            <w:vMerge/>
            <w:shd w:val="clear" w:color="auto" w:fill="auto"/>
            <w:noWrap/>
            <w:vAlign w:val="center"/>
          </w:tcPr>
          <w:p w14:paraId="111EF30C" w14:textId="77777777" w:rsidR="00225962" w:rsidRPr="003C7722" w:rsidRDefault="00225962" w:rsidP="00A36AAE">
            <w:pPr>
              <w:spacing w:before="40" w:after="20"/>
              <w:ind w:left="-57"/>
              <w:rPr>
                <w:rFonts w:ascii="Arial Narrow" w:hAnsi="Arial Narrow"/>
                <w:sz w:val="18"/>
                <w:szCs w:val="18"/>
              </w:rPr>
            </w:pPr>
          </w:p>
        </w:tc>
        <w:tc>
          <w:tcPr>
            <w:tcW w:w="1832" w:type="dxa"/>
            <w:gridSpan w:val="2"/>
            <w:shd w:val="clear" w:color="auto" w:fill="D9D9D9"/>
            <w:vAlign w:val="center"/>
          </w:tcPr>
          <w:p w14:paraId="6B5EC662" w14:textId="77777777" w:rsidR="00225962" w:rsidRPr="004C7973" w:rsidRDefault="00225962" w:rsidP="00A36AAE">
            <w:pPr>
              <w:spacing w:before="40" w:after="20"/>
              <w:ind w:right="-70"/>
              <w:jc w:val="center"/>
              <w:rPr>
                <w:rFonts w:ascii="Arial Narrow" w:hAnsi="Arial Narrow"/>
                <w:sz w:val="18"/>
                <w:szCs w:val="18"/>
              </w:rPr>
            </w:pPr>
            <w:r w:rsidRPr="004C7973">
              <w:rPr>
                <w:rFonts w:ascii="Arial Narrow" w:hAnsi="Arial Narrow"/>
                <w:sz w:val="18"/>
                <w:szCs w:val="18"/>
              </w:rPr>
              <w:t>Dati destagionalizzati</w:t>
            </w:r>
          </w:p>
        </w:tc>
        <w:tc>
          <w:tcPr>
            <w:tcW w:w="1732" w:type="dxa"/>
            <w:gridSpan w:val="4"/>
            <w:shd w:val="clear" w:color="auto" w:fill="auto"/>
            <w:vAlign w:val="center"/>
          </w:tcPr>
          <w:p w14:paraId="2DED9231" w14:textId="77777777" w:rsidR="00225962" w:rsidRPr="004C7973" w:rsidRDefault="00225962" w:rsidP="00A36AAE">
            <w:pPr>
              <w:spacing w:before="40" w:after="20"/>
              <w:ind w:right="-70"/>
              <w:jc w:val="center"/>
              <w:rPr>
                <w:rFonts w:ascii="Arial Narrow" w:hAnsi="Arial Narrow"/>
                <w:sz w:val="18"/>
                <w:szCs w:val="18"/>
              </w:rPr>
            </w:pPr>
            <w:r w:rsidRPr="004C7973">
              <w:rPr>
                <w:rFonts w:ascii="Arial Narrow" w:hAnsi="Arial Narrow"/>
                <w:sz w:val="18"/>
                <w:szCs w:val="18"/>
              </w:rPr>
              <w:t>Dati grezzi</w:t>
            </w:r>
          </w:p>
        </w:tc>
        <w:tc>
          <w:tcPr>
            <w:tcW w:w="1891" w:type="dxa"/>
            <w:gridSpan w:val="3"/>
            <w:tcBorders>
              <w:bottom w:val="single" w:sz="4" w:space="0" w:color="333333"/>
            </w:tcBorders>
            <w:shd w:val="clear" w:color="auto" w:fill="D9D9D9"/>
            <w:vAlign w:val="center"/>
          </w:tcPr>
          <w:p w14:paraId="0E0E2D8F" w14:textId="77777777" w:rsidR="00225962" w:rsidRPr="004C7973" w:rsidRDefault="00225962" w:rsidP="00A36AAE">
            <w:pPr>
              <w:spacing w:before="40" w:after="20"/>
              <w:jc w:val="center"/>
              <w:rPr>
                <w:rFonts w:ascii="Arial Narrow" w:hAnsi="Arial Narrow"/>
                <w:sz w:val="18"/>
                <w:szCs w:val="18"/>
              </w:rPr>
            </w:pPr>
            <w:r w:rsidRPr="004C7973">
              <w:rPr>
                <w:rFonts w:ascii="Arial Narrow" w:hAnsi="Arial Narrow"/>
                <w:sz w:val="18"/>
                <w:szCs w:val="18"/>
              </w:rPr>
              <w:t>Dati destagionalizzati</w:t>
            </w:r>
          </w:p>
        </w:tc>
        <w:tc>
          <w:tcPr>
            <w:tcW w:w="1828" w:type="dxa"/>
            <w:gridSpan w:val="4"/>
            <w:tcBorders>
              <w:bottom w:val="single" w:sz="4" w:space="0" w:color="333333"/>
            </w:tcBorders>
            <w:shd w:val="clear" w:color="auto" w:fill="auto"/>
            <w:noWrap/>
            <w:vAlign w:val="center"/>
          </w:tcPr>
          <w:p w14:paraId="50F66C90" w14:textId="77777777" w:rsidR="00225962" w:rsidRPr="004C7973" w:rsidRDefault="00225962" w:rsidP="00A36AAE">
            <w:pPr>
              <w:spacing w:before="40" w:after="20"/>
              <w:jc w:val="center"/>
              <w:rPr>
                <w:rFonts w:ascii="Arial Narrow" w:hAnsi="Arial Narrow"/>
                <w:sz w:val="18"/>
                <w:szCs w:val="18"/>
              </w:rPr>
            </w:pPr>
            <w:r w:rsidRPr="004C7973">
              <w:rPr>
                <w:rFonts w:ascii="Arial Narrow" w:hAnsi="Arial Narrow"/>
                <w:sz w:val="18"/>
                <w:szCs w:val="18"/>
              </w:rPr>
              <w:t>Dati grezzi</w:t>
            </w:r>
          </w:p>
        </w:tc>
        <w:tc>
          <w:tcPr>
            <w:tcW w:w="1662" w:type="dxa"/>
            <w:gridSpan w:val="3"/>
            <w:tcBorders>
              <w:bottom w:val="single" w:sz="4" w:space="0" w:color="333333"/>
            </w:tcBorders>
            <w:shd w:val="clear" w:color="auto" w:fill="D9D9D9"/>
            <w:noWrap/>
            <w:vAlign w:val="center"/>
          </w:tcPr>
          <w:p w14:paraId="18AFB133" w14:textId="77777777" w:rsidR="00225962" w:rsidRPr="004C7973" w:rsidRDefault="00225962" w:rsidP="00A36AAE">
            <w:pPr>
              <w:spacing w:before="40" w:after="20"/>
              <w:jc w:val="center"/>
              <w:rPr>
                <w:rFonts w:ascii="Arial Narrow" w:hAnsi="Arial Narrow"/>
                <w:sz w:val="18"/>
                <w:szCs w:val="18"/>
              </w:rPr>
            </w:pPr>
            <w:r w:rsidRPr="004C7973">
              <w:rPr>
                <w:rFonts w:ascii="Arial Narrow" w:hAnsi="Arial Narrow"/>
                <w:sz w:val="18"/>
                <w:szCs w:val="18"/>
              </w:rPr>
              <w:t>Dati grezzi</w:t>
            </w:r>
          </w:p>
          <w:p w14:paraId="272D9FAF" w14:textId="77777777" w:rsidR="00225962" w:rsidRPr="004C7973" w:rsidRDefault="00225962" w:rsidP="00A36AAE">
            <w:pPr>
              <w:spacing w:before="40" w:after="20"/>
              <w:jc w:val="center"/>
              <w:rPr>
                <w:rFonts w:ascii="Arial Narrow" w:hAnsi="Arial Narrow"/>
                <w:sz w:val="18"/>
                <w:szCs w:val="18"/>
              </w:rPr>
            </w:pPr>
            <w:r w:rsidRPr="004C7973">
              <w:rPr>
                <w:rFonts w:ascii="Arial Narrow" w:hAnsi="Arial Narrow"/>
                <w:sz w:val="18"/>
                <w:szCs w:val="18"/>
              </w:rPr>
              <w:t>Milioni di euro</w:t>
            </w:r>
          </w:p>
        </w:tc>
      </w:tr>
      <w:tr w:rsidR="00CD778E" w:rsidRPr="003C7722" w14:paraId="16338EE8" w14:textId="77777777" w:rsidTr="00A36AAE">
        <w:trPr>
          <w:trHeight w:val="255"/>
        </w:trPr>
        <w:tc>
          <w:tcPr>
            <w:tcW w:w="1348" w:type="dxa"/>
            <w:vMerge/>
            <w:shd w:val="clear" w:color="auto" w:fill="auto"/>
            <w:noWrap/>
            <w:vAlign w:val="center"/>
          </w:tcPr>
          <w:p w14:paraId="56B4796C" w14:textId="77777777" w:rsidR="00CD778E" w:rsidRPr="003C7722" w:rsidRDefault="00CD778E" w:rsidP="00CD778E">
            <w:pPr>
              <w:spacing w:before="40" w:after="20"/>
              <w:ind w:left="-57"/>
              <w:rPr>
                <w:rFonts w:ascii="Arial Narrow" w:hAnsi="Arial Narrow"/>
                <w:sz w:val="18"/>
                <w:szCs w:val="18"/>
              </w:rPr>
            </w:pPr>
          </w:p>
        </w:tc>
        <w:tc>
          <w:tcPr>
            <w:tcW w:w="709" w:type="dxa"/>
            <w:shd w:val="clear" w:color="auto" w:fill="auto"/>
            <w:vAlign w:val="center"/>
          </w:tcPr>
          <w:p w14:paraId="64A2FE39" w14:textId="508268C9" w:rsidR="00CD778E" w:rsidRPr="0069402A" w:rsidRDefault="00CD778E" w:rsidP="00CD778E">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 23</w:t>
            </w:r>
          </w:p>
          <w:p w14:paraId="5BFFB050" w14:textId="3FCA47EA" w:rsidR="00CD778E" w:rsidRPr="003C7722" w:rsidRDefault="00CD778E" w:rsidP="00CD778E">
            <w:pPr>
              <w:spacing w:before="40" w:after="20"/>
              <w:jc w:val="center"/>
              <w:rPr>
                <w:rFonts w:ascii="Arial Narrow" w:hAnsi="Arial Narrow"/>
                <w:sz w:val="18"/>
                <w:szCs w:val="18"/>
                <w:lang w:val="en-US"/>
              </w:rPr>
            </w:pPr>
            <w:r>
              <w:rPr>
                <w:rFonts w:ascii="Arial Narrow" w:hAnsi="Arial Narrow"/>
                <w:sz w:val="18"/>
                <w:szCs w:val="18"/>
                <w:lang w:val="en-US"/>
              </w:rPr>
              <w:t>set 23</w:t>
            </w:r>
          </w:p>
        </w:tc>
        <w:tc>
          <w:tcPr>
            <w:tcW w:w="1130" w:type="dxa"/>
            <w:gridSpan w:val="2"/>
            <w:shd w:val="clear" w:color="auto" w:fill="auto"/>
            <w:noWrap/>
            <w:vAlign w:val="center"/>
          </w:tcPr>
          <w:p w14:paraId="7B1BE492" w14:textId="5B5D3D88" w:rsidR="00CD778E" w:rsidRPr="0069402A" w:rsidRDefault="00CD778E" w:rsidP="00CD778E">
            <w:pPr>
              <w:spacing w:before="40" w:after="20"/>
              <w:jc w:val="center"/>
              <w:rPr>
                <w:rFonts w:ascii="Arial Narrow" w:hAnsi="Arial Narrow"/>
                <w:sz w:val="18"/>
                <w:szCs w:val="18"/>
                <w:u w:val="single"/>
                <w:lang w:val="en-US"/>
              </w:rPr>
            </w:pPr>
            <w:r>
              <w:rPr>
                <w:rFonts w:ascii="Arial Narrow" w:hAnsi="Arial Narrow"/>
                <w:sz w:val="18"/>
                <w:szCs w:val="18"/>
                <w:u w:val="single"/>
                <w:lang w:val="en-US"/>
              </w:rPr>
              <w:t>ago-ott 23</w:t>
            </w:r>
          </w:p>
          <w:p w14:paraId="781CAA60" w14:textId="1FF17FA3" w:rsidR="00CD778E" w:rsidRPr="003C7722" w:rsidRDefault="00CD778E" w:rsidP="00CD778E">
            <w:pPr>
              <w:spacing w:before="40" w:after="20"/>
              <w:jc w:val="center"/>
              <w:rPr>
                <w:rFonts w:ascii="Arial Narrow" w:hAnsi="Arial Narrow"/>
                <w:sz w:val="18"/>
                <w:szCs w:val="18"/>
                <w:lang w:val="en-US"/>
              </w:rPr>
            </w:pPr>
            <w:r>
              <w:rPr>
                <w:rFonts w:ascii="Arial Narrow" w:hAnsi="Arial Narrow"/>
                <w:sz w:val="18"/>
                <w:szCs w:val="18"/>
                <w:lang w:val="en-US"/>
              </w:rPr>
              <w:t>mag-lug 23</w:t>
            </w:r>
          </w:p>
        </w:tc>
        <w:tc>
          <w:tcPr>
            <w:tcW w:w="665" w:type="dxa"/>
            <w:gridSpan w:val="2"/>
            <w:shd w:val="clear" w:color="auto" w:fill="auto"/>
            <w:vAlign w:val="center"/>
          </w:tcPr>
          <w:p w14:paraId="7EC11018" w14:textId="340E228A" w:rsidR="00CD778E" w:rsidRPr="0069402A" w:rsidRDefault="00CD778E" w:rsidP="00CD778E">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 23</w:t>
            </w:r>
          </w:p>
          <w:p w14:paraId="4F936639" w14:textId="6D7E399E" w:rsidR="00CD778E" w:rsidRPr="003C7722" w:rsidRDefault="00CD778E" w:rsidP="00CD778E">
            <w:pPr>
              <w:spacing w:before="40" w:after="20"/>
              <w:jc w:val="center"/>
              <w:rPr>
                <w:rFonts w:ascii="Arial Narrow" w:hAnsi="Arial Narrow"/>
                <w:sz w:val="18"/>
                <w:szCs w:val="18"/>
                <w:lang w:val="en-US"/>
              </w:rPr>
            </w:pPr>
            <w:r>
              <w:rPr>
                <w:rFonts w:ascii="Arial Narrow" w:hAnsi="Arial Narrow"/>
                <w:sz w:val="18"/>
                <w:szCs w:val="18"/>
                <w:lang w:val="en-US"/>
              </w:rPr>
              <w:t>ott 22</w:t>
            </w:r>
          </w:p>
        </w:tc>
        <w:tc>
          <w:tcPr>
            <w:tcW w:w="1067" w:type="dxa"/>
            <w:gridSpan w:val="2"/>
            <w:shd w:val="clear" w:color="auto" w:fill="auto"/>
            <w:noWrap/>
            <w:vAlign w:val="center"/>
          </w:tcPr>
          <w:p w14:paraId="64C57C23" w14:textId="5D596E27" w:rsidR="00CD778E" w:rsidRPr="0069402A" w:rsidRDefault="00CD778E" w:rsidP="00CD778E">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gen-ott 23</w:t>
            </w:r>
          </w:p>
          <w:p w14:paraId="073825FB" w14:textId="2B90E7E3" w:rsidR="00CD778E" w:rsidRPr="003C7722" w:rsidRDefault="00CD778E" w:rsidP="00CD778E">
            <w:pPr>
              <w:spacing w:before="40" w:after="20"/>
              <w:jc w:val="center"/>
              <w:rPr>
                <w:rFonts w:ascii="Arial Narrow" w:hAnsi="Arial Narrow"/>
                <w:sz w:val="18"/>
                <w:szCs w:val="18"/>
                <w:lang w:val="en-US"/>
              </w:rPr>
            </w:pPr>
            <w:r>
              <w:rPr>
                <w:rFonts w:ascii="Arial Narrow" w:hAnsi="Arial Narrow"/>
                <w:sz w:val="18"/>
                <w:szCs w:val="18"/>
                <w:lang w:val="en-US"/>
              </w:rPr>
              <w:t>gen-ott 22</w:t>
            </w:r>
          </w:p>
        </w:tc>
        <w:tc>
          <w:tcPr>
            <w:tcW w:w="665" w:type="dxa"/>
            <w:shd w:val="clear" w:color="auto" w:fill="auto"/>
            <w:noWrap/>
            <w:vAlign w:val="center"/>
          </w:tcPr>
          <w:p w14:paraId="09D3629F" w14:textId="77777777" w:rsidR="00CD778E" w:rsidRPr="0069402A" w:rsidRDefault="00CD778E" w:rsidP="00CD778E">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 23</w:t>
            </w:r>
          </w:p>
          <w:p w14:paraId="2F11F24A" w14:textId="0D7B22E4" w:rsidR="00CD778E" w:rsidRPr="003C7722" w:rsidRDefault="00CD778E" w:rsidP="00CD778E">
            <w:pPr>
              <w:spacing w:before="40" w:after="20"/>
              <w:jc w:val="center"/>
              <w:rPr>
                <w:rFonts w:ascii="Arial Narrow" w:hAnsi="Arial Narrow"/>
                <w:sz w:val="18"/>
                <w:szCs w:val="18"/>
                <w:lang w:val="en-US"/>
              </w:rPr>
            </w:pPr>
            <w:r>
              <w:rPr>
                <w:rFonts w:ascii="Arial Narrow" w:hAnsi="Arial Narrow"/>
                <w:sz w:val="18"/>
                <w:szCs w:val="18"/>
                <w:lang w:val="en-US"/>
              </w:rPr>
              <w:t>set 23</w:t>
            </w:r>
          </w:p>
        </w:tc>
        <w:tc>
          <w:tcPr>
            <w:tcW w:w="1226" w:type="dxa"/>
            <w:gridSpan w:val="2"/>
            <w:shd w:val="clear" w:color="auto" w:fill="auto"/>
            <w:vAlign w:val="center"/>
          </w:tcPr>
          <w:p w14:paraId="4A9BC85D" w14:textId="77777777" w:rsidR="00CD778E" w:rsidRPr="0069402A" w:rsidRDefault="00CD778E" w:rsidP="00CD778E">
            <w:pPr>
              <w:spacing w:before="40" w:after="20"/>
              <w:jc w:val="center"/>
              <w:rPr>
                <w:rFonts w:ascii="Arial Narrow" w:hAnsi="Arial Narrow"/>
                <w:sz w:val="18"/>
                <w:szCs w:val="18"/>
                <w:u w:val="single"/>
                <w:lang w:val="en-US"/>
              </w:rPr>
            </w:pPr>
            <w:r>
              <w:rPr>
                <w:rFonts w:ascii="Arial Narrow" w:hAnsi="Arial Narrow"/>
                <w:sz w:val="18"/>
                <w:szCs w:val="18"/>
                <w:u w:val="single"/>
                <w:lang w:val="en-US"/>
              </w:rPr>
              <w:t>ago-ott 23</w:t>
            </w:r>
          </w:p>
          <w:p w14:paraId="428F44A3" w14:textId="55626E40" w:rsidR="00CD778E" w:rsidRPr="003C7722" w:rsidRDefault="00CD778E" w:rsidP="00CD778E">
            <w:pPr>
              <w:spacing w:before="40" w:after="20"/>
              <w:jc w:val="center"/>
              <w:rPr>
                <w:rFonts w:ascii="Arial Narrow" w:hAnsi="Arial Narrow"/>
                <w:sz w:val="18"/>
                <w:szCs w:val="18"/>
                <w:lang w:val="en-US"/>
              </w:rPr>
            </w:pPr>
            <w:r>
              <w:rPr>
                <w:rFonts w:ascii="Arial Narrow" w:hAnsi="Arial Narrow"/>
                <w:sz w:val="18"/>
                <w:szCs w:val="18"/>
                <w:lang w:val="en-US"/>
              </w:rPr>
              <w:t>mag-lug 23</w:t>
            </w:r>
          </w:p>
        </w:tc>
        <w:tc>
          <w:tcPr>
            <w:tcW w:w="832" w:type="dxa"/>
            <w:gridSpan w:val="2"/>
            <w:shd w:val="clear" w:color="auto" w:fill="auto"/>
            <w:noWrap/>
            <w:vAlign w:val="center"/>
          </w:tcPr>
          <w:p w14:paraId="1202466C" w14:textId="77777777" w:rsidR="00CD778E" w:rsidRPr="0069402A" w:rsidRDefault="00CD778E" w:rsidP="00CD778E">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 23</w:t>
            </w:r>
          </w:p>
          <w:p w14:paraId="46523D0C" w14:textId="7C545A99" w:rsidR="00CD778E" w:rsidRPr="003C7722" w:rsidRDefault="00CD778E" w:rsidP="00CD778E">
            <w:pPr>
              <w:spacing w:before="40" w:after="20"/>
              <w:jc w:val="center"/>
              <w:rPr>
                <w:rFonts w:ascii="Arial Narrow" w:hAnsi="Arial Narrow"/>
                <w:sz w:val="18"/>
                <w:szCs w:val="18"/>
                <w:lang w:val="en-US"/>
              </w:rPr>
            </w:pPr>
            <w:r>
              <w:rPr>
                <w:rFonts w:ascii="Arial Narrow" w:hAnsi="Arial Narrow"/>
                <w:sz w:val="18"/>
                <w:szCs w:val="18"/>
                <w:lang w:val="en-US"/>
              </w:rPr>
              <w:t>ott 22</w:t>
            </w:r>
          </w:p>
        </w:tc>
        <w:tc>
          <w:tcPr>
            <w:tcW w:w="996" w:type="dxa"/>
            <w:gridSpan w:val="2"/>
            <w:shd w:val="clear" w:color="auto" w:fill="auto"/>
            <w:noWrap/>
            <w:vAlign w:val="center"/>
          </w:tcPr>
          <w:p w14:paraId="55B6E37D" w14:textId="77777777" w:rsidR="00CD778E" w:rsidRPr="0069402A" w:rsidRDefault="00CD778E" w:rsidP="00CD778E">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gen-ott 23</w:t>
            </w:r>
          </w:p>
          <w:p w14:paraId="0D749FE4" w14:textId="644219A9" w:rsidR="00CD778E" w:rsidRPr="003C7722" w:rsidRDefault="00CD778E" w:rsidP="00CD778E">
            <w:pPr>
              <w:spacing w:before="40" w:after="20"/>
              <w:jc w:val="center"/>
              <w:rPr>
                <w:rFonts w:ascii="Arial Narrow" w:hAnsi="Arial Narrow"/>
                <w:sz w:val="18"/>
                <w:szCs w:val="18"/>
                <w:lang w:val="en-US"/>
              </w:rPr>
            </w:pPr>
            <w:r>
              <w:rPr>
                <w:rFonts w:ascii="Arial Narrow" w:hAnsi="Arial Narrow"/>
                <w:sz w:val="18"/>
                <w:szCs w:val="18"/>
                <w:lang w:val="en-US"/>
              </w:rPr>
              <w:t>gen-ott 22</w:t>
            </w:r>
          </w:p>
        </w:tc>
        <w:tc>
          <w:tcPr>
            <w:tcW w:w="665" w:type="dxa"/>
            <w:tcBorders>
              <w:bottom w:val="nil"/>
            </w:tcBorders>
            <w:shd w:val="clear" w:color="auto" w:fill="auto"/>
            <w:noWrap/>
            <w:vAlign w:val="center"/>
          </w:tcPr>
          <w:p w14:paraId="4E26AB0B" w14:textId="1FC09BA3" w:rsidR="00CD778E" w:rsidRPr="003C7722" w:rsidRDefault="00CD778E" w:rsidP="00CD778E">
            <w:pPr>
              <w:spacing w:before="40" w:after="20"/>
              <w:jc w:val="center"/>
              <w:rPr>
                <w:rFonts w:ascii="Arial Narrow" w:hAnsi="Arial Narrow"/>
                <w:sz w:val="18"/>
                <w:szCs w:val="18"/>
                <w:lang w:val="en-US"/>
              </w:rPr>
            </w:pPr>
            <w:r>
              <w:rPr>
                <w:rFonts w:ascii="Arial Narrow" w:hAnsi="Arial Narrow"/>
                <w:sz w:val="18"/>
                <w:szCs w:val="18"/>
                <w:lang w:val="en-US"/>
              </w:rPr>
              <w:t>ott 23</w:t>
            </w:r>
          </w:p>
        </w:tc>
        <w:tc>
          <w:tcPr>
            <w:tcW w:w="997" w:type="dxa"/>
            <w:gridSpan w:val="2"/>
            <w:shd w:val="clear" w:color="auto" w:fill="auto"/>
            <w:vAlign w:val="center"/>
          </w:tcPr>
          <w:p w14:paraId="3C7CAE32" w14:textId="5AC3B521" w:rsidR="00CD778E" w:rsidRPr="003C7722" w:rsidRDefault="00CD778E" w:rsidP="00CD778E">
            <w:pPr>
              <w:spacing w:before="40" w:after="20"/>
              <w:jc w:val="center"/>
              <w:rPr>
                <w:rFonts w:ascii="Arial Narrow" w:hAnsi="Arial Narrow"/>
                <w:sz w:val="18"/>
                <w:szCs w:val="18"/>
                <w:lang w:val="en-US"/>
              </w:rPr>
            </w:pPr>
            <w:r>
              <w:rPr>
                <w:rFonts w:ascii="Arial Narrow" w:hAnsi="Arial Narrow"/>
                <w:sz w:val="18"/>
                <w:szCs w:val="18"/>
                <w:lang w:val="en-US"/>
              </w:rPr>
              <w:t>gen-ott 23</w:t>
            </w:r>
          </w:p>
        </w:tc>
      </w:tr>
      <w:tr w:rsidR="002E7D66" w:rsidRPr="008C0651" w14:paraId="72EFB2E6" w14:textId="77777777" w:rsidTr="00A36AAE">
        <w:trPr>
          <w:trHeight w:val="255"/>
        </w:trPr>
        <w:tc>
          <w:tcPr>
            <w:tcW w:w="1348" w:type="dxa"/>
            <w:shd w:val="clear" w:color="auto" w:fill="auto"/>
            <w:noWrap/>
            <w:vAlign w:val="center"/>
          </w:tcPr>
          <w:p w14:paraId="52FE0C7B" w14:textId="77777777" w:rsidR="002E7D66" w:rsidRPr="007C052D" w:rsidRDefault="002E7D66" w:rsidP="002E7D66">
            <w:pPr>
              <w:spacing w:before="40" w:after="20"/>
              <w:rPr>
                <w:rFonts w:ascii="Arial Narrow" w:hAnsi="Arial Narrow"/>
                <w:sz w:val="18"/>
                <w:szCs w:val="18"/>
              </w:rPr>
            </w:pPr>
            <w:r w:rsidRPr="007C052D">
              <w:rPr>
                <w:rFonts w:ascii="Arial Narrow" w:hAnsi="Arial Narrow"/>
                <w:sz w:val="18"/>
                <w:szCs w:val="18"/>
              </w:rPr>
              <w:t>Paesi Ue27</w:t>
            </w:r>
          </w:p>
        </w:tc>
        <w:tc>
          <w:tcPr>
            <w:tcW w:w="709" w:type="dxa"/>
            <w:shd w:val="clear" w:color="auto" w:fill="D9D9D9"/>
            <w:vAlign w:val="bottom"/>
          </w:tcPr>
          <w:p w14:paraId="7731BF58" w14:textId="1385CF0E" w:rsidR="002E7D66" w:rsidRDefault="002E7D66" w:rsidP="002E7D66">
            <w:pPr>
              <w:jc w:val="center"/>
              <w:rPr>
                <w:rFonts w:ascii="Arial Narrow" w:hAnsi="Arial Narrow"/>
                <w:sz w:val="18"/>
                <w:szCs w:val="18"/>
              </w:rPr>
            </w:pPr>
            <w:r>
              <w:rPr>
                <w:rFonts w:ascii="Arial Narrow" w:hAnsi="Arial Narrow"/>
                <w:sz w:val="18"/>
                <w:szCs w:val="18"/>
              </w:rPr>
              <w:t>+1,4</w:t>
            </w:r>
          </w:p>
        </w:tc>
        <w:tc>
          <w:tcPr>
            <w:tcW w:w="1130" w:type="dxa"/>
            <w:gridSpan w:val="2"/>
            <w:shd w:val="clear" w:color="auto" w:fill="D9D9D9"/>
            <w:noWrap/>
            <w:vAlign w:val="bottom"/>
          </w:tcPr>
          <w:p w14:paraId="4A868C0D" w14:textId="32A1327C" w:rsidR="002E7D66" w:rsidRDefault="002E7D66" w:rsidP="002E7D66">
            <w:pPr>
              <w:jc w:val="center"/>
              <w:rPr>
                <w:rFonts w:ascii="Arial Narrow" w:hAnsi="Arial Narrow"/>
                <w:sz w:val="18"/>
                <w:szCs w:val="18"/>
              </w:rPr>
            </w:pPr>
            <w:r>
              <w:rPr>
                <w:rFonts w:ascii="Arial Narrow" w:hAnsi="Arial Narrow"/>
                <w:sz w:val="18"/>
                <w:szCs w:val="18"/>
              </w:rPr>
              <w:t>+1,8</w:t>
            </w:r>
          </w:p>
        </w:tc>
        <w:tc>
          <w:tcPr>
            <w:tcW w:w="629" w:type="dxa"/>
            <w:vAlign w:val="bottom"/>
          </w:tcPr>
          <w:p w14:paraId="26B7BCF2" w14:textId="2C5D3CB2" w:rsidR="002E7D66" w:rsidRDefault="002E7D66" w:rsidP="002E7D66">
            <w:pPr>
              <w:jc w:val="center"/>
              <w:rPr>
                <w:rFonts w:ascii="Arial Narrow" w:hAnsi="Arial Narrow"/>
                <w:sz w:val="18"/>
                <w:szCs w:val="18"/>
              </w:rPr>
            </w:pPr>
            <w:r>
              <w:rPr>
                <w:rFonts w:ascii="Arial Narrow" w:hAnsi="Arial Narrow"/>
                <w:sz w:val="18"/>
                <w:szCs w:val="18"/>
              </w:rPr>
              <w:t>-2,6</w:t>
            </w:r>
          </w:p>
        </w:tc>
        <w:tc>
          <w:tcPr>
            <w:tcW w:w="1103" w:type="dxa"/>
            <w:gridSpan w:val="3"/>
            <w:shd w:val="clear" w:color="auto" w:fill="auto"/>
            <w:noWrap/>
            <w:vAlign w:val="bottom"/>
          </w:tcPr>
          <w:p w14:paraId="71D84ACE" w14:textId="42F186C8" w:rsidR="002E7D66" w:rsidRDefault="002E7D66" w:rsidP="002E7D66">
            <w:pPr>
              <w:jc w:val="center"/>
              <w:rPr>
                <w:rFonts w:ascii="Arial Narrow" w:hAnsi="Arial Narrow"/>
                <w:sz w:val="18"/>
                <w:szCs w:val="18"/>
              </w:rPr>
            </w:pPr>
            <w:r>
              <w:rPr>
                <w:rFonts w:ascii="Arial Narrow" w:hAnsi="Arial Narrow"/>
                <w:sz w:val="18"/>
                <w:szCs w:val="18"/>
              </w:rPr>
              <w:t>-1,4</w:t>
            </w:r>
          </w:p>
        </w:tc>
        <w:tc>
          <w:tcPr>
            <w:tcW w:w="665" w:type="dxa"/>
            <w:shd w:val="clear" w:color="auto" w:fill="D9D9D9"/>
            <w:noWrap/>
            <w:vAlign w:val="bottom"/>
          </w:tcPr>
          <w:p w14:paraId="11BAB833" w14:textId="2B56BD3F" w:rsidR="002E7D66" w:rsidRDefault="002E7D66" w:rsidP="002E7D66">
            <w:pPr>
              <w:jc w:val="center"/>
              <w:rPr>
                <w:rFonts w:ascii="Arial Narrow" w:hAnsi="Arial Narrow"/>
                <w:sz w:val="18"/>
                <w:szCs w:val="18"/>
              </w:rPr>
            </w:pPr>
            <w:r>
              <w:rPr>
                <w:rFonts w:ascii="Arial Narrow" w:hAnsi="Arial Narrow"/>
                <w:sz w:val="18"/>
                <w:szCs w:val="18"/>
              </w:rPr>
              <w:t>+2,4</w:t>
            </w:r>
          </w:p>
        </w:tc>
        <w:tc>
          <w:tcPr>
            <w:tcW w:w="1226" w:type="dxa"/>
            <w:gridSpan w:val="2"/>
            <w:shd w:val="clear" w:color="auto" w:fill="D9D9D9"/>
            <w:vAlign w:val="bottom"/>
          </w:tcPr>
          <w:p w14:paraId="43393DA4" w14:textId="518E1E86" w:rsidR="002E7D66" w:rsidRDefault="002E7D66" w:rsidP="002E7D66">
            <w:pPr>
              <w:jc w:val="center"/>
              <w:rPr>
                <w:rFonts w:ascii="Arial Narrow" w:hAnsi="Arial Narrow"/>
                <w:sz w:val="18"/>
                <w:szCs w:val="18"/>
              </w:rPr>
            </w:pPr>
            <w:r>
              <w:rPr>
                <w:rFonts w:ascii="Arial Narrow" w:hAnsi="Arial Narrow"/>
                <w:sz w:val="18"/>
                <w:szCs w:val="18"/>
              </w:rPr>
              <w:t>-0,2</w:t>
            </w:r>
          </w:p>
        </w:tc>
        <w:tc>
          <w:tcPr>
            <w:tcW w:w="832" w:type="dxa"/>
            <w:gridSpan w:val="2"/>
            <w:shd w:val="clear" w:color="auto" w:fill="auto"/>
            <w:noWrap/>
            <w:vAlign w:val="bottom"/>
          </w:tcPr>
          <w:p w14:paraId="05FE9080" w14:textId="2EEA9237" w:rsidR="002E7D66" w:rsidRDefault="002E7D66" w:rsidP="002E7D66">
            <w:pPr>
              <w:jc w:val="center"/>
              <w:rPr>
                <w:rFonts w:ascii="Arial Narrow" w:hAnsi="Arial Narrow"/>
                <w:sz w:val="18"/>
                <w:szCs w:val="18"/>
              </w:rPr>
            </w:pPr>
            <w:r>
              <w:rPr>
                <w:rFonts w:ascii="Arial Narrow" w:hAnsi="Arial Narrow"/>
                <w:sz w:val="18"/>
                <w:szCs w:val="18"/>
              </w:rPr>
              <w:t>-0,3</w:t>
            </w:r>
          </w:p>
        </w:tc>
        <w:tc>
          <w:tcPr>
            <w:tcW w:w="996" w:type="dxa"/>
            <w:gridSpan w:val="2"/>
            <w:shd w:val="clear" w:color="auto" w:fill="auto"/>
            <w:noWrap/>
            <w:vAlign w:val="bottom"/>
          </w:tcPr>
          <w:p w14:paraId="11FA42C3" w14:textId="0416D3E6" w:rsidR="002E7D66" w:rsidRDefault="002E7D66" w:rsidP="002E7D66">
            <w:pPr>
              <w:jc w:val="center"/>
              <w:rPr>
                <w:rFonts w:ascii="Arial Narrow" w:hAnsi="Arial Narrow"/>
                <w:sz w:val="18"/>
                <w:szCs w:val="18"/>
              </w:rPr>
            </w:pPr>
            <w:r>
              <w:rPr>
                <w:rFonts w:ascii="Arial Narrow" w:hAnsi="Arial Narrow"/>
                <w:sz w:val="18"/>
                <w:szCs w:val="18"/>
              </w:rPr>
              <w:t>+0,3</w:t>
            </w:r>
          </w:p>
        </w:tc>
        <w:tc>
          <w:tcPr>
            <w:tcW w:w="665" w:type="dxa"/>
            <w:shd w:val="clear" w:color="auto" w:fill="D9D9D9"/>
            <w:noWrap/>
            <w:vAlign w:val="bottom"/>
          </w:tcPr>
          <w:p w14:paraId="48DFF886" w14:textId="76BE602A" w:rsidR="002E7D66" w:rsidRDefault="002E7D66" w:rsidP="002E7D66">
            <w:pPr>
              <w:jc w:val="center"/>
              <w:rPr>
                <w:rFonts w:ascii="Arial Narrow" w:hAnsi="Arial Narrow"/>
                <w:sz w:val="18"/>
                <w:szCs w:val="18"/>
              </w:rPr>
            </w:pPr>
            <w:r>
              <w:rPr>
                <w:rFonts w:ascii="Arial Narrow" w:hAnsi="Arial Narrow"/>
                <w:sz w:val="18"/>
                <w:szCs w:val="18"/>
              </w:rPr>
              <w:t>-684</w:t>
            </w:r>
          </w:p>
        </w:tc>
        <w:tc>
          <w:tcPr>
            <w:tcW w:w="997" w:type="dxa"/>
            <w:gridSpan w:val="2"/>
            <w:shd w:val="clear" w:color="auto" w:fill="D9D9D9"/>
            <w:vAlign w:val="bottom"/>
          </w:tcPr>
          <w:p w14:paraId="534E03AC" w14:textId="3451B9FF" w:rsidR="002E7D66" w:rsidRDefault="002E7D66" w:rsidP="002E7D66">
            <w:pPr>
              <w:jc w:val="center"/>
              <w:rPr>
                <w:rFonts w:ascii="Arial Narrow" w:hAnsi="Arial Narrow"/>
                <w:sz w:val="18"/>
                <w:szCs w:val="18"/>
              </w:rPr>
            </w:pPr>
            <w:r>
              <w:rPr>
                <w:rFonts w:ascii="Arial Narrow" w:hAnsi="Arial Narrow"/>
                <w:sz w:val="18"/>
                <w:szCs w:val="18"/>
              </w:rPr>
              <w:t>-9.118</w:t>
            </w:r>
          </w:p>
        </w:tc>
      </w:tr>
      <w:tr w:rsidR="002E7D66" w:rsidRPr="008C0651" w14:paraId="754B8F4A" w14:textId="77777777" w:rsidTr="00A36AAE">
        <w:trPr>
          <w:trHeight w:val="255"/>
        </w:trPr>
        <w:tc>
          <w:tcPr>
            <w:tcW w:w="1348" w:type="dxa"/>
            <w:shd w:val="clear" w:color="auto" w:fill="auto"/>
            <w:noWrap/>
            <w:vAlign w:val="center"/>
          </w:tcPr>
          <w:p w14:paraId="70AF2474" w14:textId="77777777" w:rsidR="002E7D66" w:rsidRPr="007C052D" w:rsidRDefault="002E7D66" w:rsidP="002E7D66">
            <w:pPr>
              <w:spacing w:before="40" w:after="20"/>
              <w:rPr>
                <w:rFonts w:ascii="Arial Narrow" w:hAnsi="Arial Narrow"/>
                <w:sz w:val="18"/>
                <w:szCs w:val="18"/>
              </w:rPr>
            </w:pPr>
            <w:r w:rsidRPr="007C052D">
              <w:rPr>
                <w:rFonts w:ascii="Arial Narrow" w:hAnsi="Arial Narrow"/>
                <w:sz w:val="18"/>
                <w:szCs w:val="18"/>
              </w:rPr>
              <w:t>Paesi extra Ue27</w:t>
            </w:r>
          </w:p>
        </w:tc>
        <w:tc>
          <w:tcPr>
            <w:tcW w:w="709" w:type="dxa"/>
            <w:shd w:val="clear" w:color="auto" w:fill="D9D9D9"/>
            <w:vAlign w:val="bottom"/>
          </w:tcPr>
          <w:p w14:paraId="0A165C92" w14:textId="0246D0F0" w:rsidR="002E7D66" w:rsidRDefault="002E7D66" w:rsidP="002E7D66">
            <w:pPr>
              <w:jc w:val="center"/>
              <w:rPr>
                <w:rFonts w:ascii="Arial Narrow" w:hAnsi="Arial Narrow"/>
                <w:sz w:val="18"/>
                <w:szCs w:val="18"/>
              </w:rPr>
            </w:pPr>
            <w:r>
              <w:rPr>
                <w:rFonts w:ascii="Arial Narrow" w:hAnsi="Arial Narrow"/>
                <w:sz w:val="18"/>
                <w:szCs w:val="18"/>
              </w:rPr>
              <w:t>+6,5</w:t>
            </w:r>
          </w:p>
        </w:tc>
        <w:tc>
          <w:tcPr>
            <w:tcW w:w="1130" w:type="dxa"/>
            <w:gridSpan w:val="2"/>
            <w:shd w:val="clear" w:color="auto" w:fill="D9D9D9"/>
            <w:noWrap/>
            <w:vAlign w:val="bottom"/>
          </w:tcPr>
          <w:p w14:paraId="16EA0C35" w14:textId="74CC4DDA" w:rsidR="002E7D66" w:rsidRDefault="002E7D66" w:rsidP="002E7D66">
            <w:pPr>
              <w:jc w:val="center"/>
              <w:rPr>
                <w:rFonts w:ascii="Arial Narrow" w:hAnsi="Arial Narrow"/>
                <w:sz w:val="18"/>
                <w:szCs w:val="18"/>
              </w:rPr>
            </w:pPr>
            <w:r>
              <w:rPr>
                <w:rFonts w:ascii="Arial Narrow" w:hAnsi="Arial Narrow"/>
                <w:sz w:val="18"/>
                <w:szCs w:val="18"/>
              </w:rPr>
              <w:t>+3,0</w:t>
            </w:r>
          </w:p>
        </w:tc>
        <w:tc>
          <w:tcPr>
            <w:tcW w:w="629" w:type="dxa"/>
            <w:vAlign w:val="bottom"/>
          </w:tcPr>
          <w:p w14:paraId="2BE30574" w14:textId="3FA9DF8B" w:rsidR="002E7D66" w:rsidRDefault="002E7D66" w:rsidP="002E7D66">
            <w:pPr>
              <w:jc w:val="center"/>
              <w:rPr>
                <w:rFonts w:ascii="Arial Narrow" w:hAnsi="Arial Narrow"/>
                <w:sz w:val="18"/>
                <w:szCs w:val="18"/>
              </w:rPr>
            </w:pPr>
            <w:r>
              <w:rPr>
                <w:rFonts w:ascii="Arial Narrow" w:hAnsi="Arial Narrow"/>
                <w:sz w:val="18"/>
                <w:szCs w:val="18"/>
              </w:rPr>
              <w:t>+9,4</w:t>
            </w:r>
          </w:p>
        </w:tc>
        <w:tc>
          <w:tcPr>
            <w:tcW w:w="1103" w:type="dxa"/>
            <w:gridSpan w:val="3"/>
            <w:shd w:val="clear" w:color="auto" w:fill="auto"/>
            <w:noWrap/>
            <w:vAlign w:val="bottom"/>
          </w:tcPr>
          <w:p w14:paraId="3F54EF75" w14:textId="3A448369" w:rsidR="002E7D66" w:rsidRDefault="002E7D66" w:rsidP="002E7D66">
            <w:pPr>
              <w:jc w:val="center"/>
              <w:rPr>
                <w:rFonts w:ascii="Arial Narrow" w:hAnsi="Arial Narrow"/>
                <w:sz w:val="18"/>
                <w:szCs w:val="18"/>
              </w:rPr>
            </w:pPr>
            <w:r>
              <w:rPr>
                <w:rFonts w:ascii="Arial Narrow" w:hAnsi="Arial Narrow"/>
                <w:sz w:val="18"/>
                <w:szCs w:val="18"/>
              </w:rPr>
              <w:t>+4,3</w:t>
            </w:r>
          </w:p>
        </w:tc>
        <w:tc>
          <w:tcPr>
            <w:tcW w:w="665" w:type="dxa"/>
            <w:shd w:val="clear" w:color="auto" w:fill="D9D9D9"/>
            <w:noWrap/>
            <w:vAlign w:val="bottom"/>
          </w:tcPr>
          <w:p w14:paraId="38733DD0" w14:textId="43209DA2" w:rsidR="002E7D66" w:rsidRDefault="002E7D66" w:rsidP="002E7D66">
            <w:pPr>
              <w:jc w:val="center"/>
              <w:rPr>
                <w:rFonts w:ascii="Arial Narrow" w:hAnsi="Arial Narrow"/>
                <w:sz w:val="18"/>
                <w:szCs w:val="18"/>
              </w:rPr>
            </w:pPr>
            <w:r>
              <w:rPr>
                <w:rFonts w:ascii="Arial Narrow" w:hAnsi="Arial Narrow"/>
                <w:sz w:val="18"/>
                <w:szCs w:val="18"/>
              </w:rPr>
              <w:t>+3,2</w:t>
            </w:r>
          </w:p>
        </w:tc>
        <w:tc>
          <w:tcPr>
            <w:tcW w:w="1226" w:type="dxa"/>
            <w:gridSpan w:val="2"/>
            <w:shd w:val="clear" w:color="auto" w:fill="D9D9D9"/>
            <w:vAlign w:val="bottom"/>
          </w:tcPr>
          <w:p w14:paraId="38171407" w14:textId="67A8A8CC" w:rsidR="002E7D66" w:rsidRDefault="002E7D66" w:rsidP="002E7D66">
            <w:pPr>
              <w:jc w:val="center"/>
              <w:rPr>
                <w:rFonts w:ascii="Arial Narrow" w:hAnsi="Arial Narrow"/>
                <w:sz w:val="18"/>
                <w:szCs w:val="18"/>
              </w:rPr>
            </w:pPr>
            <w:r>
              <w:rPr>
                <w:rFonts w:ascii="Arial Narrow" w:hAnsi="Arial Narrow"/>
                <w:sz w:val="18"/>
                <w:szCs w:val="18"/>
              </w:rPr>
              <w:t>+1,3</w:t>
            </w:r>
          </w:p>
        </w:tc>
        <w:tc>
          <w:tcPr>
            <w:tcW w:w="832" w:type="dxa"/>
            <w:gridSpan w:val="2"/>
            <w:shd w:val="clear" w:color="auto" w:fill="auto"/>
            <w:noWrap/>
            <w:vAlign w:val="bottom"/>
          </w:tcPr>
          <w:p w14:paraId="6868249C" w14:textId="2CA033B1" w:rsidR="002E7D66" w:rsidRDefault="002E7D66" w:rsidP="002E7D66">
            <w:pPr>
              <w:jc w:val="center"/>
              <w:rPr>
                <w:rFonts w:ascii="Arial Narrow" w:hAnsi="Arial Narrow"/>
                <w:sz w:val="18"/>
                <w:szCs w:val="18"/>
              </w:rPr>
            </w:pPr>
            <w:r>
              <w:rPr>
                <w:rFonts w:ascii="Arial Narrow" w:hAnsi="Arial Narrow"/>
                <w:sz w:val="18"/>
                <w:szCs w:val="18"/>
              </w:rPr>
              <w:t>-18,6</w:t>
            </w:r>
          </w:p>
        </w:tc>
        <w:tc>
          <w:tcPr>
            <w:tcW w:w="996" w:type="dxa"/>
            <w:gridSpan w:val="2"/>
            <w:shd w:val="clear" w:color="auto" w:fill="auto"/>
            <w:noWrap/>
            <w:vAlign w:val="bottom"/>
          </w:tcPr>
          <w:p w14:paraId="7E516D3A" w14:textId="291B4F46" w:rsidR="002E7D66" w:rsidRDefault="002E7D66" w:rsidP="002E7D66">
            <w:pPr>
              <w:jc w:val="center"/>
              <w:rPr>
                <w:rFonts w:ascii="Arial Narrow" w:hAnsi="Arial Narrow"/>
                <w:sz w:val="18"/>
                <w:szCs w:val="18"/>
              </w:rPr>
            </w:pPr>
            <w:r>
              <w:rPr>
                <w:rFonts w:ascii="Arial Narrow" w:hAnsi="Arial Narrow"/>
                <w:sz w:val="18"/>
                <w:szCs w:val="18"/>
              </w:rPr>
              <w:t>-20,4</w:t>
            </w:r>
          </w:p>
        </w:tc>
        <w:tc>
          <w:tcPr>
            <w:tcW w:w="665" w:type="dxa"/>
            <w:shd w:val="clear" w:color="auto" w:fill="D9D9D9"/>
            <w:noWrap/>
            <w:vAlign w:val="bottom"/>
          </w:tcPr>
          <w:p w14:paraId="14D8543E" w14:textId="491A97EE" w:rsidR="002E7D66" w:rsidRDefault="002E7D66" w:rsidP="002E7D66">
            <w:pPr>
              <w:jc w:val="center"/>
              <w:rPr>
                <w:rFonts w:ascii="Arial Narrow" w:hAnsi="Arial Narrow"/>
                <w:sz w:val="18"/>
                <w:szCs w:val="18"/>
              </w:rPr>
            </w:pPr>
            <w:r>
              <w:rPr>
                <w:rFonts w:ascii="Arial Narrow" w:hAnsi="Arial Narrow"/>
                <w:sz w:val="18"/>
                <w:szCs w:val="18"/>
              </w:rPr>
              <w:t>+5.383</w:t>
            </w:r>
          </w:p>
        </w:tc>
        <w:tc>
          <w:tcPr>
            <w:tcW w:w="997" w:type="dxa"/>
            <w:gridSpan w:val="2"/>
            <w:shd w:val="clear" w:color="auto" w:fill="D9D9D9"/>
            <w:vAlign w:val="bottom"/>
          </w:tcPr>
          <w:p w14:paraId="4A247FE7" w14:textId="5F5B6244" w:rsidR="002E7D66" w:rsidRDefault="002E7D66" w:rsidP="002E7D66">
            <w:pPr>
              <w:jc w:val="center"/>
              <w:rPr>
                <w:rFonts w:ascii="Arial Narrow" w:hAnsi="Arial Narrow"/>
                <w:sz w:val="18"/>
                <w:szCs w:val="18"/>
              </w:rPr>
            </w:pPr>
            <w:r>
              <w:rPr>
                <w:rFonts w:ascii="Arial Narrow" w:hAnsi="Arial Narrow"/>
                <w:sz w:val="18"/>
                <w:szCs w:val="18"/>
              </w:rPr>
              <w:t>+34.047</w:t>
            </w:r>
          </w:p>
        </w:tc>
      </w:tr>
      <w:tr w:rsidR="002E7D66" w:rsidRPr="008C0651" w14:paraId="17F9F745" w14:textId="77777777" w:rsidTr="00A36AAE">
        <w:trPr>
          <w:trHeight w:val="255"/>
        </w:trPr>
        <w:tc>
          <w:tcPr>
            <w:tcW w:w="1348" w:type="dxa"/>
            <w:shd w:val="clear" w:color="auto" w:fill="auto"/>
            <w:noWrap/>
            <w:vAlign w:val="center"/>
          </w:tcPr>
          <w:p w14:paraId="6EC509EF" w14:textId="77777777" w:rsidR="002E7D66" w:rsidRPr="003C7722" w:rsidRDefault="002E7D66" w:rsidP="002E7D66">
            <w:pPr>
              <w:spacing w:before="40" w:after="20"/>
              <w:rPr>
                <w:rFonts w:ascii="Arial Narrow" w:hAnsi="Arial Narrow"/>
                <w:sz w:val="18"/>
                <w:szCs w:val="18"/>
              </w:rPr>
            </w:pPr>
            <w:r w:rsidRPr="003C7722">
              <w:rPr>
                <w:rFonts w:ascii="Arial Narrow" w:hAnsi="Arial Narrow"/>
                <w:sz w:val="18"/>
                <w:szCs w:val="18"/>
              </w:rPr>
              <w:t>Mondo</w:t>
            </w:r>
          </w:p>
        </w:tc>
        <w:tc>
          <w:tcPr>
            <w:tcW w:w="709" w:type="dxa"/>
            <w:shd w:val="clear" w:color="auto" w:fill="D9D9D9"/>
            <w:vAlign w:val="bottom"/>
          </w:tcPr>
          <w:p w14:paraId="181B0000" w14:textId="52107A6D" w:rsidR="002E7D66" w:rsidRDefault="002E7D66" w:rsidP="002E7D66">
            <w:pPr>
              <w:jc w:val="center"/>
              <w:rPr>
                <w:rFonts w:ascii="Arial Narrow" w:hAnsi="Arial Narrow"/>
                <w:sz w:val="18"/>
                <w:szCs w:val="18"/>
              </w:rPr>
            </w:pPr>
            <w:r>
              <w:rPr>
                <w:rFonts w:ascii="Arial Narrow" w:hAnsi="Arial Narrow"/>
                <w:sz w:val="18"/>
                <w:szCs w:val="18"/>
              </w:rPr>
              <w:t>+3,8</w:t>
            </w:r>
          </w:p>
        </w:tc>
        <w:tc>
          <w:tcPr>
            <w:tcW w:w="1130" w:type="dxa"/>
            <w:gridSpan w:val="2"/>
            <w:shd w:val="clear" w:color="auto" w:fill="D9D9D9"/>
            <w:noWrap/>
            <w:vAlign w:val="bottom"/>
          </w:tcPr>
          <w:p w14:paraId="5EDBC24F" w14:textId="69DE69E8" w:rsidR="002E7D66" w:rsidRDefault="002E7D66" w:rsidP="002E7D66">
            <w:pPr>
              <w:jc w:val="center"/>
              <w:rPr>
                <w:rFonts w:ascii="Arial Narrow" w:hAnsi="Arial Narrow"/>
                <w:sz w:val="18"/>
                <w:szCs w:val="18"/>
              </w:rPr>
            </w:pPr>
            <w:r>
              <w:rPr>
                <w:rFonts w:ascii="Arial Narrow" w:hAnsi="Arial Narrow"/>
                <w:sz w:val="18"/>
                <w:szCs w:val="18"/>
              </w:rPr>
              <w:t>+2,4</w:t>
            </w:r>
          </w:p>
        </w:tc>
        <w:tc>
          <w:tcPr>
            <w:tcW w:w="629" w:type="dxa"/>
            <w:vAlign w:val="bottom"/>
          </w:tcPr>
          <w:p w14:paraId="2FBA4763" w14:textId="3BA8D7E0" w:rsidR="002E7D66" w:rsidRDefault="002E7D66" w:rsidP="002E7D66">
            <w:pPr>
              <w:jc w:val="center"/>
              <w:rPr>
                <w:rFonts w:ascii="Arial Narrow" w:hAnsi="Arial Narrow"/>
                <w:sz w:val="18"/>
                <w:szCs w:val="18"/>
              </w:rPr>
            </w:pPr>
            <w:r>
              <w:rPr>
                <w:rFonts w:ascii="Arial Narrow" w:hAnsi="Arial Narrow"/>
                <w:sz w:val="18"/>
                <w:szCs w:val="18"/>
              </w:rPr>
              <w:t>+3,0</w:t>
            </w:r>
          </w:p>
        </w:tc>
        <w:tc>
          <w:tcPr>
            <w:tcW w:w="1103" w:type="dxa"/>
            <w:gridSpan w:val="3"/>
            <w:shd w:val="clear" w:color="auto" w:fill="auto"/>
            <w:noWrap/>
            <w:vAlign w:val="bottom"/>
          </w:tcPr>
          <w:p w14:paraId="18517004" w14:textId="469E37F6" w:rsidR="002E7D66" w:rsidRDefault="002E7D66" w:rsidP="002E7D66">
            <w:pPr>
              <w:jc w:val="center"/>
              <w:rPr>
                <w:rFonts w:ascii="Arial Narrow" w:hAnsi="Arial Narrow"/>
                <w:sz w:val="18"/>
                <w:szCs w:val="18"/>
              </w:rPr>
            </w:pPr>
            <w:r>
              <w:rPr>
                <w:rFonts w:ascii="Arial Narrow" w:hAnsi="Arial Narrow"/>
                <w:sz w:val="18"/>
                <w:szCs w:val="18"/>
              </w:rPr>
              <w:t>+1,2</w:t>
            </w:r>
          </w:p>
        </w:tc>
        <w:tc>
          <w:tcPr>
            <w:tcW w:w="665" w:type="dxa"/>
            <w:shd w:val="clear" w:color="auto" w:fill="D9D9D9"/>
            <w:noWrap/>
            <w:vAlign w:val="bottom"/>
          </w:tcPr>
          <w:p w14:paraId="07431522" w14:textId="28A39B99" w:rsidR="002E7D66" w:rsidRDefault="002E7D66" w:rsidP="002E7D66">
            <w:pPr>
              <w:jc w:val="center"/>
              <w:rPr>
                <w:rFonts w:ascii="Arial Narrow" w:hAnsi="Arial Narrow"/>
                <w:sz w:val="18"/>
                <w:szCs w:val="18"/>
              </w:rPr>
            </w:pPr>
            <w:r>
              <w:rPr>
                <w:rFonts w:ascii="Arial Narrow" w:hAnsi="Arial Narrow"/>
                <w:sz w:val="18"/>
                <w:szCs w:val="18"/>
              </w:rPr>
              <w:t>+2,8</w:t>
            </w:r>
          </w:p>
        </w:tc>
        <w:tc>
          <w:tcPr>
            <w:tcW w:w="1226" w:type="dxa"/>
            <w:gridSpan w:val="2"/>
            <w:shd w:val="clear" w:color="auto" w:fill="D9D9D9"/>
            <w:vAlign w:val="bottom"/>
          </w:tcPr>
          <w:p w14:paraId="338E7E5D" w14:textId="1B3419CF" w:rsidR="002E7D66" w:rsidRDefault="002E7D66" w:rsidP="002E7D66">
            <w:pPr>
              <w:jc w:val="center"/>
              <w:rPr>
                <w:rFonts w:ascii="Arial Narrow" w:hAnsi="Arial Narrow"/>
                <w:sz w:val="18"/>
                <w:szCs w:val="18"/>
              </w:rPr>
            </w:pPr>
            <w:r>
              <w:rPr>
                <w:rFonts w:ascii="Arial Narrow" w:hAnsi="Arial Narrow"/>
                <w:sz w:val="18"/>
                <w:szCs w:val="18"/>
              </w:rPr>
              <w:t>+0,5</w:t>
            </w:r>
          </w:p>
        </w:tc>
        <w:tc>
          <w:tcPr>
            <w:tcW w:w="832" w:type="dxa"/>
            <w:gridSpan w:val="2"/>
            <w:shd w:val="clear" w:color="auto" w:fill="auto"/>
            <w:noWrap/>
            <w:vAlign w:val="bottom"/>
          </w:tcPr>
          <w:p w14:paraId="7C92746C" w14:textId="729DE188" w:rsidR="002E7D66" w:rsidRDefault="002E7D66" w:rsidP="002E7D66">
            <w:pPr>
              <w:jc w:val="center"/>
              <w:rPr>
                <w:rFonts w:ascii="Arial Narrow" w:hAnsi="Arial Narrow"/>
                <w:sz w:val="18"/>
                <w:szCs w:val="18"/>
              </w:rPr>
            </w:pPr>
            <w:r>
              <w:rPr>
                <w:rFonts w:ascii="Arial Narrow" w:hAnsi="Arial Narrow"/>
                <w:sz w:val="18"/>
                <w:szCs w:val="18"/>
              </w:rPr>
              <w:t>-9,2</w:t>
            </w:r>
          </w:p>
        </w:tc>
        <w:tc>
          <w:tcPr>
            <w:tcW w:w="996" w:type="dxa"/>
            <w:gridSpan w:val="2"/>
            <w:shd w:val="clear" w:color="auto" w:fill="auto"/>
            <w:noWrap/>
            <w:vAlign w:val="bottom"/>
          </w:tcPr>
          <w:p w14:paraId="19894DBF" w14:textId="552AAA86" w:rsidR="002E7D66" w:rsidRDefault="002E7D66" w:rsidP="002E7D66">
            <w:pPr>
              <w:jc w:val="center"/>
              <w:rPr>
                <w:rFonts w:ascii="Arial Narrow" w:hAnsi="Arial Narrow"/>
                <w:sz w:val="18"/>
                <w:szCs w:val="18"/>
              </w:rPr>
            </w:pPr>
            <w:r>
              <w:rPr>
                <w:rFonts w:ascii="Arial Narrow" w:hAnsi="Arial Narrow"/>
                <w:sz w:val="18"/>
                <w:szCs w:val="18"/>
              </w:rPr>
              <w:t>-9,9</w:t>
            </w:r>
          </w:p>
        </w:tc>
        <w:tc>
          <w:tcPr>
            <w:tcW w:w="665" w:type="dxa"/>
            <w:shd w:val="clear" w:color="auto" w:fill="D9D9D9"/>
            <w:noWrap/>
            <w:vAlign w:val="bottom"/>
          </w:tcPr>
          <w:p w14:paraId="43784B43" w14:textId="0EA04227" w:rsidR="002E7D66" w:rsidRDefault="002E7D66" w:rsidP="002E7D66">
            <w:pPr>
              <w:jc w:val="center"/>
              <w:rPr>
                <w:rFonts w:ascii="Arial Narrow" w:hAnsi="Arial Narrow"/>
                <w:sz w:val="18"/>
                <w:szCs w:val="18"/>
              </w:rPr>
            </w:pPr>
            <w:r>
              <w:rPr>
                <w:rFonts w:ascii="Arial Narrow" w:hAnsi="Arial Narrow"/>
                <w:sz w:val="18"/>
                <w:szCs w:val="18"/>
              </w:rPr>
              <w:t>+4.699</w:t>
            </w:r>
          </w:p>
        </w:tc>
        <w:tc>
          <w:tcPr>
            <w:tcW w:w="997" w:type="dxa"/>
            <w:gridSpan w:val="2"/>
            <w:shd w:val="clear" w:color="auto" w:fill="D9D9D9"/>
            <w:vAlign w:val="bottom"/>
          </w:tcPr>
          <w:p w14:paraId="78EC2FFD" w14:textId="3EE91BE5" w:rsidR="002E7D66" w:rsidRDefault="002E7D66" w:rsidP="002E7D66">
            <w:pPr>
              <w:jc w:val="center"/>
              <w:rPr>
                <w:rFonts w:ascii="Arial Narrow" w:hAnsi="Arial Narrow"/>
                <w:sz w:val="18"/>
                <w:szCs w:val="18"/>
              </w:rPr>
            </w:pPr>
            <w:r>
              <w:rPr>
                <w:rFonts w:ascii="Arial Narrow" w:hAnsi="Arial Narrow"/>
                <w:sz w:val="18"/>
                <w:szCs w:val="18"/>
              </w:rPr>
              <w:t>+24.929</w:t>
            </w:r>
          </w:p>
        </w:tc>
      </w:tr>
      <w:tr w:rsidR="002E7D66" w:rsidRPr="00826161" w14:paraId="52738455" w14:textId="77777777" w:rsidTr="00A36AAE">
        <w:trPr>
          <w:trHeight w:val="255"/>
        </w:trPr>
        <w:tc>
          <w:tcPr>
            <w:tcW w:w="1348" w:type="dxa"/>
            <w:shd w:val="clear" w:color="auto" w:fill="auto"/>
            <w:noWrap/>
            <w:vAlign w:val="center"/>
          </w:tcPr>
          <w:p w14:paraId="6B8FDD5E" w14:textId="77777777" w:rsidR="002E7D66" w:rsidRPr="00826161" w:rsidRDefault="002E7D66" w:rsidP="002E7D66">
            <w:pPr>
              <w:spacing w:before="40" w:after="20"/>
              <w:rPr>
                <w:rFonts w:ascii="Arial Narrow" w:hAnsi="Arial Narrow"/>
                <w:sz w:val="18"/>
                <w:szCs w:val="18"/>
              </w:rPr>
            </w:pPr>
            <w:r w:rsidRPr="00826161">
              <w:rPr>
                <w:rFonts w:ascii="Arial Narrow" w:hAnsi="Arial Narrow"/>
                <w:sz w:val="18"/>
                <w:szCs w:val="18"/>
              </w:rPr>
              <w:t>Valori medi unitari</w:t>
            </w:r>
          </w:p>
        </w:tc>
        <w:tc>
          <w:tcPr>
            <w:tcW w:w="709" w:type="dxa"/>
            <w:shd w:val="clear" w:color="auto" w:fill="D9D9D9"/>
            <w:vAlign w:val="bottom"/>
          </w:tcPr>
          <w:p w14:paraId="092C4E0C" w14:textId="77777777" w:rsidR="002E7D66" w:rsidRDefault="002E7D66" w:rsidP="002E7D66">
            <w:pPr>
              <w:jc w:val="center"/>
              <w:rPr>
                <w:rFonts w:ascii="Arial Narrow" w:hAnsi="Arial Narrow"/>
                <w:sz w:val="18"/>
                <w:szCs w:val="18"/>
              </w:rPr>
            </w:pPr>
          </w:p>
        </w:tc>
        <w:tc>
          <w:tcPr>
            <w:tcW w:w="1130" w:type="dxa"/>
            <w:gridSpan w:val="2"/>
            <w:shd w:val="clear" w:color="auto" w:fill="D9D9D9"/>
            <w:noWrap/>
            <w:vAlign w:val="bottom"/>
          </w:tcPr>
          <w:p w14:paraId="03BACF3F" w14:textId="77777777" w:rsidR="002E7D66" w:rsidRDefault="002E7D66" w:rsidP="002E7D66">
            <w:pPr>
              <w:jc w:val="center"/>
              <w:rPr>
                <w:sz w:val="20"/>
                <w:szCs w:val="20"/>
              </w:rPr>
            </w:pPr>
          </w:p>
        </w:tc>
        <w:tc>
          <w:tcPr>
            <w:tcW w:w="629" w:type="dxa"/>
            <w:vAlign w:val="bottom"/>
          </w:tcPr>
          <w:p w14:paraId="30AD4FCC" w14:textId="1D710320" w:rsidR="002E7D66" w:rsidRDefault="002E7D66" w:rsidP="002E7D66">
            <w:pPr>
              <w:jc w:val="center"/>
              <w:rPr>
                <w:rFonts w:ascii="Arial Narrow" w:hAnsi="Arial Narrow"/>
                <w:i/>
                <w:iCs/>
                <w:sz w:val="18"/>
                <w:szCs w:val="18"/>
              </w:rPr>
            </w:pPr>
            <w:r>
              <w:rPr>
                <w:rFonts w:ascii="Arial Narrow" w:hAnsi="Arial Narrow"/>
                <w:i/>
                <w:iCs/>
                <w:sz w:val="18"/>
                <w:szCs w:val="18"/>
              </w:rPr>
              <w:t>+3,3</w:t>
            </w:r>
          </w:p>
        </w:tc>
        <w:tc>
          <w:tcPr>
            <w:tcW w:w="1103" w:type="dxa"/>
            <w:gridSpan w:val="3"/>
            <w:shd w:val="clear" w:color="auto" w:fill="auto"/>
            <w:noWrap/>
            <w:vAlign w:val="bottom"/>
          </w:tcPr>
          <w:p w14:paraId="03DB0986" w14:textId="5590FA16" w:rsidR="002E7D66" w:rsidRDefault="002E7D66" w:rsidP="002E7D66">
            <w:pPr>
              <w:jc w:val="center"/>
              <w:rPr>
                <w:rFonts w:ascii="Arial Narrow" w:hAnsi="Arial Narrow"/>
                <w:i/>
                <w:iCs/>
                <w:sz w:val="18"/>
                <w:szCs w:val="18"/>
              </w:rPr>
            </w:pPr>
            <w:r>
              <w:rPr>
                <w:rFonts w:ascii="Arial Narrow" w:hAnsi="Arial Narrow"/>
                <w:i/>
                <w:iCs/>
                <w:sz w:val="18"/>
                <w:szCs w:val="18"/>
              </w:rPr>
              <w:t>+5,9</w:t>
            </w:r>
          </w:p>
        </w:tc>
        <w:tc>
          <w:tcPr>
            <w:tcW w:w="665" w:type="dxa"/>
            <w:shd w:val="clear" w:color="auto" w:fill="D9D9D9"/>
            <w:noWrap/>
            <w:vAlign w:val="bottom"/>
          </w:tcPr>
          <w:p w14:paraId="050906F1" w14:textId="77777777" w:rsidR="002E7D66" w:rsidRDefault="002E7D66" w:rsidP="002E7D66">
            <w:pPr>
              <w:jc w:val="center"/>
              <w:rPr>
                <w:rFonts w:ascii="Arial Narrow" w:hAnsi="Arial Narrow"/>
                <w:i/>
                <w:iCs/>
                <w:sz w:val="18"/>
                <w:szCs w:val="18"/>
              </w:rPr>
            </w:pPr>
          </w:p>
        </w:tc>
        <w:tc>
          <w:tcPr>
            <w:tcW w:w="1226" w:type="dxa"/>
            <w:gridSpan w:val="2"/>
            <w:shd w:val="clear" w:color="auto" w:fill="D9D9D9"/>
            <w:vAlign w:val="bottom"/>
          </w:tcPr>
          <w:p w14:paraId="465BF3F0" w14:textId="77777777" w:rsidR="002E7D66" w:rsidRDefault="002E7D66" w:rsidP="002E7D66">
            <w:pPr>
              <w:jc w:val="center"/>
              <w:rPr>
                <w:sz w:val="20"/>
                <w:szCs w:val="20"/>
              </w:rPr>
            </w:pPr>
          </w:p>
        </w:tc>
        <w:tc>
          <w:tcPr>
            <w:tcW w:w="832" w:type="dxa"/>
            <w:gridSpan w:val="2"/>
            <w:shd w:val="clear" w:color="auto" w:fill="auto"/>
            <w:noWrap/>
            <w:vAlign w:val="bottom"/>
          </w:tcPr>
          <w:p w14:paraId="50AA145B" w14:textId="1604F47D" w:rsidR="002E7D66" w:rsidRDefault="002E7D66" w:rsidP="002E7D66">
            <w:pPr>
              <w:jc w:val="center"/>
              <w:rPr>
                <w:rFonts w:ascii="Arial Narrow" w:hAnsi="Arial Narrow"/>
                <w:i/>
                <w:iCs/>
                <w:sz w:val="18"/>
                <w:szCs w:val="18"/>
              </w:rPr>
            </w:pPr>
            <w:r>
              <w:rPr>
                <w:rFonts w:ascii="Arial Narrow" w:hAnsi="Arial Narrow"/>
                <w:i/>
                <w:iCs/>
                <w:sz w:val="18"/>
                <w:szCs w:val="18"/>
              </w:rPr>
              <w:t>-11,5</w:t>
            </w:r>
          </w:p>
        </w:tc>
        <w:tc>
          <w:tcPr>
            <w:tcW w:w="996" w:type="dxa"/>
            <w:gridSpan w:val="2"/>
            <w:shd w:val="clear" w:color="auto" w:fill="auto"/>
            <w:noWrap/>
            <w:vAlign w:val="bottom"/>
          </w:tcPr>
          <w:p w14:paraId="27DBBC8E" w14:textId="2087A286" w:rsidR="002E7D66" w:rsidRDefault="002E7D66" w:rsidP="002E7D66">
            <w:pPr>
              <w:jc w:val="center"/>
              <w:rPr>
                <w:rFonts w:ascii="Arial Narrow" w:hAnsi="Arial Narrow"/>
                <w:i/>
                <w:iCs/>
                <w:sz w:val="18"/>
                <w:szCs w:val="18"/>
              </w:rPr>
            </w:pPr>
            <w:r>
              <w:rPr>
                <w:rFonts w:ascii="Arial Narrow" w:hAnsi="Arial Narrow"/>
                <w:i/>
                <w:iCs/>
                <w:sz w:val="18"/>
                <w:szCs w:val="18"/>
              </w:rPr>
              <w:t>-8,7</w:t>
            </w:r>
          </w:p>
        </w:tc>
        <w:tc>
          <w:tcPr>
            <w:tcW w:w="665" w:type="dxa"/>
            <w:shd w:val="clear" w:color="auto" w:fill="D9D9D9"/>
            <w:noWrap/>
            <w:vAlign w:val="bottom"/>
          </w:tcPr>
          <w:p w14:paraId="33DD50BA" w14:textId="77777777" w:rsidR="002E7D66" w:rsidRDefault="002E7D66" w:rsidP="002E7D66">
            <w:pPr>
              <w:jc w:val="center"/>
              <w:rPr>
                <w:rFonts w:ascii="Arial Narrow" w:hAnsi="Arial Narrow"/>
                <w:i/>
                <w:iCs/>
                <w:sz w:val="18"/>
                <w:szCs w:val="18"/>
              </w:rPr>
            </w:pPr>
          </w:p>
        </w:tc>
        <w:tc>
          <w:tcPr>
            <w:tcW w:w="997" w:type="dxa"/>
            <w:gridSpan w:val="2"/>
            <w:shd w:val="clear" w:color="auto" w:fill="D9D9D9"/>
            <w:vAlign w:val="bottom"/>
          </w:tcPr>
          <w:p w14:paraId="4C6ED1CD" w14:textId="77777777" w:rsidR="002E7D66" w:rsidRDefault="002E7D66" w:rsidP="002E7D66">
            <w:pPr>
              <w:jc w:val="center"/>
              <w:rPr>
                <w:sz w:val="20"/>
                <w:szCs w:val="20"/>
              </w:rPr>
            </w:pPr>
          </w:p>
        </w:tc>
      </w:tr>
      <w:tr w:rsidR="002E7D66" w:rsidRPr="008C0651" w14:paraId="5E5C8AF7" w14:textId="77777777" w:rsidTr="00A36AAE">
        <w:trPr>
          <w:trHeight w:val="255"/>
        </w:trPr>
        <w:tc>
          <w:tcPr>
            <w:tcW w:w="1348" w:type="dxa"/>
            <w:shd w:val="clear" w:color="auto" w:fill="auto"/>
            <w:noWrap/>
            <w:vAlign w:val="center"/>
          </w:tcPr>
          <w:p w14:paraId="34A88912" w14:textId="77777777" w:rsidR="002E7D66" w:rsidRPr="00674C87" w:rsidRDefault="002E7D66" w:rsidP="002E7D66">
            <w:pPr>
              <w:spacing w:before="40" w:after="20"/>
              <w:rPr>
                <w:rFonts w:ascii="Arial Narrow" w:hAnsi="Arial Narrow"/>
                <w:sz w:val="18"/>
                <w:szCs w:val="18"/>
              </w:rPr>
            </w:pPr>
            <w:r w:rsidRPr="00674C87">
              <w:rPr>
                <w:rFonts w:ascii="Arial Narrow" w:hAnsi="Arial Narrow"/>
                <w:sz w:val="18"/>
                <w:szCs w:val="18"/>
              </w:rPr>
              <w:t>Volumi</w:t>
            </w:r>
          </w:p>
        </w:tc>
        <w:tc>
          <w:tcPr>
            <w:tcW w:w="709" w:type="dxa"/>
            <w:shd w:val="clear" w:color="auto" w:fill="D9D9D9"/>
            <w:vAlign w:val="bottom"/>
          </w:tcPr>
          <w:p w14:paraId="409F495C" w14:textId="60FFB077" w:rsidR="002E7D66" w:rsidRDefault="002E7D66" w:rsidP="002E7D66">
            <w:pPr>
              <w:jc w:val="center"/>
              <w:rPr>
                <w:rFonts w:ascii="Arial Narrow" w:hAnsi="Arial Narrow"/>
                <w:i/>
                <w:iCs/>
                <w:sz w:val="18"/>
                <w:szCs w:val="18"/>
              </w:rPr>
            </w:pPr>
            <w:r>
              <w:rPr>
                <w:rFonts w:ascii="Arial Narrow" w:hAnsi="Arial Narrow"/>
                <w:i/>
                <w:iCs/>
                <w:sz w:val="18"/>
                <w:szCs w:val="18"/>
              </w:rPr>
              <w:t> </w:t>
            </w:r>
          </w:p>
        </w:tc>
        <w:tc>
          <w:tcPr>
            <w:tcW w:w="1130" w:type="dxa"/>
            <w:gridSpan w:val="2"/>
            <w:shd w:val="clear" w:color="auto" w:fill="D9D9D9"/>
            <w:noWrap/>
            <w:vAlign w:val="bottom"/>
          </w:tcPr>
          <w:p w14:paraId="39CE35C0" w14:textId="4463FEBB" w:rsidR="002E7D66" w:rsidRDefault="002E7D66" w:rsidP="002E7D66">
            <w:pPr>
              <w:jc w:val="center"/>
              <w:rPr>
                <w:rFonts w:ascii="Arial Narrow" w:hAnsi="Arial Narrow"/>
                <w:i/>
                <w:iCs/>
                <w:sz w:val="18"/>
                <w:szCs w:val="18"/>
              </w:rPr>
            </w:pPr>
            <w:r>
              <w:rPr>
                <w:rFonts w:ascii="Arial Narrow" w:hAnsi="Arial Narrow"/>
                <w:i/>
                <w:iCs/>
                <w:sz w:val="18"/>
                <w:szCs w:val="18"/>
              </w:rPr>
              <w:t> </w:t>
            </w:r>
          </w:p>
        </w:tc>
        <w:tc>
          <w:tcPr>
            <w:tcW w:w="629" w:type="dxa"/>
            <w:vAlign w:val="bottom"/>
          </w:tcPr>
          <w:p w14:paraId="36F0CCBC" w14:textId="133F766C" w:rsidR="002E7D66" w:rsidRDefault="002E7D66" w:rsidP="002E7D66">
            <w:pPr>
              <w:jc w:val="center"/>
              <w:rPr>
                <w:rFonts w:ascii="Arial Narrow" w:hAnsi="Arial Narrow"/>
                <w:i/>
                <w:iCs/>
                <w:sz w:val="18"/>
                <w:szCs w:val="18"/>
              </w:rPr>
            </w:pPr>
            <w:r>
              <w:rPr>
                <w:rFonts w:ascii="Arial Narrow" w:hAnsi="Arial Narrow"/>
                <w:i/>
                <w:iCs/>
                <w:sz w:val="18"/>
                <w:szCs w:val="18"/>
              </w:rPr>
              <w:t>-0,4</w:t>
            </w:r>
          </w:p>
        </w:tc>
        <w:tc>
          <w:tcPr>
            <w:tcW w:w="1103" w:type="dxa"/>
            <w:gridSpan w:val="3"/>
            <w:shd w:val="clear" w:color="auto" w:fill="auto"/>
            <w:noWrap/>
            <w:vAlign w:val="bottom"/>
          </w:tcPr>
          <w:p w14:paraId="4EEB14CC" w14:textId="3E913E63" w:rsidR="002E7D66" w:rsidRDefault="002E7D66" w:rsidP="002E7D66">
            <w:pPr>
              <w:jc w:val="center"/>
              <w:rPr>
                <w:rFonts w:ascii="Arial Narrow" w:hAnsi="Arial Narrow"/>
                <w:i/>
                <w:iCs/>
                <w:sz w:val="18"/>
                <w:szCs w:val="18"/>
              </w:rPr>
            </w:pPr>
            <w:r>
              <w:rPr>
                <w:rFonts w:ascii="Arial Narrow" w:hAnsi="Arial Narrow"/>
                <w:i/>
                <w:iCs/>
                <w:sz w:val="18"/>
                <w:szCs w:val="18"/>
              </w:rPr>
              <w:t>-4,4</w:t>
            </w:r>
          </w:p>
        </w:tc>
        <w:tc>
          <w:tcPr>
            <w:tcW w:w="665" w:type="dxa"/>
            <w:shd w:val="clear" w:color="auto" w:fill="D9D9D9"/>
            <w:noWrap/>
            <w:vAlign w:val="bottom"/>
          </w:tcPr>
          <w:p w14:paraId="2B89C169" w14:textId="29F334D1" w:rsidR="002E7D66" w:rsidRDefault="002E7D66" w:rsidP="002E7D66">
            <w:pPr>
              <w:jc w:val="center"/>
              <w:rPr>
                <w:rFonts w:ascii="Arial Narrow" w:hAnsi="Arial Narrow"/>
                <w:sz w:val="18"/>
                <w:szCs w:val="18"/>
              </w:rPr>
            </w:pPr>
            <w:r>
              <w:rPr>
                <w:rFonts w:ascii="Arial Narrow" w:hAnsi="Arial Narrow"/>
                <w:sz w:val="18"/>
                <w:szCs w:val="18"/>
              </w:rPr>
              <w:t> </w:t>
            </w:r>
          </w:p>
        </w:tc>
        <w:tc>
          <w:tcPr>
            <w:tcW w:w="1226" w:type="dxa"/>
            <w:gridSpan w:val="2"/>
            <w:shd w:val="clear" w:color="auto" w:fill="D9D9D9"/>
            <w:vAlign w:val="bottom"/>
          </w:tcPr>
          <w:p w14:paraId="5ECD90D1" w14:textId="4DFEB145" w:rsidR="002E7D66" w:rsidRDefault="002E7D66" w:rsidP="002E7D66">
            <w:pPr>
              <w:jc w:val="center"/>
              <w:rPr>
                <w:rFonts w:ascii="Arial Narrow" w:hAnsi="Arial Narrow"/>
                <w:sz w:val="18"/>
                <w:szCs w:val="18"/>
              </w:rPr>
            </w:pPr>
            <w:r>
              <w:rPr>
                <w:rFonts w:ascii="Arial Narrow" w:hAnsi="Arial Narrow"/>
                <w:sz w:val="18"/>
                <w:szCs w:val="18"/>
              </w:rPr>
              <w:t> </w:t>
            </w:r>
          </w:p>
        </w:tc>
        <w:tc>
          <w:tcPr>
            <w:tcW w:w="832" w:type="dxa"/>
            <w:gridSpan w:val="2"/>
            <w:shd w:val="clear" w:color="auto" w:fill="auto"/>
            <w:noWrap/>
            <w:vAlign w:val="bottom"/>
          </w:tcPr>
          <w:p w14:paraId="0F397A32" w14:textId="36A19321" w:rsidR="002E7D66" w:rsidRDefault="002E7D66" w:rsidP="002E7D66">
            <w:pPr>
              <w:jc w:val="center"/>
              <w:rPr>
                <w:rFonts w:ascii="Arial Narrow" w:hAnsi="Arial Narrow"/>
                <w:i/>
                <w:iCs/>
                <w:sz w:val="18"/>
                <w:szCs w:val="18"/>
              </w:rPr>
            </w:pPr>
            <w:r>
              <w:rPr>
                <w:rFonts w:ascii="Arial Narrow" w:hAnsi="Arial Narrow"/>
                <w:i/>
                <w:iCs/>
                <w:sz w:val="18"/>
                <w:szCs w:val="18"/>
              </w:rPr>
              <w:t>+2,6</w:t>
            </w:r>
          </w:p>
        </w:tc>
        <w:tc>
          <w:tcPr>
            <w:tcW w:w="996" w:type="dxa"/>
            <w:gridSpan w:val="2"/>
            <w:shd w:val="clear" w:color="auto" w:fill="auto"/>
            <w:noWrap/>
            <w:vAlign w:val="bottom"/>
          </w:tcPr>
          <w:p w14:paraId="2B118298" w14:textId="6EB3117F" w:rsidR="002E7D66" w:rsidRDefault="002E7D66" w:rsidP="002E7D66">
            <w:pPr>
              <w:jc w:val="center"/>
              <w:rPr>
                <w:rFonts w:ascii="Arial Narrow" w:hAnsi="Arial Narrow"/>
                <w:i/>
                <w:iCs/>
                <w:sz w:val="18"/>
                <w:szCs w:val="18"/>
              </w:rPr>
            </w:pPr>
            <w:r>
              <w:rPr>
                <w:rFonts w:ascii="Arial Narrow" w:hAnsi="Arial Narrow"/>
                <w:i/>
                <w:iCs/>
                <w:sz w:val="18"/>
                <w:szCs w:val="18"/>
              </w:rPr>
              <w:t>-1,3</w:t>
            </w:r>
          </w:p>
        </w:tc>
        <w:tc>
          <w:tcPr>
            <w:tcW w:w="665" w:type="dxa"/>
            <w:shd w:val="clear" w:color="auto" w:fill="D9D9D9"/>
            <w:noWrap/>
            <w:vAlign w:val="bottom"/>
          </w:tcPr>
          <w:p w14:paraId="59CBBE0F" w14:textId="03CD1F76" w:rsidR="002E7D66" w:rsidRDefault="002E7D66" w:rsidP="002E7D66">
            <w:pPr>
              <w:jc w:val="center"/>
              <w:rPr>
                <w:rFonts w:ascii="Arial Narrow" w:hAnsi="Arial Narrow"/>
                <w:sz w:val="18"/>
                <w:szCs w:val="18"/>
              </w:rPr>
            </w:pPr>
            <w:r>
              <w:rPr>
                <w:rFonts w:ascii="Arial Narrow" w:hAnsi="Arial Narrow"/>
                <w:sz w:val="18"/>
                <w:szCs w:val="18"/>
              </w:rPr>
              <w:t> </w:t>
            </w:r>
          </w:p>
        </w:tc>
        <w:tc>
          <w:tcPr>
            <w:tcW w:w="997" w:type="dxa"/>
            <w:gridSpan w:val="2"/>
            <w:shd w:val="clear" w:color="auto" w:fill="D9D9D9"/>
            <w:vAlign w:val="bottom"/>
          </w:tcPr>
          <w:p w14:paraId="7847322B" w14:textId="032D2354" w:rsidR="002E7D66" w:rsidRDefault="002E7D66" w:rsidP="002E7D66">
            <w:pPr>
              <w:jc w:val="center"/>
              <w:rPr>
                <w:rFonts w:ascii="Arial Narrow" w:hAnsi="Arial Narrow"/>
                <w:sz w:val="18"/>
                <w:szCs w:val="18"/>
              </w:rPr>
            </w:pPr>
            <w:r>
              <w:rPr>
                <w:rFonts w:ascii="Arial Narrow" w:hAnsi="Arial Narrow"/>
                <w:sz w:val="18"/>
                <w:szCs w:val="18"/>
              </w:rPr>
              <w:t> </w:t>
            </w:r>
          </w:p>
        </w:tc>
      </w:tr>
    </w:tbl>
    <w:p w14:paraId="1F4BFC93" w14:textId="77777777" w:rsidR="00B77B33" w:rsidRDefault="00B77B33" w:rsidP="00AF23DD">
      <w:pPr>
        <w:pStyle w:val="Corpodeltesto1"/>
        <w:rPr>
          <w:rFonts w:ascii="Arial Narrow" w:hAnsi="Arial Narrow" w:cs="Arial"/>
          <w:bCs/>
          <w:color w:val="E42618"/>
          <w:kern w:val="28"/>
          <w:sz w:val="22"/>
          <w:szCs w:val="22"/>
        </w:rPr>
      </w:pPr>
    </w:p>
    <w:p w14:paraId="41255AE2" w14:textId="77777777" w:rsidR="0067206D" w:rsidRDefault="0067206D" w:rsidP="00AF23DD">
      <w:pPr>
        <w:pStyle w:val="Corpodeltesto1"/>
        <w:rPr>
          <w:rFonts w:ascii="Arial Narrow" w:hAnsi="Arial Narrow" w:cs="Arial"/>
          <w:bCs/>
          <w:color w:val="E42618"/>
          <w:kern w:val="28"/>
          <w:sz w:val="22"/>
          <w:szCs w:val="22"/>
        </w:rPr>
      </w:pPr>
    </w:p>
    <w:p w14:paraId="511C74E1" w14:textId="77777777" w:rsidR="00AF23DD" w:rsidRDefault="003C7722" w:rsidP="00AF23DD">
      <w:pPr>
        <w:pStyle w:val="Corpodeltesto1"/>
        <w:rPr>
          <w:rFonts w:ascii="Arial" w:hAnsi="Arial" w:cs="Arial"/>
          <w:sz w:val="17"/>
          <w:szCs w:val="17"/>
        </w:rPr>
      </w:pPr>
      <w:r w:rsidRPr="00831F78">
        <w:rPr>
          <w:rFonts w:ascii="Arial Narrow" w:hAnsi="Arial Narrow" w:cs="Arial"/>
          <w:bCs/>
          <w:color w:val="E42618"/>
          <w:kern w:val="28"/>
          <w:sz w:val="22"/>
          <w:szCs w:val="22"/>
        </w:rPr>
        <w:t xml:space="preserve">PROSPETTO </w:t>
      </w:r>
      <w:r w:rsidR="00831F78">
        <w:rPr>
          <w:rFonts w:ascii="Arial Narrow" w:hAnsi="Arial Narrow" w:cs="Arial"/>
          <w:bCs/>
          <w:color w:val="E42618"/>
          <w:kern w:val="28"/>
          <w:sz w:val="22"/>
          <w:szCs w:val="22"/>
        </w:rPr>
        <w:t>2</w:t>
      </w:r>
      <w:r w:rsidRPr="00831F78">
        <w:rPr>
          <w:rFonts w:ascii="Arial Narrow" w:hAnsi="Arial Narrow" w:cs="Arial"/>
          <w:bCs/>
          <w:color w:val="E42618"/>
          <w:kern w:val="28"/>
          <w:sz w:val="22"/>
          <w:szCs w:val="22"/>
        </w:rPr>
        <w:t xml:space="preserve">. </w:t>
      </w:r>
      <w:r w:rsidRPr="00831F78">
        <w:rPr>
          <w:rFonts w:ascii="Arial Narrow" w:hAnsi="Arial Narrow" w:cs="Arial"/>
          <w:bCs/>
          <w:color w:val="5F5F5F"/>
          <w:kern w:val="28"/>
          <w:sz w:val="22"/>
          <w:szCs w:val="22"/>
        </w:rPr>
        <w:t>ESPORTAZIONI, IMPORTAZIONI E SALDI DELLA BILANCIA COMMERCIALE SECONDO I RAGGRUPPAMENTI PRINCIPALI DI INDUSTRIE</w:t>
      </w:r>
      <w:r w:rsidRPr="00B37F7D">
        <w:rPr>
          <w:rFonts w:ascii="Arial" w:hAnsi="Arial" w:cs="Arial"/>
          <w:sz w:val="17"/>
          <w:szCs w:val="17"/>
        </w:rPr>
        <w:t xml:space="preserve"> </w:t>
      </w:r>
    </w:p>
    <w:p w14:paraId="4BBCC157" w14:textId="539D1D13" w:rsidR="00AF23DD" w:rsidRPr="00EE5993" w:rsidRDefault="002D1D28" w:rsidP="00AF23DD">
      <w:pPr>
        <w:spacing w:after="120"/>
        <w:rPr>
          <w:rFonts w:ascii="Arial Narrow" w:hAnsi="Arial Narrow" w:cs="Arial"/>
          <w:b/>
          <w:bCs/>
          <w:i/>
          <w:sz w:val="16"/>
          <w:szCs w:val="19"/>
        </w:rPr>
      </w:pPr>
      <w:r>
        <w:rPr>
          <w:rFonts w:ascii="Arial Narrow" w:hAnsi="Arial Narrow" w:cs="Arial"/>
          <w:color w:val="5F5F5F"/>
          <w:sz w:val="20"/>
        </w:rPr>
        <w:t xml:space="preserve">Ottobre </w:t>
      </w:r>
      <w:r w:rsidR="007657DD">
        <w:rPr>
          <w:rFonts w:ascii="Arial Narrow" w:hAnsi="Arial Narrow" w:cs="Arial"/>
          <w:color w:val="5F5F5F"/>
          <w:sz w:val="20"/>
        </w:rPr>
        <w:t>2023</w:t>
      </w:r>
      <w:r w:rsidR="003C7722" w:rsidRPr="00EE5993">
        <w:rPr>
          <w:rFonts w:ascii="Arial Narrow" w:hAnsi="Arial Narrow" w:cs="Arial"/>
          <w:color w:val="5F5F5F"/>
          <w:sz w:val="20"/>
        </w:rPr>
        <w:t xml:space="preserve">, variazioni percentuali </w:t>
      </w:r>
      <w:r w:rsidR="00516EEC" w:rsidRPr="00EE5993">
        <w:rPr>
          <w:rFonts w:ascii="Arial Narrow" w:hAnsi="Arial Narrow" w:cs="Arial"/>
          <w:color w:val="5F5F5F"/>
          <w:sz w:val="20"/>
        </w:rPr>
        <w:t xml:space="preserve">congiunturali e tendenziali </w:t>
      </w:r>
      <w:r w:rsidR="003C7722" w:rsidRPr="00EE5993">
        <w:rPr>
          <w:rFonts w:ascii="Arial Narrow" w:hAnsi="Arial Narrow" w:cs="Arial"/>
          <w:color w:val="5F5F5F"/>
          <w:sz w:val="20"/>
        </w:rPr>
        <w:t>e</w:t>
      </w:r>
      <w:r w:rsidR="003C7722" w:rsidRPr="00EE5993">
        <w:rPr>
          <w:rFonts w:ascii="Arial Narrow" w:hAnsi="Arial Narrow" w:cs="Arial"/>
          <w:b/>
          <w:color w:val="5F5F5F"/>
          <w:sz w:val="20"/>
        </w:rPr>
        <w:t xml:space="preserve"> </w:t>
      </w:r>
      <w:r w:rsidR="00AF23DD" w:rsidRPr="00EE5993">
        <w:rPr>
          <w:rFonts w:ascii="Arial Narrow" w:hAnsi="Arial Narrow" w:cs="Arial"/>
          <w:color w:val="5F5F5F"/>
          <w:sz w:val="20"/>
        </w:rPr>
        <w:t>saldi in milioni di euro</w:t>
      </w:r>
    </w:p>
    <w:tbl>
      <w:tblPr>
        <w:tblW w:w="10235" w:type="dxa"/>
        <w:tblInd w:w="70" w:type="dxa"/>
        <w:tblLayout w:type="fixed"/>
        <w:tblCellMar>
          <w:left w:w="70" w:type="dxa"/>
          <w:right w:w="70" w:type="dxa"/>
        </w:tblCellMar>
        <w:tblLook w:val="04A0" w:firstRow="1" w:lastRow="0" w:firstColumn="1" w:lastColumn="0" w:noHBand="0" w:noVBand="1"/>
      </w:tblPr>
      <w:tblGrid>
        <w:gridCol w:w="1587"/>
        <w:gridCol w:w="665"/>
        <w:gridCol w:w="1108"/>
        <w:gridCol w:w="685"/>
        <w:gridCol w:w="1017"/>
        <w:gridCol w:w="708"/>
        <w:gridCol w:w="1134"/>
        <w:gridCol w:w="654"/>
        <w:gridCol w:w="984"/>
        <w:gridCol w:w="709"/>
        <w:gridCol w:w="984"/>
      </w:tblGrid>
      <w:tr w:rsidR="005115B0" w:rsidRPr="00831F78" w14:paraId="75B7C754" w14:textId="77777777" w:rsidTr="00A36AAE">
        <w:trPr>
          <w:trHeight w:val="255"/>
        </w:trPr>
        <w:tc>
          <w:tcPr>
            <w:tcW w:w="1587" w:type="dxa"/>
            <w:vMerge w:val="restart"/>
            <w:tcBorders>
              <w:top w:val="single" w:sz="4" w:space="0" w:color="auto"/>
              <w:left w:val="nil"/>
              <w:bottom w:val="single" w:sz="4" w:space="0" w:color="000000"/>
              <w:right w:val="nil"/>
            </w:tcBorders>
            <w:shd w:val="clear" w:color="auto" w:fill="auto"/>
            <w:vAlign w:val="center"/>
          </w:tcPr>
          <w:p w14:paraId="23520C23" w14:textId="77777777" w:rsidR="005115B0" w:rsidRPr="00831F78" w:rsidRDefault="005115B0" w:rsidP="00A36AAE">
            <w:pPr>
              <w:spacing w:before="40" w:after="20"/>
              <w:rPr>
                <w:rFonts w:ascii="Arial Narrow" w:hAnsi="Arial Narrow"/>
                <w:b/>
                <w:sz w:val="18"/>
                <w:szCs w:val="18"/>
              </w:rPr>
            </w:pPr>
            <w:r w:rsidRPr="000A4139">
              <w:rPr>
                <w:rFonts w:ascii="Arial Narrow" w:hAnsi="Arial Narrow"/>
                <w:b/>
                <w:sz w:val="18"/>
                <w:szCs w:val="18"/>
              </w:rPr>
              <w:t xml:space="preserve">RAGGRUPPAMENTI PRINCIPALI </w:t>
            </w:r>
            <w:r w:rsidRPr="000A4139">
              <w:rPr>
                <w:rFonts w:ascii="Arial Narrow" w:hAnsi="Arial Narrow"/>
                <w:b/>
                <w:sz w:val="18"/>
                <w:szCs w:val="18"/>
              </w:rPr>
              <w:br/>
              <w:t>DI INDUSTRIE</w:t>
            </w:r>
          </w:p>
        </w:tc>
        <w:tc>
          <w:tcPr>
            <w:tcW w:w="3475" w:type="dxa"/>
            <w:gridSpan w:val="4"/>
            <w:tcBorders>
              <w:top w:val="single" w:sz="4" w:space="0" w:color="auto"/>
              <w:left w:val="nil"/>
              <w:bottom w:val="single" w:sz="4" w:space="0" w:color="auto"/>
              <w:right w:val="nil"/>
            </w:tcBorders>
            <w:shd w:val="clear" w:color="auto" w:fill="D9D9D9"/>
            <w:vAlign w:val="center"/>
          </w:tcPr>
          <w:p w14:paraId="1DA852EA" w14:textId="77777777" w:rsidR="005115B0" w:rsidRPr="00831F78" w:rsidRDefault="005115B0" w:rsidP="00A36AAE">
            <w:pPr>
              <w:spacing w:before="40" w:after="20"/>
              <w:jc w:val="center"/>
              <w:rPr>
                <w:rFonts w:ascii="Arial Narrow" w:hAnsi="Arial Narrow"/>
                <w:sz w:val="18"/>
                <w:szCs w:val="18"/>
              </w:rPr>
            </w:pPr>
            <w:r w:rsidRPr="00831F78">
              <w:rPr>
                <w:rFonts w:ascii="Arial Narrow" w:hAnsi="Arial Narrow" w:cs="Arial"/>
                <w:b/>
                <w:sz w:val="18"/>
                <w:szCs w:val="18"/>
              </w:rPr>
              <w:t>ESPORTAZIONI</w:t>
            </w:r>
          </w:p>
        </w:tc>
        <w:tc>
          <w:tcPr>
            <w:tcW w:w="3480" w:type="dxa"/>
            <w:gridSpan w:val="4"/>
            <w:tcBorders>
              <w:top w:val="single" w:sz="4" w:space="0" w:color="auto"/>
              <w:left w:val="nil"/>
              <w:bottom w:val="single" w:sz="4" w:space="0" w:color="auto"/>
              <w:right w:val="nil"/>
            </w:tcBorders>
            <w:shd w:val="clear" w:color="auto" w:fill="auto"/>
            <w:vAlign w:val="center"/>
          </w:tcPr>
          <w:p w14:paraId="5D819753" w14:textId="77777777" w:rsidR="005115B0" w:rsidRPr="00831F78" w:rsidRDefault="005115B0" w:rsidP="00A36AAE">
            <w:pPr>
              <w:spacing w:before="40" w:after="20"/>
              <w:jc w:val="center"/>
              <w:rPr>
                <w:rFonts w:ascii="Arial Narrow" w:hAnsi="Arial Narrow" w:cs="Arial"/>
                <w:sz w:val="18"/>
                <w:szCs w:val="18"/>
              </w:rPr>
            </w:pPr>
            <w:r w:rsidRPr="00831F78">
              <w:rPr>
                <w:rFonts w:ascii="Arial Narrow" w:hAnsi="Arial Narrow" w:cs="Arial"/>
                <w:b/>
                <w:sz w:val="18"/>
                <w:szCs w:val="18"/>
              </w:rPr>
              <w:t>IMPORTAZIONI</w:t>
            </w:r>
          </w:p>
        </w:tc>
        <w:tc>
          <w:tcPr>
            <w:tcW w:w="1693" w:type="dxa"/>
            <w:gridSpan w:val="2"/>
            <w:vMerge w:val="restart"/>
            <w:tcBorders>
              <w:top w:val="single" w:sz="4" w:space="0" w:color="auto"/>
              <w:left w:val="nil"/>
              <w:right w:val="nil"/>
            </w:tcBorders>
            <w:shd w:val="clear" w:color="auto" w:fill="D9D9D9"/>
            <w:vAlign w:val="center"/>
          </w:tcPr>
          <w:p w14:paraId="4F972D75" w14:textId="77777777" w:rsidR="005115B0" w:rsidRPr="00831F78" w:rsidRDefault="005115B0" w:rsidP="00A36AAE">
            <w:pPr>
              <w:spacing w:before="40" w:after="20"/>
              <w:jc w:val="center"/>
              <w:rPr>
                <w:rFonts w:ascii="Arial Narrow" w:hAnsi="Arial Narrow" w:cs="Arial"/>
                <w:b/>
                <w:sz w:val="18"/>
                <w:szCs w:val="18"/>
              </w:rPr>
            </w:pPr>
            <w:r w:rsidRPr="00831F78">
              <w:rPr>
                <w:rFonts w:ascii="Arial Narrow" w:hAnsi="Arial Narrow" w:cs="Arial"/>
                <w:b/>
                <w:sz w:val="18"/>
                <w:szCs w:val="18"/>
              </w:rPr>
              <w:t>SALDI</w:t>
            </w:r>
          </w:p>
        </w:tc>
      </w:tr>
      <w:tr w:rsidR="005115B0" w:rsidRPr="00831F78" w14:paraId="665834A1" w14:textId="77777777" w:rsidTr="00A36AAE">
        <w:trPr>
          <w:trHeight w:val="255"/>
        </w:trPr>
        <w:tc>
          <w:tcPr>
            <w:tcW w:w="1587" w:type="dxa"/>
            <w:vMerge/>
            <w:tcBorders>
              <w:top w:val="single" w:sz="4" w:space="0" w:color="auto"/>
              <w:left w:val="nil"/>
              <w:bottom w:val="single" w:sz="4" w:space="0" w:color="000000"/>
              <w:right w:val="nil"/>
            </w:tcBorders>
            <w:vAlign w:val="center"/>
          </w:tcPr>
          <w:p w14:paraId="2666DBF3" w14:textId="77777777" w:rsidR="005115B0" w:rsidRPr="00831F78" w:rsidRDefault="005115B0" w:rsidP="00A36AAE">
            <w:pPr>
              <w:spacing w:before="40" w:after="20"/>
              <w:rPr>
                <w:rFonts w:ascii="Arial Narrow" w:hAnsi="Arial Narrow"/>
                <w:sz w:val="18"/>
                <w:szCs w:val="18"/>
              </w:rPr>
            </w:pPr>
          </w:p>
        </w:tc>
        <w:tc>
          <w:tcPr>
            <w:tcW w:w="1773" w:type="dxa"/>
            <w:gridSpan w:val="2"/>
            <w:tcBorders>
              <w:top w:val="single" w:sz="4" w:space="0" w:color="auto"/>
              <w:left w:val="nil"/>
              <w:bottom w:val="single" w:sz="4" w:space="0" w:color="auto"/>
              <w:right w:val="nil"/>
            </w:tcBorders>
            <w:shd w:val="clear" w:color="auto" w:fill="auto"/>
            <w:vAlign w:val="center"/>
          </w:tcPr>
          <w:p w14:paraId="5310CB9F" w14:textId="77777777" w:rsidR="005115B0" w:rsidRPr="003C7722" w:rsidRDefault="005115B0" w:rsidP="00A36AAE">
            <w:pPr>
              <w:tabs>
                <w:tab w:val="left" w:pos="1316"/>
              </w:tabs>
              <w:spacing w:before="40" w:after="20"/>
              <w:ind w:right="-70"/>
              <w:jc w:val="center"/>
              <w:rPr>
                <w:rFonts w:ascii="Arial Narrow" w:hAnsi="Arial Narrow" w:cs="Arial"/>
                <w:b/>
                <w:sz w:val="18"/>
                <w:szCs w:val="18"/>
              </w:rPr>
            </w:pPr>
            <w:r w:rsidRPr="00AF23DD">
              <w:rPr>
                <w:rFonts w:ascii="Arial Narrow" w:hAnsi="Arial Narrow" w:cs="Arial"/>
                <w:b/>
                <w:sz w:val="18"/>
                <w:szCs w:val="18"/>
              </w:rPr>
              <w:t>Variazioni congiunturali</w:t>
            </w:r>
          </w:p>
        </w:tc>
        <w:tc>
          <w:tcPr>
            <w:tcW w:w="1702" w:type="dxa"/>
            <w:gridSpan w:val="2"/>
            <w:tcBorders>
              <w:top w:val="single" w:sz="4" w:space="0" w:color="auto"/>
              <w:left w:val="nil"/>
              <w:bottom w:val="single" w:sz="4" w:space="0" w:color="auto"/>
              <w:right w:val="nil"/>
            </w:tcBorders>
            <w:shd w:val="clear" w:color="auto" w:fill="auto"/>
            <w:vAlign w:val="center"/>
          </w:tcPr>
          <w:p w14:paraId="46608481" w14:textId="77777777" w:rsidR="005115B0" w:rsidRDefault="005115B0" w:rsidP="00A36AAE">
            <w:pPr>
              <w:tabs>
                <w:tab w:val="left" w:pos="1316"/>
              </w:tabs>
              <w:spacing w:before="40"/>
              <w:ind w:right="-68"/>
              <w:jc w:val="center"/>
              <w:rPr>
                <w:rFonts w:ascii="Arial Narrow" w:hAnsi="Arial Narrow" w:cs="Arial"/>
                <w:b/>
                <w:sz w:val="18"/>
                <w:szCs w:val="18"/>
              </w:rPr>
            </w:pPr>
            <w:r w:rsidRPr="00AF23DD">
              <w:rPr>
                <w:rFonts w:ascii="Arial Narrow" w:hAnsi="Arial Narrow" w:cs="Arial"/>
                <w:b/>
                <w:sz w:val="18"/>
                <w:szCs w:val="18"/>
              </w:rPr>
              <w:t>Variazioni</w:t>
            </w:r>
          </w:p>
          <w:p w14:paraId="7FC8185C" w14:textId="77777777" w:rsidR="005115B0" w:rsidRPr="003C7722" w:rsidRDefault="005115B0" w:rsidP="00A36AAE">
            <w:pPr>
              <w:tabs>
                <w:tab w:val="left" w:pos="1316"/>
              </w:tabs>
              <w:spacing w:before="40"/>
              <w:ind w:right="-68"/>
              <w:jc w:val="center"/>
              <w:rPr>
                <w:rFonts w:ascii="Arial Narrow" w:hAnsi="Arial Narrow" w:cs="Arial"/>
                <w:b/>
                <w:sz w:val="18"/>
                <w:szCs w:val="18"/>
              </w:rPr>
            </w:pPr>
            <w:r>
              <w:rPr>
                <w:rFonts w:ascii="Arial Narrow" w:hAnsi="Arial Narrow" w:cs="Arial"/>
                <w:b/>
                <w:sz w:val="18"/>
                <w:szCs w:val="18"/>
              </w:rPr>
              <w:t>tendenziali</w:t>
            </w:r>
          </w:p>
        </w:tc>
        <w:tc>
          <w:tcPr>
            <w:tcW w:w="1842" w:type="dxa"/>
            <w:gridSpan w:val="2"/>
            <w:tcBorders>
              <w:top w:val="single" w:sz="4" w:space="0" w:color="auto"/>
              <w:left w:val="nil"/>
              <w:bottom w:val="single" w:sz="4" w:space="0" w:color="auto"/>
              <w:right w:val="nil"/>
            </w:tcBorders>
            <w:shd w:val="clear" w:color="auto" w:fill="auto"/>
            <w:vAlign w:val="center"/>
          </w:tcPr>
          <w:p w14:paraId="3A5B76E9" w14:textId="77777777" w:rsidR="005115B0" w:rsidRPr="003C7722" w:rsidRDefault="005115B0" w:rsidP="00A36AAE">
            <w:pPr>
              <w:tabs>
                <w:tab w:val="left" w:pos="1316"/>
              </w:tabs>
              <w:spacing w:before="40" w:after="20"/>
              <w:ind w:right="-70"/>
              <w:jc w:val="center"/>
              <w:rPr>
                <w:rFonts w:ascii="Arial Narrow" w:hAnsi="Arial Narrow" w:cs="Arial"/>
                <w:b/>
                <w:sz w:val="18"/>
                <w:szCs w:val="18"/>
              </w:rPr>
            </w:pPr>
            <w:r w:rsidRPr="00AF23DD">
              <w:rPr>
                <w:rFonts w:ascii="Arial Narrow" w:hAnsi="Arial Narrow" w:cs="Arial"/>
                <w:b/>
                <w:sz w:val="18"/>
                <w:szCs w:val="18"/>
              </w:rPr>
              <w:t>Variazioni congiunturali</w:t>
            </w:r>
          </w:p>
        </w:tc>
        <w:tc>
          <w:tcPr>
            <w:tcW w:w="1638" w:type="dxa"/>
            <w:gridSpan w:val="2"/>
            <w:tcBorders>
              <w:top w:val="single" w:sz="4" w:space="0" w:color="auto"/>
              <w:left w:val="nil"/>
              <w:bottom w:val="single" w:sz="4" w:space="0" w:color="auto"/>
              <w:right w:val="nil"/>
            </w:tcBorders>
            <w:shd w:val="clear" w:color="auto" w:fill="auto"/>
            <w:vAlign w:val="center"/>
          </w:tcPr>
          <w:p w14:paraId="61ED9B4A" w14:textId="77777777" w:rsidR="005115B0" w:rsidRDefault="005115B0" w:rsidP="00A36AAE">
            <w:pPr>
              <w:tabs>
                <w:tab w:val="left" w:pos="1316"/>
              </w:tabs>
              <w:spacing w:before="40"/>
              <w:ind w:right="-68"/>
              <w:jc w:val="center"/>
              <w:rPr>
                <w:rFonts w:ascii="Arial Narrow" w:hAnsi="Arial Narrow" w:cs="Arial"/>
                <w:b/>
                <w:sz w:val="18"/>
                <w:szCs w:val="18"/>
              </w:rPr>
            </w:pPr>
            <w:r w:rsidRPr="00AF23DD">
              <w:rPr>
                <w:rFonts w:ascii="Arial Narrow" w:hAnsi="Arial Narrow" w:cs="Arial"/>
                <w:b/>
                <w:sz w:val="18"/>
                <w:szCs w:val="18"/>
              </w:rPr>
              <w:t>Variazioni</w:t>
            </w:r>
          </w:p>
          <w:p w14:paraId="736B4D22" w14:textId="77777777" w:rsidR="005115B0" w:rsidRPr="003C7722" w:rsidRDefault="005115B0" w:rsidP="00A36AAE">
            <w:pPr>
              <w:tabs>
                <w:tab w:val="left" w:pos="1316"/>
              </w:tabs>
              <w:spacing w:before="40"/>
              <w:ind w:right="-68"/>
              <w:jc w:val="center"/>
              <w:rPr>
                <w:rFonts w:ascii="Arial Narrow" w:hAnsi="Arial Narrow" w:cs="Arial"/>
                <w:b/>
                <w:sz w:val="18"/>
                <w:szCs w:val="18"/>
              </w:rPr>
            </w:pPr>
            <w:r>
              <w:rPr>
                <w:rFonts w:ascii="Arial Narrow" w:hAnsi="Arial Narrow" w:cs="Arial"/>
                <w:b/>
                <w:sz w:val="18"/>
                <w:szCs w:val="18"/>
              </w:rPr>
              <w:t>tendenziali</w:t>
            </w:r>
          </w:p>
        </w:tc>
        <w:tc>
          <w:tcPr>
            <w:tcW w:w="1693" w:type="dxa"/>
            <w:gridSpan w:val="2"/>
            <w:vMerge/>
            <w:tcBorders>
              <w:left w:val="nil"/>
              <w:bottom w:val="single" w:sz="4" w:space="0" w:color="auto"/>
              <w:right w:val="nil"/>
            </w:tcBorders>
            <w:shd w:val="clear" w:color="auto" w:fill="D9D9D9"/>
            <w:vAlign w:val="center"/>
          </w:tcPr>
          <w:p w14:paraId="767AF6BA" w14:textId="77777777" w:rsidR="005115B0" w:rsidRPr="00831F78" w:rsidRDefault="005115B0" w:rsidP="00A36AAE">
            <w:pPr>
              <w:spacing w:before="40" w:after="20"/>
              <w:jc w:val="center"/>
              <w:rPr>
                <w:rFonts w:ascii="Arial Narrow" w:hAnsi="Arial Narrow"/>
                <w:b/>
                <w:sz w:val="18"/>
                <w:szCs w:val="18"/>
              </w:rPr>
            </w:pPr>
          </w:p>
        </w:tc>
      </w:tr>
      <w:tr w:rsidR="005115B0" w:rsidRPr="00831F78" w14:paraId="6248D789" w14:textId="77777777" w:rsidTr="00A36AAE">
        <w:trPr>
          <w:trHeight w:val="255"/>
        </w:trPr>
        <w:tc>
          <w:tcPr>
            <w:tcW w:w="1587" w:type="dxa"/>
            <w:vMerge/>
            <w:tcBorders>
              <w:top w:val="single" w:sz="4" w:space="0" w:color="auto"/>
              <w:left w:val="nil"/>
              <w:bottom w:val="single" w:sz="4" w:space="0" w:color="000000"/>
              <w:right w:val="nil"/>
            </w:tcBorders>
            <w:vAlign w:val="center"/>
          </w:tcPr>
          <w:p w14:paraId="60E7F674" w14:textId="77777777" w:rsidR="005115B0" w:rsidRPr="00831F78" w:rsidRDefault="005115B0" w:rsidP="00A36AAE">
            <w:pPr>
              <w:spacing w:before="40" w:after="20"/>
              <w:rPr>
                <w:rFonts w:ascii="Arial Narrow" w:hAnsi="Arial Narrow"/>
                <w:sz w:val="18"/>
                <w:szCs w:val="18"/>
              </w:rPr>
            </w:pPr>
          </w:p>
        </w:tc>
        <w:tc>
          <w:tcPr>
            <w:tcW w:w="1773" w:type="dxa"/>
            <w:gridSpan w:val="2"/>
            <w:tcBorders>
              <w:top w:val="single" w:sz="4" w:space="0" w:color="auto"/>
              <w:left w:val="nil"/>
              <w:bottom w:val="single" w:sz="4" w:space="0" w:color="auto"/>
              <w:right w:val="nil"/>
            </w:tcBorders>
            <w:shd w:val="clear" w:color="auto" w:fill="D9D9D9"/>
            <w:vAlign w:val="center"/>
          </w:tcPr>
          <w:p w14:paraId="3DE6A48C" w14:textId="77777777" w:rsidR="005115B0" w:rsidRPr="00626CC5" w:rsidRDefault="005115B0" w:rsidP="00A36AAE">
            <w:pPr>
              <w:spacing w:before="40" w:after="20"/>
              <w:jc w:val="center"/>
              <w:rPr>
                <w:rFonts w:ascii="Arial Narrow" w:hAnsi="Arial Narrow"/>
                <w:sz w:val="18"/>
                <w:szCs w:val="18"/>
              </w:rPr>
            </w:pPr>
            <w:r w:rsidRPr="00626CC5">
              <w:rPr>
                <w:rFonts w:ascii="Arial Narrow" w:hAnsi="Arial Narrow"/>
                <w:sz w:val="18"/>
                <w:szCs w:val="18"/>
              </w:rPr>
              <w:t>Dati destagionalizzati</w:t>
            </w:r>
          </w:p>
        </w:tc>
        <w:tc>
          <w:tcPr>
            <w:tcW w:w="1702" w:type="dxa"/>
            <w:gridSpan w:val="2"/>
            <w:tcBorders>
              <w:top w:val="single" w:sz="4" w:space="0" w:color="auto"/>
              <w:left w:val="nil"/>
              <w:bottom w:val="single" w:sz="4" w:space="0" w:color="auto"/>
              <w:right w:val="nil"/>
            </w:tcBorders>
            <w:shd w:val="clear" w:color="auto" w:fill="auto"/>
            <w:vAlign w:val="center"/>
          </w:tcPr>
          <w:p w14:paraId="5443519F" w14:textId="77777777" w:rsidR="005115B0" w:rsidRPr="00626CC5" w:rsidRDefault="005115B0" w:rsidP="00A36AAE">
            <w:pPr>
              <w:spacing w:before="40" w:after="20"/>
              <w:jc w:val="center"/>
              <w:rPr>
                <w:rFonts w:ascii="Arial Narrow" w:hAnsi="Arial Narrow"/>
                <w:sz w:val="18"/>
                <w:szCs w:val="18"/>
              </w:rPr>
            </w:pPr>
            <w:r w:rsidRPr="00626CC5">
              <w:rPr>
                <w:rFonts w:ascii="Arial Narrow" w:hAnsi="Arial Narrow"/>
                <w:sz w:val="18"/>
                <w:szCs w:val="18"/>
              </w:rPr>
              <w:t>Dati grezzi</w:t>
            </w:r>
          </w:p>
        </w:tc>
        <w:tc>
          <w:tcPr>
            <w:tcW w:w="1842" w:type="dxa"/>
            <w:gridSpan w:val="2"/>
            <w:tcBorders>
              <w:top w:val="single" w:sz="4" w:space="0" w:color="auto"/>
              <w:left w:val="nil"/>
              <w:bottom w:val="single" w:sz="4" w:space="0" w:color="auto"/>
              <w:right w:val="nil"/>
            </w:tcBorders>
            <w:shd w:val="clear" w:color="auto" w:fill="D9D9D9"/>
            <w:vAlign w:val="center"/>
          </w:tcPr>
          <w:p w14:paraId="359F1488" w14:textId="77777777" w:rsidR="005115B0" w:rsidRPr="00626CC5" w:rsidRDefault="005115B0" w:rsidP="00A36AAE">
            <w:pPr>
              <w:spacing w:before="40" w:after="20"/>
              <w:jc w:val="center"/>
              <w:rPr>
                <w:rFonts w:ascii="Arial Narrow" w:hAnsi="Arial Narrow"/>
                <w:sz w:val="18"/>
                <w:szCs w:val="18"/>
              </w:rPr>
            </w:pPr>
            <w:r w:rsidRPr="00626CC5">
              <w:rPr>
                <w:rFonts w:ascii="Arial Narrow" w:hAnsi="Arial Narrow"/>
                <w:sz w:val="18"/>
                <w:szCs w:val="18"/>
              </w:rPr>
              <w:t>Dati destagionalizzati</w:t>
            </w:r>
          </w:p>
        </w:tc>
        <w:tc>
          <w:tcPr>
            <w:tcW w:w="1638" w:type="dxa"/>
            <w:gridSpan w:val="2"/>
            <w:tcBorders>
              <w:top w:val="single" w:sz="4" w:space="0" w:color="auto"/>
              <w:left w:val="nil"/>
              <w:bottom w:val="single" w:sz="4" w:space="0" w:color="auto"/>
              <w:right w:val="nil"/>
            </w:tcBorders>
            <w:shd w:val="clear" w:color="auto" w:fill="auto"/>
            <w:vAlign w:val="center"/>
          </w:tcPr>
          <w:p w14:paraId="32E38218" w14:textId="77777777" w:rsidR="005115B0" w:rsidRPr="00626CC5" w:rsidRDefault="005115B0" w:rsidP="00A36AAE">
            <w:pPr>
              <w:spacing w:before="40" w:after="20"/>
              <w:jc w:val="center"/>
              <w:rPr>
                <w:rFonts w:ascii="Arial Narrow" w:hAnsi="Arial Narrow"/>
                <w:sz w:val="18"/>
                <w:szCs w:val="18"/>
              </w:rPr>
            </w:pPr>
            <w:r w:rsidRPr="00626CC5">
              <w:rPr>
                <w:rFonts w:ascii="Arial Narrow" w:hAnsi="Arial Narrow"/>
                <w:sz w:val="18"/>
                <w:szCs w:val="18"/>
              </w:rPr>
              <w:t>Dati grezzi</w:t>
            </w:r>
          </w:p>
        </w:tc>
        <w:tc>
          <w:tcPr>
            <w:tcW w:w="1693" w:type="dxa"/>
            <w:gridSpan w:val="2"/>
            <w:tcBorders>
              <w:top w:val="single" w:sz="4" w:space="0" w:color="auto"/>
              <w:left w:val="nil"/>
              <w:bottom w:val="single" w:sz="4" w:space="0" w:color="auto"/>
              <w:right w:val="nil"/>
            </w:tcBorders>
            <w:shd w:val="clear" w:color="auto" w:fill="D9D9D9"/>
            <w:vAlign w:val="center"/>
          </w:tcPr>
          <w:p w14:paraId="5D02A0A5" w14:textId="77777777" w:rsidR="005115B0" w:rsidRPr="00626CC5" w:rsidRDefault="005115B0" w:rsidP="00A36AAE">
            <w:pPr>
              <w:spacing w:before="40" w:after="20"/>
              <w:jc w:val="center"/>
              <w:rPr>
                <w:rFonts w:ascii="Arial Narrow" w:hAnsi="Arial Narrow"/>
                <w:sz w:val="18"/>
                <w:szCs w:val="18"/>
              </w:rPr>
            </w:pPr>
            <w:r w:rsidRPr="00626CC5">
              <w:rPr>
                <w:rFonts w:ascii="Arial Narrow" w:hAnsi="Arial Narrow"/>
                <w:sz w:val="18"/>
                <w:szCs w:val="18"/>
              </w:rPr>
              <w:t>Dati grezzi</w:t>
            </w:r>
          </w:p>
          <w:p w14:paraId="48D9B02F" w14:textId="77777777" w:rsidR="005115B0" w:rsidRPr="00626CC5" w:rsidRDefault="005115B0" w:rsidP="00A36AAE">
            <w:pPr>
              <w:spacing w:before="40" w:after="20"/>
              <w:jc w:val="center"/>
              <w:rPr>
                <w:rFonts w:ascii="Arial Narrow" w:hAnsi="Arial Narrow"/>
                <w:sz w:val="18"/>
                <w:szCs w:val="18"/>
              </w:rPr>
            </w:pPr>
            <w:r w:rsidRPr="00626CC5">
              <w:rPr>
                <w:rFonts w:ascii="Arial Narrow" w:hAnsi="Arial Narrow"/>
                <w:sz w:val="18"/>
                <w:szCs w:val="18"/>
              </w:rPr>
              <w:t>Milioni di euro</w:t>
            </w:r>
          </w:p>
        </w:tc>
      </w:tr>
      <w:tr w:rsidR="002D1D28" w:rsidRPr="00831F78" w14:paraId="5E0E46AB" w14:textId="77777777" w:rsidTr="00A36AAE">
        <w:trPr>
          <w:trHeight w:val="255"/>
        </w:trPr>
        <w:tc>
          <w:tcPr>
            <w:tcW w:w="1587" w:type="dxa"/>
            <w:vMerge/>
            <w:tcBorders>
              <w:top w:val="single" w:sz="4" w:space="0" w:color="auto"/>
              <w:left w:val="nil"/>
              <w:bottom w:val="single" w:sz="4" w:space="0" w:color="000000"/>
              <w:right w:val="nil"/>
            </w:tcBorders>
            <w:vAlign w:val="center"/>
          </w:tcPr>
          <w:p w14:paraId="1F818228" w14:textId="77777777" w:rsidR="002D1D28" w:rsidRPr="00831F78" w:rsidRDefault="002D1D28" w:rsidP="002D1D28">
            <w:pPr>
              <w:spacing w:before="40" w:after="20"/>
              <w:rPr>
                <w:rFonts w:ascii="Arial Narrow" w:hAnsi="Arial Narrow"/>
                <w:sz w:val="18"/>
                <w:szCs w:val="18"/>
              </w:rPr>
            </w:pPr>
          </w:p>
        </w:tc>
        <w:tc>
          <w:tcPr>
            <w:tcW w:w="665" w:type="dxa"/>
            <w:tcBorders>
              <w:top w:val="nil"/>
              <w:left w:val="nil"/>
              <w:right w:val="nil"/>
            </w:tcBorders>
            <w:shd w:val="clear" w:color="auto" w:fill="auto"/>
            <w:vAlign w:val="center"/>
          </w:tcPr>
          <w:p w14:paraId="7ED2C806" w14:textId="77777777" w:rsidR="002D1D28" w:rsidRPr="0069402A" w:rsidRDefault="002D1D28" w:rsidP="002D1D28">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 23</w:t>
            </w:r>
          </w:p>
          <w:p w14:paraId="103D2B45" w14:textId="77508DC8" w:rsidR="002D1D28" w:rsidRPr="003C7722" w:rsidRDefault="002D1D28" w:rsidP="002D1D28">
            <w:pPr>
              <w:spacing w:before="40" w:after="20"/>
              <w:jc w:val="center"/>
              <w:rPr>
                <w:rFonts w:ascii="Arial Narrow" w:hAnsi="Arial Narrow"/>
                <w:sz w:val="18"/>
                <w:szCs w:val="18"/>
                <w:lang w:val="en-US"/>
              </w:rPr>
            </w:pPr>
            <w:r>
              <w:rPr>
                <w:rFonts w:ascii="Arial Narrow" w:hAnsi="Arial Narrow"/>
                <w:sz w:val="18"/>
                <w:szCs w:val="18"/>
                <w:lang w:val="en-US"/>
              </w:rPr>
              <w:t>set 23</w:t>
            </w:r>
          </w:p>
        </w:tc>
        <w:tc>
          <w:tcPr>
            <w:tcW w:w="1108" w:type="dxa"/>
            <w:tcBorders>
              <w:top w:val="nil"/>
              <w:left w:val="nil"/>
              <w:right w:val="nil"/>
            </w:tcBorders>
            <w:shd w:val="clear" w:color="auto" w:fill="auto"/>
            <w:vAlign w:val="center"/>
          </w:tcPr>
          <w:p w14:paraId="302042A4" w14:textId="77777777" w:rsidR="002D1D28" w:rsidRPr="0069402A" w:rsidRDefault="002D1D28" w:rsidP="002D1D28">
            <w:pPr>
              <w:spacing w:before="40" w:after="20"/>
              <w:jc w:val="center"/>
              <w:rPr>
                <w:rFonts w:ascii="Arial Narrow" w:hAnsi="Arial Narrow"/>
                <w:sz w:val="18"/>
                <w:szCs w:val="18"/>
                <w:u w:val="single"/>
                <w:lang w:val="en-US"/>
              </w:rPr>
            </w:pPr>
            <w:r>
              <w:rPr>
                <w:rFonts w:ascii="Arial Narrow" w:hAnsi="Arial Narrow"/>
                <w:sz w:val="18"/>
                <w:szCs w:val="18"/>
                <w:u w:val="single"/>
                <w:lang w:val="en-US"/>
              </w:rPr>
              <w:t>ago-ott 23</w:t>
            </w:r>
          </w:p>
          <w:p w14:paraId="5E2C0F5D" w14:textId="60A95BA7" w:rsidR="002D1D28" w:rsidRPr="003C7722" w:rsidRDefault="002D1D28" w:rsidP="002D1D28">
            <w:pPr>
              <w:spacing w:before="40" w:after="20"/>
              <w:jc w:val="center"/>
              <w:rPr>
                <w:rFonts w:ascii="Arial Narrow" w:hAnsi="Arial Narrow"/>
                <w:sz w:val="18"/>
                <w:szCs w:val="18"/>
                <w:lang w:val="en-US"/>
              </w:rPr>
            </w:pPr>
            <w:r>
              <w:rPr>
                <w:rFonts w:ascii="Arial Narrow" w:hAnsi="Arial Narrow"/>
                <w:sz w:val="18"/>
                <w:szCs w:val="18"/>
                <w:lang w:val="en-US"/>
              </w:rPr>
              <w:t>mag-lug 23</w:t>
            </w:r>
          </w:p>
        </w:tc>
        <w:tc>
          <w:tcPr>
            <w:tcW w:w="685" w:type="dxa"/>
            <w:tcBorders>
              <w:top w:val="nil"/>
              <w:left w:val="nil"/>
              <w:right w:val="nil"/>
            </w:tcBorders>
            <w:shd w:val="clear" w:color="auto" w:fill="auto"/>
            <w:noWrap/>
            <w:vAlign w:val="center"/>
          </w:tcPr>
          <w:p w14:paraId="6AD6CE0D" w14:textId="77777777" w:rsidR="002D1D28" w:rsidRPr="0069402A" w:rsidRDefault="002D1D28" w:rsidP="002D1D28">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 23</w:t>
            </w:r>
          </w:p>
          <w:p w14:paraId="15C27EEA" w14:textId="4DABA8DB" w:rsidR="002D1D28" w:rsidRPr="003C7722" w:rsidRDefault="002D1D28" w:rsidP="002D1D28">
            <w:pPr>
              <w:spacing w:before="40" w:after="20"/>
              <w:jc w:val="center"/>
              <w:rPr>
                <w:rFonts w:ascii="Arial Narrow" w:hAnsi="Arial Narrow"/>
                <w:sz w:val="18"/>
                <w:szCs w:val="18"/>
                <w:lang w:val="en-US"/>
              </w:rPr>
            </w:pPr>
            <w:r>
              <w:rPr>
                <w:rFonts w:ascii="Arial Narrow" w:hAnsi="Arial Narrow"/>
                <w:sz w:val="18"/>
                <w:szCs w:val="18"/>
                <w:lang w:val="en-US"/>
              </w:rPr>
              <w:t>ott 22</w:t>
            </w:r>
          </w:p>
        </w:tc>
        <w:tc>
          <w:tcPr>
            <w:tcW w:w="1017" w:type="dxa"/>
            <w:tcBorders>
              <w:top w:val="nil"/>
              <w:left w:val="nil"/>
              <w:right w:val="nil"/>
            </w:tcBorders>
            <w:shd w:val="clear" w:color="auto" w:fill="auto"/>
            <w:noWrap/>
            <w:vAlign w:val="center"/>
          </w:tcPr>
          <w:p w14:paraId="51291E9F" w14:textId="77777777" w:rsidR="002D1D28" w:rsidRPr="0069402A" w:rsidRDefault="002D1D28" w:rsidP="002D1D28">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gen-ott 23</w:t>
            </w:r>
          </w:p>
          <w:p w14:paraId="40B42F93" w14:textId="3188A356" w:rsidR="002D1D28" w:rsidRPr="003C7722" w:rsidRDefault="002D1D28" w:rsidP="002D1D28">
            <w:pPr>
              <w:spacing w:before="40" w:after="20"/>
              <w:jc w:val="center"/>
              <w:rPr>
                <w:rFonts w:ascii="Arial Narrow" w:hAnsi="Arial Narrow"/>
                <w:sz w:val="18"/>
                <w:szCs w:val="18"/>
                <w:lang w:val="en-US"/>
              </w:rPr>
            </w:pPr>
            <w:r>
              <w:rPr>
                <w:rFonts w:ascii="Arial Narrow" w:hAnsi="Arial Narrow"/>
                <w:sz w:val="18"/>
                <w:szCs w:val="18"/>
                <w:lang w:val="en-US"/>
              </w:rPr>
              <w:t>gen-ott 22</w:t>
            </w:r>
          </w:p>
        </w:tc>
        <w:tc>
          <w:tcPr>
            <w:tcW w:w="708" w:type="dxa"/>
            <w:tcBorders>
              <w:top w:val="nil"/>
              <w:left w:val="nil"/>
              <w:right w:val="nil"/>
            </w:tcBorders>
            <w:shd w:val="clear" w:color="auto" w:fill="auto"/>
            <w:vAlign w:val="center"/>
          </w:tcPr>
          <w:p w14:paraId="26B1FFD4" w14:textId="77777777" w:rsidR="002D1D28" w:rsidRPr="0069402A" w:rsidRDefault="002D1D28" w:rsidP="002D1D28">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 23</w:t>
            </w:r>
          </w:p>
          <w:p w14:paraId="077F3547" w14:textId="15B03831" w:rsidR="002D1D28" w:rsidRPr="003C7722" w:rsidRDefault="002D1D28" w:rsidP="002D1D28">
            <w:pPr>
              <w:spacing w:before="40" w:after="20"/>
              <w:jc w:val="center"/>
              <w:rPr>
                <w:rFonts w:ascii="Arial Narrow" w:hAnsi="Arial Narrow"/>
                <w:sz w:val="18"/>
                <w:szCs w:val="18"/>
                <w:lang w:val="en-US"/>
              </w:rPr>
            </w:pPr>
            <w:r>
              <w:rPr>
                <w:rFonts w:ascii="Arial Narrow" w:hAnsi="Arial Narrow"/>
                <w:sz w:val="18"/>
                <w:szCs w:val="18"/>
                <w:lang w:val="en-US"/>
              </w:rPr>
              <w:t>set 23</w:t>
            </w:r>
          </w:p>
        </w:tc>
        <w:tc>
          <w:tcPr>
            <w:tcW w:w="1134" w:type="dxa"/>
            <w:tcBorders>
              <w:top w:val="nil"/>
              <w:left w:val="nil"/>
              <w:right w:val="nil"/>
            </w:tcBorders>
            <w:shd w:val="clear" w:color="auto" w:fill="auto"/>
            <w:vAlign w:val="center"/>
          </w:tcPr>
          <w:p w14:paraId="55C094ED" w14:textId="77777777" w:rsidR="002D1D28" w:rsidRPr="0069402A" w:rsidRDefault="002D1D28" w:rsidP="002D1D28">
            <w:pPr>
              <w:spacing w:before="40" w:after="20"/>
              <w:jc w:val="center"/>
              <w:rPr>
                <w:rFonts w:ascii="Arial Narrow" w:hAnsi="Arial Narrow"/>
                <w:sz w:val="18"/>
                <w:szCs w:val="18"/>
                <w:u w:val="single"/>
                <w:lang w:val="en-US"/>
              </w:rPr>
            </w:pPr>
            <w:r>
              <w:rPr>
                <w:rFonts w:ascii="Arial Narrow" w:hAnsi="Arial Narrow"/>
                <w:sz w:val="18"/>
                <w:szCs w:val="18"/>
                <w:u w:val="single"/>
                <w:lang w:val="en-US"/>
              </w:rPr>
              <w:t>ago-ott 23</w:t>
            </w:r>
          </w:p>
          <w:p w14:paraId="445A5FC3" w14:textId="581E32B8" w:rsidR="002D1D28" w:rsidRPr="003C7722" w:rsidRDefault="002D1D28" w:rsidP="002D1D28">
            <w:pPr>
              <w:spacing w:before="40" w:after="20"/>
              <w:jc w:val="center"/>
              <w:rPr>
                <w:rFonts w:ascii="Arial Narrow" w:hAnsi="Arial Narrow"/>
                <w:sz w:val="18"/>
                <w:szCs w:val="18"/>
                <w:lang w:val="en-US"/>
              </w:rPr>
            </w:pPr>
            <w:r>
              <w:rPr>
                <w:rFonts w:ascii="Arial Narrow" w:hAnsi="Arial Narrow"/>
                <w:sz w:val="18"/>
                <w:szCs w:val="18"/>
                <w:lang w:val="en-US"/>
              </w:rPr>
              <w:t>mag-lug 23</w:t>
            </w:r>
          </w:p>
        </w:tc>
        <w:tc>
          <w:tcPr>
            <w:tcW w:w="654" w:type="dxa"/>
            <w:tcBorders>
              <w:top w:val="nil"/>
              <w:left w:val="nil"/>
              <w:right w:val="nil"/>
            </w:tcBorders>
            <w:shd w:val="clear" w:color="auto" w:fill="auto"/>
            <w:noWrap/>
            <w:vAlign w:val="center"/>
          </w:tcPr>
          <w:p w14:paraId="443809D2" w14:textId="77777777" w:rsidR="002D1D28" w:rsidRPr="0069402A" w:rsidRDefault="002D1D28" w:rsidP="002D1D28">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 23</w:t>
            </w:r>
          </w:p>
          <w:p w14:paraId="79E000A6" w14:textId="34DD92B5" w:rsidR="002D1D28" w:rsidRPr="003C7722" w:rsidRDefault="002D1D28" w:rsidP="002D1D28">
            <w:pPr>
              <w:spacing w:before="40" w:after="20"/>
              <w:jc w:val="center"/>
              <w:rPr>
                <w:rFonts w:ascii="Arial Narrow" w:hAnsi="Arial Narrow"/>
                <w:sz w:val="18"/>
                <w:szCs w:val="18"/>
                <w:lang w:val="en-US"/>
              </w:rPr>
            </w:pPr>
            <w:r>
              <w:rPr>
                <w:rFonts w:ascii="Arial Narrow" w:hAnsi="Arial Narrow"/>
                <w:sz w:val="18"/>
                <w:szCs w:val="18"/>
                <w:lang w:val="en-US"/>
              </w:rPr>
              <w:t>ott 22</w:t>
            </w:r>
          </w:p>
        </w:tc>
        <w:tc>
          <w:tcPr>
            <w:tcW w:w="984" w:type="dxa"/>
            <w:tcBorders>
              <w:top w:val="nil"/>
              <w:left w:val="nil"/>
              <w:right w:val="nil"/>
            </w:tcBorders>
            <w:shd w:val="clear" w:color="auto" w:fill="auto"/>
            <w:noWrap/>
            <w:vAlign w:val="center"/>
          </w:tcPr>
          <w:p w14:paraId="6CC82B3C" w14:textId="77777777" w:rsidR="002D1D28" w:rsidRPr="0069402A" w:rsidRDefault="002D1D28" w:rsidP="002D1D28">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gen-ott 23</w:t>
            </w:r>
          </w:p>
          <w:p w14:paraId="294D3E2D" w14:textId="562F7B48" w:rsidR="002D1D28" w:rsidRPr="003C7722" w:rsidRDefault="002D1D28" w:rsidP="002D1D28">
            <w:pPr>
              <w:spacing w:before="40" w:after="20"/>
              <w:jc w:val="center"/>
              <w:rPr>
                <w:rFonts w:ascii="Arial Narrow" w:hAnsi="Arial Narrow"/>
                <w:sz w:val="18"/>
                <w:szCs w:val="18"/>
                <w:lang w:val="en-US"/>
              </w:rPr>
            </w:pPr>
            <w:r>
              <w:rPr>
                <w:rFonts w:ascii="Arial Narrow" w:hAnsi="Arial Narrow"/>
                <w:sz w:val="18"/>
                <w:szCs w:val="18"/>
                <w:lang w:val="en-US"/>
              </w:rPr>
              <w:t>gen-ott 22</w:t>
            </w:r>
          </w:p>
        </w:tc>
        <w:tc>
          <w:tcPr>
            <w:tcW w:w="709" w:type="dxa"/>
            <w:tcBorders>
              <w:top w:val="single" w:sz="4" w:space="0" w:color="auto"/>
              <w:left w:val="nil"/>
              <w:right w:val="nil"/>
            </w:tcBorders>
            <w:shd w:val="clear" w:color="auto" w:fill="auto"/>
            <w:vAlign w:val="center"/>
          </w:tcPr>
          <w:p w14:paraId="13571E1D" w14:textId="735C8EF1" w:rsidR="002D1D28" w:rsidRPr="003C7722" w:rsidRDefault="002D1D28" w:rsidP="002D1D28">
            <w:pPr>
              <w:spacing w:before="40" w:after="20"/>
              <w:jc w:val="center"/>
              <w:rPr>
                <w:rFonts w:ascii="Arial Narrow" w:hAnsi="Arial Narrow"/>
                <w:sz w:val="18"/>
                <w:szCs w:val="18"/>
                <w:lang w:val="en-US"/>
              </w:rPr>
            </w:pPr>
            <w:r>
              <w:rPr>
                <w:rFonts w:ascii="Arial Narrow" w:hAnsi="Arial Narrow"/>
                <w:sz w:val="18"/>
                <w:szCs w:val="18"/>
                <w:lang w:val="en-US"/>
              </w:rPr>
              <w:t>ott 23</w:t>
            </w:r>
          </w:p>
        </w:tc>
        <w:tc>
          <w:tcPr>
            <w:tcW w:w="984" w:type="dxa"/>
            <w:tcBorders>
              <w:top w:val="single" w:sz="4" w:space="0" w:color="auto"/>
              <w:left w:val="nil"/>
              <w:right w:val="nil"/>
            </w:tcBorders>
            <w:shd w:val="clear" w:color="auto" w:fill="auto"/>
            <w:vAlign w:val="center"/>
          </w:tcPr>
          <w:p w14:paraId="102B093E" w14:textId="21F037EE" w:rsidR="002D1D28" w:rsidRPr="003C7722" w:rsidRDefault="002D1D28" w:rsidP="002D1D28">
            <w:pPr>
              <w:spacing w:before="40" w:after="20"/>
              <w:jc w:val="center"/>
              <w:rPr>
                <w:rFonts w:ascii="Arial Narrow" w:hAnsi="Arial Narrow"/>
                <w:sz w:val="18"/>
                <w:szCs w:val="18"/>
                <w:lang w:val="en-US"/>
              </w:rPr>
            </w:pPr>
            <w:r>
              <w:rPr>
                <w:rFonts w:ascii="Arial Narrow" w:hAnsi="Arial Narrow"/>
                <w:sz w:val="18"/>
                <w:szCs w:val="18"/>
                <w:lang w:val="en-US"/>
              </w:rPr>
              <w:t>gen-ott 23</w:t>
            </w:r>
          </w:p>
        </w:tc>
      </w:tr>
      <w:tr w:rsidR="002E7D66" w:rsidRPr="008C0651" w14:paraId="39C50B96" w14:textId="77777777" w:rsidTr="002E7D66">
        <w:trPr>
          <w:trHeight w:val="255"/>
        </w:trPr>
        <w:tc>
          <w:tcPr>
            <w:tcW w:w="1587" w:type="dxa"/>
            <w:tcBorders>
              <w:top w:val="single" w:sz="4" w:space="0" w:color="auto"/>
              <w:left w:val="nil"/>
              <w:bottom w:val="single" w:sz="4" w:space="0" w:color="auto"/>
              <w:right w:val="nil"/>
            </w:tcBorders>
            <w:shd w:val="clear" w:color="auto" w:fill="auto"/>
            <w:vAlign w:val="bottom"/>
          </w:tcPr>
          <w:p w14:paraId="64BA0255" w14:textId="77777777" w:rsidR="002E7D66" w:rsidRPr="00831F78" w:rsidRDefault="002E7D66" w:rsidP="002E7D66">
            <w:pPr>
              <w:spacing w:before="40" w:after="20"/>
              <w:rPr>
                <w:rFonts w:ascii="Arial Narrow" w:hAnsi="Arial Narrow"/>
                <w:sz w:val="18"/>
                <w:szCs w:val="18"/>
              </w:rPr>
            </w:pPr>
            <w:r w:rsidRPr="00831F78">
              <w:rPr>
                <w:rFonts w:ascii="Arial Narrow" w:hAnsi="Arial Narrow"/>
                <w:sz w:val="18"/>
                <w:szCs w:val="18"/>
              </w:rPr>
              <w:t>Beni di consumo</w:t>
            </w:r>
          </w:p>
        </w:tc>
        <w:tc>
          <w:tcPr>
            <w:tcW w:w="665" w:type="dxa"/>
            <w:tcBorders>
              <w:top w:val="single" w:sz="4" w:space="0" w:color="auto"/>
              <w:left w:val="nil"/>
              <w:bottom w:val="single" w:sz="4" w:space="0" w:color="auto"/>
              <w:right w:val="nil"/>
            </w:tcBorders>
            <w:shd w:val="clear" w:color="auto" w:fill="D9D9D9"/>
            <w:noWrap/>
            <w:vAlign w:val="center"/>
          </w:tcPr>
          <w:p w14:paraId="4EF86C84" w14:textId="6E7D38CD" w:rsidR="002E7D66" w:rsidRDefault="002E7D66" w:rsidP="002E7D66">
            <w:pPr>
              <w:jc w:val="center"/>
              <w:rPr>
                <w:rFonts w:ascii="Arial Narrow" w:hAnsi="Arial Narrow"/>
                <w:sz w:val="18"/>
                <w:szCs w:val="18"/>
              </w:rPr>
            </w:pPr>
            <w:r>
              <w:rPr>
                <w:rFonts w:ascii="Arial Narrow" w:hAnsi="Arial Narrow"/>
                <w:sz w:val="18"/>
                <w:szCs w:val="18"/>
              </w:rPr>
              <w:t>+4,4</w:t>
            </w:r>
          </w:p>
        </w:tc>
        <w:tc>
          <w:tcPr>
            <w:tcW w:w="1108" w:type="dxa"/>
            <w:tcBorders>
              <w:top w:val="single" w:sz="4" w:space="0" w:color="auto"/>
              <w:left w:val="nil"/>
              <w:bottom w:val="single" w:sz="4" w:space="0" w:color="auto"/>
              <w:right w:val="nil"/>
            </w:tcBorders>
            <w:shd w:val="clear" w:color="auto" w:fill="D9D9D9"/>
            <w:noWrap/>
            <w:vAlign w:val="center"/>
          </w:tcPr>
          <w:p w14:paraId="2B67E48A" w14:textId="6FE526E8" w:rsidR="002E7D66" w:rsidRDefault="002E7D66" w:rsidP="002E7D66">
            <w:pPr>
              <w:jc w:val="center"/>
              <w:rPr>
                <w:rFonts w:ascii="Arial Narrow" w:hAnsi="Arial Narrow"/>
                <w:sz w:val="18"/>
                <w:szCs w:val="18"/>
              </w:rPr>
            </w:pPr>
            <w:r>
              <w:rPr>
                <w:rFonts w:ascii="Arial Narrow" w:hAnsi="Arial Narrow"/>
                <w:sz w:val="18"/>
                <w:szCs w:val="18"/>
              </w:rPr>
              <w:t>+1,2</w:t>
            </w:r>
          </w:p>
        </w:tc>
        <w:tc>
          <w:tcPr>
            <w:tcW w:w="685" w:type="dxa"/>
            <w:tcBorders>
              <w:top w:val="single" w:sz="4" w:space="0" w:color="auto"/>
              <w:left w:val="nil"/>
              <w:bottom w:val="single" w:sz="4" w:space="0" w:color="auto"/>
              <w:right w:val="nil"/>
            </w:tcBorders>
            <w:shd w:val="clear" w:color="auto" w:fill="auto"/>
            <w:noWrap/>
            <w:vAlign w:val="center"/>
          </w:tcPr>
          <w:p w14:paraId="4BB73AC7" w14:textId="70E43AE6" w:rsidR="002E7D66" w:rsidRDefault="002E7D66" w:rsidP="002E7D66">
            <w:pPr>
              <w:jc w:val="center"/>
              <w:rPr>
                <w:rFonts w:ascii="Arial Narrow" w:hAnsi="Arial Narrow"/>
                <w:sz w:val="18"/>
                <w:szCs w:val="18"/>
              </w:rPr>
            </w:pPr>
            <w:r>
              <w:rPr>
                <w:rFonts w:ascii="Arial Narrow" w:hAnsi="Arial Narrow"/>
                <w:sz w:val="18"/>
                <w:szCs w:val="18"/>
              </w:rPr>
              <w:t>+4,6</w:t>
            </w:r>
          </w:p>
        </w:tc>
        <w:tc>
          <w:tcPr>
            <w:tcW w:w="1017" w:type="dxa"/>
            <w:tcBorders>
              <w:top w:val="single" w:sz="4" w:space="0" w:color="auto"/>
              <w:left w:val="nil"/>
              <w:bottom w:val="single" w:sz="4" w:space="0" w:color="auto"/>
              <w:right w:val="nil"/>
            </w:tcBorders>
            <w:shd w:val="clear" w:color="auto" w:fill="auto"/>
            <w:noWrap/>
            <w:vAlign w:val="center"/>
          </w:tcPr>
          <w:p w14:paraId="4F56CA6B" w14:textId="6AD9FA0D" w:rsidR="002E7D66" w:rsidRDefault="002E7D66" w:rsidP="002E7D66">
            <w:pPr>
              <w:jc w:val="center"/>
              <w:rPr>
                <w:rFonts w:ascii="Arial Narrow" w:hAnsi="Arial Narrow"/>
                <w:sz w:val="18"/>
                <w:szCs w:val="18"/>
              </w:rPr>
            </w:pPr>
            <w:r>
              <w:rPr>
                <w:rFonts w:ascii="Arial Narrow" w:hAnsi="Arial Narrow"/>
                <w:sz w:val="18"/>
                <w:szCs w:val="18"/>
              </w:rPr>
              <w:t>+3,8</w:t>
            </w:r>
          </w:p>
        </w:tc>
        <w:tc>
          <w:tcPr>
            <w:tcW w:w="708" w:type="dxa"/>
            <w:tcBorders>
              <w:top w:val="single" w:sz="4" w:space="0" w:color="auto"/>
              <w:left w:val="nil"/>
              <w:bottom w:val="single" w:sz="4" w:space="0" w:color="auto"/>
              <w:right w:val="nil"/>
            </w:tcBorders>
            <w:shd w:val="clear" w:color="auto" w:fill="D9D9D9"/>
            <w:noWrap/>
            <w:vAlign w:val="center"/>
          </w:tcPr>
          <w:p w14:paraId="4FA05AD0" w14:textId="008F94EA" w:rsidR="002E7D66" w:rsidRDefault="002E7D66" w:rsidP="002E7D66">
            <w:pPr>
              <w:jc w:val="center"/>
              <w:rPr>
                <w:rFonts w:ascii="Arial Narrow" w:hAnsi="Arial Narrow"/>
                <w:sz w:val="18"/>
                <w:szCs w:val="18"/>
              </w:rPr>
            </w:pPr>
            <w:r>
              <w:rPr>
                <w:rFonts w:ascii="Arial Narrow" w:hAnsi="Arial Narrow"/>
                <w:sz w:val="18"/>
                <w:szCs w:val="18"/>
              </w:rPr>
              <w:t>+4,8</w:t>
            </w:r>
          </w:p>
        </w:tc>
        <w:tc>
          <w:tcPr>
            <w:tcW w:w="1134" w:type="dxa"/>
            <w:tcBorders>
              <w:top w:val="single" w:sz="4" w:space="0" w:color="auto"/>
              <w:left w:val="nil"/>
              <w:bottom w:val="single" w:sz="4" w:space="0" w:color="auto"/>
              <w:right w:val="nil"/>
            </w:tcBorders>
            <w:shd w:val="clear" w:color="auto" w:fill="D9D9D9"/>
            <w:noWrap/>
            <w:vAlign w:val="center"/>
          </w:tcPr>
          <w:p w14:paraId="55C8C5A3" w14:textId="6D0A0BD1" w:rsidR="002E7D66" w:rsidRDefault="002E7D66" w:rsidP="002E7D66">
            <w:pPr>
              <w:jc w:val="center"/>
              <w:rPr>
                <w:rFonts w:ascii="Arial Narrow" w:hAnsi="Arial Narrow"/>
                <w:sz w:val="18"/>
                <w:szCs w:val="18"/>
              </w:rPr>
            </w:pPr>
            <w:r>
              <w:rPr>
                <w:rFonts w:ascii="Arial Narrow" w:hAnsi="Arial Narrow"/>
                <w:sz w:val="18"/>
                <w:szCs w:val="18"/>
              </w:rPr>
              <w:t>+0,5</w:t>
            </w:r>
          </w:p>
        </w:tc>
        <w:tc>
          <w:tcPr>
            <w:tcW w:w="654" w:type="dxa"/>
            <w:tcBorders>
              <w:top w:val="single" w:sz="4" w:space="0" w:color="auto"/>
              <w:left w:val="nil"/>
              <w:bottom w:val="single" w:sz="4" w:space="0" w:color="auto"/>
              <w:right w:val="nil"/>
            </w:tcBorders>
            <w:shd w:val="clear" w:color="auto" w:fill="auto"/>
            <w:noWrap/>
            <w:vAlign w:val="center"/>
          </w:tcPr>
          <w:p w14:paraId="1252E385" w14:textId="473B8496" w:rsidR="002E7D66" w:rsidRDefault="002E7D66" w:rsidP="002E7D66">
            <w:pPr>
              <w:jc w:val="center"/>
              <w:rPr>
                <w:rFonts w:ascii="Arial Narrow" w:hAnsi="Arial Narrow"/>
                <w:sz w:val="18"/>
                <w:szCs w:val="18"/>
              </w:rPr>
            </w:pPr>
            <w:r>
              <w:rPr>
                <w:rFonts w:ascii="Arial Narrow" w:hAnsi="Arial Narrow"/>
                <w:sz w:val="18"/>
                <w:szCs w:val="18"/>
              </w:rPr>
              <w:t>+0,7</w:t>
            </w:r>
          </w:p>
        </w:tc>
        <w:tc>
          <w:tcPr>
            <w:tcW w:w="984" w:type="dxa"/>
            <w:tcBorders>
              <w:top w:val="single" w:sz="4" w:space="0" w:color="auto"/>
              <w:left w:val="nil"/>
              <w:bottom w:val="single" w:sz="4" w:space="0" w:color="auto"/>
              <w:right w:val="nil"/>
            </w:tcBorders>
            <w:shd w:val="clear" w:color="auto" w:fill="auto"/>
            <w:noWrap/>
            <w:vAlign w:val="center"/>
          </w:tcPr>
          <w:p w14:paraId="10EF2EF9" w14:textId="0EF1DDED" w:rsidR="002E7D66" w:rsidRDefault="002E7D66" w:rsidP="002E7D66">
            <w:pPr>
              <w:jc w:val="center"/>
              <w:rPr>
                <w:rFonts w:ascii="Arial Narrow" w:hAnsi="Arial Narrow"/>
                <w:sz w:val="18"/>
                <w:szCs w:val="18"/>
              </w:rPr>
            </w:pPr>
            <w:r>
              <w:rPr>
                <w:rFonts w:ascii="Arial Narrow" w:hAnsi="Arial Narrow"/>
                <w:sz w:val="18"/>
                <w:szCs w:val="18"/>
              </w:rPr>
              <w:t>+1,2</w:t>
            </w:r>
          </w:p>
        </w:tc>
        <w:tc>
          <w:tcPr>
            <w:tcW w:w="709" w:type="dxa"/>
            <w:tcBorders>
              <w:top w:val="single" w:sz="4" w:space="0" w:color="auto"/>
              <w:left w:val="nil"/>
              <w:bottom w:val="single" w:sz="4" w:space="0" w:color="auto"/>
              <w:right w:val="nil"/>
            </w:tcBorders>
            <w:shd w:val="clear" w:color="auto" w:fill="D9D9D9"/>
            <w:noWrap/>
            <w:vAlign w:val="center"/>
          </w:tcPr>
          <w:p w14:paraId="42E9CF23" w14:textId="538431B4" w:rsidR="002E7D66" w:rsidRDefault="002E7D66" w:rsidP="002E7D66">
            <w:pPr>
              <w:jc w:val="center"/>
              <w:rPr>
                <w:rFonts w:ascii="Arial Narrow" w:hAnsi="Arial Narrow"/>
                <w:sz w:val="18"/>
                <w:szCs w:val="18"/>
              </w:rPr>
            </w:pPr>
            <w:r>
              <w:rPr>
                <w:rFonts w:ascii="Arial Narrow" w:hAnsi="Arial Narrow"/>
                <w:sz w:val="18"/>
                <w:szCs w:val="18"/>
              </w:rPr>
              <w:t>+5.448</w:t>
            </w:r>
          </w:p>
        </w:tc>
        <w:tc>
          <w:tcPr>
            <w:tcW w:w="984" w:type="dxa"/>
            <w:tcBorders>
              <w:top w:val="single" w:sz="4" w:space="0" w:color="auto"/>
              <w:left w:val="nil"/>
              <w:bottom w:val="single" w:sz="4" w:space="0" w:color="auto"/>
              <w:right w:val="nil"/>
            </w:tcBorders>
            <w:shd w:val="clear" w:color="auto" w:fill="D9D9D9"/>
            <w:vAlign w:val="center"/>
          </w:tcPr>
          <w:p w14:paraId="1EBC52E6" w14:textId="1B1351E7" w:rsidR="002E7D66" w:rsidRDefault="002E7D66" w:rsidP="002E7D66">
            <w:pPr>
              <w:jc w:val="center"/>
              <w:rPr>
                <w:rFonts w:ascii="Arial Narrow" w:hAnsi="Arial Narrow"/>
                <w:sz w:val="18"/>
                <w:szCs w:val="18"/>
              </w:rPr>
            </w:pPr>
            <w:r>
              <w:rPr>
                <w:rFonts w:ascii="Arial Narrow" w:hAnsi="Arial Narrow"/>
                <w:sz w:val="18"/>
                <w:szCs w:val="18"/>
              </w:rPr>
              <w:t>+45.799</w:t>
            </w:r>
          </w:p>
        </w:tc>
      </w:tr>
      <w:tr w:rsidR="002E7D66" w:rsidRPr="008C0651" w14:paraId="5EBC3211" w14:textId="77777777" w:rsidTr="002E7D66">
        <w:trPr>
          <w:trHeight w:val="255"/>
        </w:trPr>
        <w:tc>
          <w:tcPr>
            <w:tcW w:w="1587" w:type="dxa"/>
            <w:tcBorders>
              <w:top w:val="single" w:sz="4" w:space="0" w:color="auto"/>
              <w:left w:val="nil"/>
              <w:bottom w:val="single" w:sz="4" w:space="0" w:color="auto"/>
              <w:right w:val="nil"/>
            </w:tcBorders>
            <w:shd w:val="clear" w:color="auto" w:fill="auto"/>
            <w:vAlign w:val="bottom"/>
          </w:tcPr>
          <w:p w14:paraId="575A3EA6" w14:textId="77777777" w:rsidR="002E7D66" w:rsidRPr="00AB0DE6" w:rsidRDefault="002E7D66" w:rsidP="002E7D66">
            <w:pPr>
              <w:spacing w:before="40" w:after="20"/>
              <w:rPr>
                <w:rFonts w:ascii="Arial Narrow" w:hAnsi="Arial Narrow"/>
                <w:sz w:val="18"/>
                <w:szCs w:val="18"/>
              </w:rPr>
            </w:pPr>
            <w:r w:rsidRPr="00AB0DE6">
              <w:rPr>
                <w:rFonts w:ascii="Arial Narrow" w:hAnsi="Arial Narrow"/>
                <w:sz w:val="18"/>
                <w:szCs w:val="18"/>
              </w:rPr>
              <w:t xml:space="preserve">  </w:t>
            </w:r>
            <w:r>
              <w:rPr>
                <w:rFonts w:ascii="Arial Narrow" w:hAnsi="Arial Narrow"/>
                <w:sz w:val="18"/>
                <w:szCs w:val="18"/>
              </w:rPr>
              <w:t>d</w:t>
            </w:r>
            <w:r w:rsidRPr="00AB0DE6">
              <w:rPr>
                <w:rFonts w:ascii="Arial Narrow" w:hAnsi="Arial Narrow"/>
                <w:sz w:val="18"/>
                <w:szCs w:val="18"/>
              </w:rPr>
              <w:t>urevoli</w:t>
            </w:r>
          </w:p>
        </w:tc>
        <w:tc>
          <w:tcPr>
            <w:tcW w:w="665" w:type="dxa"/>
            <w:tcBorders>
              <w:top w:val="single" w:sz="4" w:space="0" w:color="auto"/>
              <w:left w:val="nil"/>
              <w:bottom w:val="single" w:sz="4" w:space="0" w:color="auto"/>
              <w:right w:val="nil"/>
            </w:tcBorders>
            <w:shd w:val="clear" w:color="auto" w:fill="D9D9D9"/>
            <w:noWrap/>
            <w:vAlign w:val="center"/>
          </w:tcPr>
          <w:p w14:paraId="3C22593F" w14:textId="7F6713AB" w:rsidR="002E7D66" w:rsidRDefault="002E7D66" w:rsidP="002E7D66">
            <w:pPr>
              <w:jc w:val="center"/>
              <w:rPr>
                <w:rFonts w:ascii="Arial Narrow" w:hAnsi="Arial Narrow"/>
                <w:sz w:val="18"/>
                <w:szCs w:val="18"/>
              </w:rPr>
            </w:pPr>
            <w:r>
              <w:rPr>
                <w:rFonts w:ascii="Arial Narrow" w:hAnsi="Arial Narrow"/>
                <w:sz w:val="18"/>
                <w:szCs w:val="18"/>
              </w:rPr>
              <w:t>+1,3</w:t>
            </w:r>
          </w:p>
        </w:tc>
        <w:tc>
          <w:tcPr>
            <w:tcW w:w="1108" w:type="dxa"/>
            <w:tcBorders>
              <w:top w:val="single" w:sz="4" w:space="0" w:color="auto"/>
              <w:left w:val="nil"/>
              <w:bottom w:val="single" w:sz="4" w:space="0" w:color="auto"/>
              <w:right w:val="nil"/>
            </w:tcBorders>
            <w:shd w:val="clear" w:color="auto" w:fill="D9D9D9"/>
            <w:noWrap/>
            <w:vAlign w:val="center"/>
          </w:tcPr>
          <w:p w14:paraId="0CC691CB" w14:textId="03C1D6DD" w:rsidR="002E7D66" w:rsidRDefault="002E7D66" w:rsidP="002E7D66">
            <w:pPr>
              <w:jc w:val="center"/>
              <w:rPr>
                <w:rFonts w:ascii="Arial Narrow" w:hAnsi="Arial Narrow"/>
                <w:sz w:val="18"/>
                <w:szCs w:val="18"/>
              </w:rPr>
            </w:pPr>
            <w:r>
              <w:rPr>
                <w:rFonts w:ascii="Arial Narrow" w:hAnsi="Arial Narrow"/>
                <w:sz w:val="18"/>
                <w:szCs w:val="18"/>
              </w:rPr>
              <w:t>-2,2</w:t>
            </w:r>
          </w:p>
        </w:tc>
        <w:tc>
          <w:tcPr>
            <w:tcW w:w="685" w:type="dxa"/>
            <w:tcBorders>
              <w:top w:val="single" w:sz="4" w:space="0" w:color="auto"/>
              <w:left w:val="nil"/>
              <w:bottom w:val="single" w:sz="4" w:space="0" w:color="auto"/>
              <w:right w:val="nil"/>
            </w:tcBorders>
            <w:shd w:val="clear" w:color="auto" w:fill="auto"/>
            <w:noWrap/>
            <w:vAlign w:val="center"/>
          </w:tcPr>
          <w:p w14:paraId="38D3CC4C" w14:textId="7FEA1EAC" w:rsidR="002E7D66" w:rsidRDefault="002E7D66" w:rsidP="002E7D66">
            <w:pPr>
              <w:jc w:val="center"/>
              <w:rPr>
                <w:rFonts w:ascii="Arial Narrow" w:hAnsi="Arial Narrow"/>
                <w:sz w:val="18"/>
                <w:szCs w:val="18"/>
              </w:rPr>
            </w:pPr>
            <w:r>
              <w:rPr>
                <w:rFonts w:ascii="Arial Narrow" w:hAnsi="Arial Narrow"/>
                <w:sz w:val="18"/>
                <w:szCs w:val="18"/>
              </w:rPr>
              <w:t>+2,0</w:t>
            </w:r>
          </w:p>
        </w:tc>
        <w:tc>
          <w:tcPr>
            <w:tcW w:w="1017" w:type="dxa"/>
            <w:tcBorders>
              <w:top w:val="single" w:sz="4" w:space="0" w:color="auto"/>
              <w:left w:val="nil"/>
              <w:bottom w:val="single" w:sz="4" w:space="0" w:color="auto"/>
              <w:right w:val="nil"/>
            </w:tcBorders>
            <w:shd w:val="clear" w:color="auto" w:fill="auto"/>
            <w:noWrap/>
            <w:vAlign w:val="center"/>
          </w:tcPr>
          <w:p w14:paraId="30515840" w14:textId="62569095" w:rsidR="002E7D66" w:rsidRDefault="002E7D66" w:rsidP="002E7D66">
            <w:pPr>
              <w:jc w:val="center"/>
              <w:rPr>
                <w:rFonts w:ascii="Arial Narrow" w:hAnsi="Arial Narrow"/>
                <w:sz w:val="18"/>
                <w:szCs w:val="18"/>
              </w:rPr>
            </w:pPr>
            <w:r>
              <w:rPr>
                <w:rFonts w:ascii="Arial Narrow" w:hAnsi="Arial Narrow"/>
                <w:sz w:val="18"/>
                <w:szCs w:val="18"/>
              </w:rPr>
              <w:t>-0,3</w:t>
            </w:r>
          </w:p>
        </w:tc>
        <w:tc>
          <w:tcPr>
            <w:tcW w:w="708" w:type="dxa"/>
            <w:tcBorders>
              <w:top w:val="single" w:sz="4" w:space="0" w:color="auto"/>
              <w:left w:val="nil"/>
              <w:bottom w:val="single" w:sz="4" w:space="0" w:color="auto"/>
              <w:right w:val="nil"/>
            </w:tcBorders>
            <w:shd w:val="clear" w:color="auto" w:fill="D9D9D9"/>
            <w:noWrap/>
            <w:vAlign w:val="center"/>
          </w:tcPr>
          <w:p w14:paraId="3BB36485" w14:textId="76F926F6" w:rsidR="002E7D66" w:rsidRDefault="002E7D66" w:rsidP="002E7D66">
            <w:pPr>
              <w:jc w:val="center"/>
              <w:rPr>
                <w:rFonts w:ascii="Arial Narrow" w:hAnsi="Arial Narrow"/>
                <w:sz w:val="18"/>
                <w:szCs w:val="18"/>
              </w:rPr>
            </w:pPr>
            <w:r>
              <w:rPr>
                <w:rFonts w:ascii="Arial Narrow" w:hAnsi="Arial Narrow"/>
                <w:sz w:val="18"/>
                <w:szCs w:val="18"/>
              </w:rPr>
              <w:t>+5,2</w:t>
            </w:r>
          </w:p>
        </w:tc>
        <w:tc>
          <w:tcPr>
            <w:tcW w:w="1134" w:type="dxa"/>
            <w:tcBorders>
              <w:top w:val="single" w:sz="4" w:space="0" w:color="auto"/>
              <w:left w:val="nil"/>
              <w:bottom w:val="single" w:sz="4" w:space="0" w:color="auto"/>
              <w:right w:val="nil"/>
            </w:tcBorders>
            <w:shd w:val="clear" w:color="auto" w:fill="D9D9D9"/>
            <w:noWrap/>
            <w:vAlign w:val="center"/>
          </w:tcPr>
          <w:p w14:paraId="6C2410EA" w14:textId="1702DA11" w:rsidR="002E7D66" w:rsidRDefault="002E7D66" w:rsidP="002E7D66">
            <w:pPr>
              <w:jc w:val="center"/>
              <w:rPr>
                <w:rFonts w:ascii="Arial Narrow" w:hAnsi="Arial Narrow"/>
                <w:sz w:val="18"/>
                <w:szCs w:val="18"/>
              </w:rPr>
            </w:pPr>
            <w:r>
              <w:rPr>
                <w:rFonts w:ascii="Arial Narrow" w:hAnsi="Arial Narrow"/>
                <w:sz w:val="18"/>
                <w:szCs w:val="18"/>
              </w:rPr>
              <w:t>-3,1</w:t>
            </w:r>
          </w:p>
        </w:tc>
        <w:tc>
          <w:tcPr>
            <w:tcW w:w="654" w:type="dxa"/>
            <w:tcBorders>
              <w:top w:val="single" w:sz="4" w:space="0" w:color="auto"/>
              <w:left w:val="nil"/>
              <w:bottom w:val="single" w:sz="4" w:space="0" w:color="auto"/>
              <w:right w:val="nil"/>
            </w:tcBorders>
            <w:shd w:val="clear" w:color="auto" w:fill="auto"/>
            <w:noWrap/>
            <w:vAlign w:val="center"/>
          </w:tcPr>
          <w:p w14:paraId="3EA9CF9A" w14:textId="057B025F" w:rsidR="002E7D66" w:rsidRDefault="002E7D66" w:rsidP="002E7D66">
            <w:pPr>
              <w:jc w:val="center"/>
              <w:rPr>
                <w:rFonts w:ascii="Arial Narrow" w:hAnsi="Arial Narrow"/>
                <w:sz w:val="18"/>
                <w:szCs w:val="18"/>
              </w:rPr>
            </w:pPr>
            <w:r>
              <w:rPr>
                <w:rFonts w:ascii="Arial Narrow" w:hAnsi="Arial Narrow"/>
                <w:sz w:val="18"/>
                <w:szCs w:val="18"/>
              </w:rPr>
              <w:t>+2,5</w:t>
            </w:r>
          </w:p>
        </w:tc>
        <w:tc>
          <w:tcPr>
            <w:tcW w:w="984" w:type="dxa"/>
            <w:tcBorders>
              <w:top w:val="single" w:sz="4" w:space="0" w:color="auto"/>
              <w:left w:val="nil"/>
              <w:bottom w:val="single" w:sz="4" w:space="0" w:color="auto"/>
              <w:right w:val="nil"/>
            </w:tcBorders>
            <w:shd w:val="clear" w:color="auto" w:fill="auto"/>
            <w:noWrap/>
            <w:vAlign w:val="center"/>
          </w:tcPr>
          <w:p w14:paraId="138E24AF" w14:textId="0CBE2087" w:rsidR="002E7D66" w:rsidRDefault="002E7D66" w:rsidP="002E7D66">
            <w:pPr>
              <w:jc w:val="center"/>
              <w:rPr>
                <w:rFonts w:ascii="Arial Narrow" w:hAnsi="Arial Narrow"/>
                <w:sz w:val="18"/>
                <w:szCs w:val="18"/>
              </w:rPr>
            </w:pPr>
            <w:r>
              <w:rPr>
                <w:rFonts w:ascii="Arial Narrow" w:hAnsi="Arial Narrow"/>
                <w:sz w:val="18"/>
                <w:szCs w:val="18"/>
              </w:rPr>
              <w:t>-3,6</w:t>
            </w:r>
          </w:p>
        </w:tc>
        <w:tc>
          <w:tcPr>
            <w:tcW w:w="709" w:type="dxa"/>
            <w:tcBorders>
              <w:top w:val="single" w:sz="4" w:space="0" w:color="auto"/>
              <w:left w:val="nil"/>
              <w:bottom w:val="single" w:sz="4" w:space="0" w:color="auto"/>
              <w:right w:val="nil"/>
            </w:tcBorders>
            <w:shd w:val="clear" w:color="auto" w:fill="D9D9D9"/>
            <w:noWrap/>
            <w:vAlign w:val="center"/>
          </w:tcPr>
          <w:p w14:paraId="4F2209F7" w14:textId="1B51D376" w:rsidR="002E7D66" w:rsidRDefault="002E7D66" w:rsidP="002E7D66">
            <w:pPr>
              <w:jc w:val="center"/>
              <w:rPr>
                <w:rFonts w:ascii="Arial Narrow" w:hAnsi="Arial Narrow"/>
                <w:sz w:val="18"/>
                <w:szCs w:val="18"/>
              </w:rPr>
            </w:pPr>
            <w:r>
              <w:rPr>
                <w:rFonts w:ascii="Arial Narrow" w:hAnsi="Arial Narrow"/>
                <w:sz w:val="18"/>
                <w:szCs w:val="18"/>
              </w:rPr>
              <w:t>+1.519</w:t>
            </w:r>
          </w:p>
        </w:tc>
        <w:tc>
          <w:tcPr>
            <w:tcW w:w="984" w:type="dxa"/>
            <w:tcBorders>
              <w:top w:val="single" w:sz="4" w:space="0" w:color="auto"/>
              <w:left w:val="nil"/>
              <w:bottom w:val="single" w:sz="4" w:space="0" w:color="auto"/>
              <w:right w:val="nil"/>
            </w:tcBorders>
            <w:shd w:val="clear" w:color="auto" w:fill="D9D9D9"/>
            <w:vAlign w:val="center"/>
          </w:tcPr>
          <w:p w14:paraId="67E53201" w14:textId="427B7235" w:rsidR="002E7D66" w:rsidRDefault="002E7D66" w:rsidP="002E7D66">
            <w:pPr>
              <w:jc w:val="center"/>
              <w:rPr>
                <w:rFonts w:ascii="Arial Narrow" w:hAnsi="Arial Narrow"/>
                <w:sz w:val="18"/>
                <w:szCs w:val="18"/>
              </w:rPr>
            </w:pPr>
            <w:r>
              <w:rPr>
                <w:rFonts w:ascii="Arial Narrow" w:hAnsi="Arial Narrow"/>
                <w:sz w:val="18"/>
                <w:szCs w:val="18"/>
              </w:rPr>
              <w:t>+13.853</w:t>
            </w:r>
          </w:p>
        </w:tc>
      </w:tr>
      <w:tr w:rsidR="002E7D66" w:rsidRPr="008C0651" w14:paraId="1586ACE3" w14:textId="77777777" w:rsidTr="002E7D66">
        <w:trPr>
          <w:trHeight w:val="255"/>
        </w:trPr>
        <w:tc>
          <w:tcPr>
            <w:tcW w:w="1587" w:type="dxa"/>
            <w:tcBorders>
              <w:top w:val="single" w:sz="4" w:space="0" w:color="auto"/>
              <w:left w:val="nil"/>
              <w:bottom w:val="single" w:sz="4" w:space="0" w:color="auto"/>
              <w:right w:val="nil"/>
            </w:tcBorders>
            <w:shd w:val="clear" w:color="auto" w:fill="auto"/>
            <w:vAlign w:val="bottom"/>
          </w:tcPr>
          <w:p w14:paraId="74D9B0FB" w14:textId="77777777" w:rsidR="002E7D66" w:rsidRPr="00AB0DE6" w:rsidRDefault="002E7D66" w:rsidP="002E7D66">
            <w:pPr>
              <w:spacing w:before="40" w:after="20"/>
              <w:rPr>
                <w:rFonts w:ascii="Arial Narrow" w:hAnsi="Arial Narrow"/>
                <w:sz w:val="18"/>
                <w:szCs w:val="18"/>
              </w:rPr>
            </w:pPr>
            <w:r w:rsidRPr="00AB0DE6">
              <w:rPr>
                <w:rFonts w:ascii="Arial Narrow" w:hAnsi="Arial Narrow"/>
                <w:sz w:val="18"/>
                <w:szCs w:val="18"/>
              </w:rPr>
              <w:t xml:space="preserve">  non durevoli</w:t>
            </w:r>
          </w:p>
        </w:tc>
        <w:tc>
          <w:tcPr>
            <w:tcW w:w="665" w:type="dxa"/>
            <w:tcBorders>
              <w:top w:val="single" w:sz="4" w:space="0" w:color="auto"/>
              <w:left w:val="nil"/>
              <w:bottom w:val="single" w:sz="4" w:space="0" w:color="auto"/>
              <w:right w:val="nil"/>
            </w:tcBorders>
            <w:shd w:val="clear" w:color="auto" w:fill="D9D9D9"/>
            <w:noWrap/>
            <w:vAlign w:val="center"/>
          </w:tcPr>
          <w:p w14:paraId="5E678238" w14:textId="4091E660" w:rsidR="002E7D66" w:rsidRDefault="002E7D66" w:rsidP="002E7D66">
            <w:pPr>
              <w:jc w:val="center"/>
              <w:rPr>
                <w:rFonts w:ascii="Arial Narrow" w:hAnsi="Arial Narrow"/>
                <w:sz w:val="18"/>
                <w:szCs w:val="18"/>
              </w:rPr>
            </w:pPr>
            <w:r>
              <w:rPr>
                <w:rFonts w:ascii="Arial Narrow" w:hAnsi="Arial Narrow"/>
                <w:sz w:val="18"/>
                <w:szCs w:val="18"/>
              </w:rPr>
              <w:t>+5,1</w:t>
            </w:r>
          </w:p>
        </w:tc>
        <w:tc>
          <w:tcPr>
            <w:tcW w:w="1108" w:type="dxa"/>
            <w:tcBorders>
              <w:top w:val="single" w:sz="4" w:space="0" w:color="auto"/>
              <w:left w:val="nil"/>
              <w:bottom w:val="single" w:sz="4" w:space="0" w:color="auto"/>
              <w:right w:val="nil"/>
            </w:tcBorders>
            <w:shd w:val="clear" w:color="auto" w:fill="D9D9D9"/>
            <w:noWrap/>
            <w:vAlign w:val="center"/>
          </w:tcPr>
          <w:p w14:paraId="43FB940E" w14:textId="00D81119" w:rsidR="002E7D66" w:rsidRDefault="002E7D66" w:rsidP="002E7D66">
            <w:pPr>
              <w:jc w:val="center"/>
              <w:rPr>
                <w:rFonts w:ascii="Arial Narrow" w:hAnsi="Arial Narrow"/>
                <w:sz w:val="18"/>
                <w:szCs w:val="18"/>
              </w:rPr>
            </w:pPr>
            <w:r>
              <w:rPr>
                <w:rFonts w:ascii="Arial Narrow" w:hAnsi="Arial Narrow"/>
                <w:sz w:val="18"/>
                <w:szCs w:val="18"/>
              </w:rPr>
              <w:t>+1,9</w:t>
            </w:r>
          </w:p>
        </w:tc>
        <w:tc>
          <w:tcPr>
            <w:tcW w:w="685" w:type="dxa"/>
            <w:tcBorders>
              <w:top w:val="single" w:sz="4" w:space="0" w:color="auto"/>
              <w:left w:val="nil"/>
              <w:bottom w:val="single" w:sz="4" w:space="0" w:color="auto"/>
              <w:right w:val="nil"/>
            </w:tcBorders>
            <w:shd w:val="clear" w:color="auto" w:fill="auto"/>
            <w:noWrap/>
            <w:vAlign w:val="center"/>
          </w:tcPr>
          <w:p w14:paraId="256BC4A4" w14:textId="3E931E9D" w:rsidR="002E7D66" w:rsidRDefault="002E7D66" w:rsidP="002E7D66">
            <w:pPr>
              <w:jc w:val="center"/>
              <w:rPr>
                <w:rFonts w:ascii="Arial Narrow" w:hAnsi="Arial Narrow"/>
                <w:sz w:val="18"/>
                <w:szCs w:val="18"/>
              </w:rPr>
            </w:pPr>
            <w:r>
              <w:rPr>
                <w:rFonts w:ascii="Arial Narrow" w:hAnsi="Arial Narrow"/>
                <w:sz w:val="18"/>
                <w:szCs w:val="18"/>
              </w:rPr>
              <w:t>+5,1</w:t>
            </w:r>
          </w:p>
        </w:tc>
        <w:tc>
          <w:tcPr>
            <w:tcW w:w="1017" w:type="dxa"/>
            <w:tcBorders>
              <w:top w:val="single" w:sz="4" w:space="0" w:color="auto"/>
              <w:left w:val="nil"/>
              <w:bottom w:val="single" w:sz="4" w:space="0" w:color="auto"/>
              <w:right w:val="nil"/>
            </w:tcBorders>
            <w:shd w:val="clear" w:color="auto" w:fill="auto"/>
            <w:noWrap/>
            <w:vAlign w:val="center"/>
          </w:tcPr>
          <w:p w14:paraId="32637C1B" w14:textId="7E1453A1" w:rsidR="002E7D66" w:rsidRDefault="002E7D66" w:rsidP="002E7D66">
            <w:pPr>
              <w:jc w:val="center"/>
              <w:rPr>
                <w:rFonts w:ascii="Arial Narrow" w:hAnsi="Arial Narrow"/>
                <w:sz w:val="18"/>
                <w:szCs w:val="18"/>
              </w:rPr>
            </w:pPr>
            <w:r>
              <w:rPr>
                <w:rFonts w:ascii="Arial Narrow" w:hAnsi="Arial Narrow"/>
                <w:sz w:val="18"/>
                <w:szCs w:val="18"/>
              </w:rPr>
              <w:t>+4,7</w:t>
            </w:r>
          </w:p>
        </w:tc>
        <w:tc>
          <w:tcPr>
            <w:tcW w:w="708" w:type="dxa"/>
            <w:tcBorders>
              <w:top w:val="single" w:sz="4" w:space="0" w:color="auto"/>
              <w:left w:val="nil"/>
              <w:bottom w:val="single" w:sz="4" w:space="0" w:color="auto"/>
              <w:right w:val="nil"/>
            </w:tcBorders>
            <w:shd w:val="clear" w:color="auto" w:fill="D9D9D9"/>
            <w:noWrap/>
            <w:vAlign w:val="center"/>
          </w:tcPr>
          <w:p w14:paraId="2D9CD7F3" w14:textId="6BEDAA5B" w:rsidR="002E7D66" w:rsidRDefault="002E7D66" w:rsidP="002E7D66">
            <w:pPr>
              <w:jc w:val="center"/>
              <w:rPr>
                <w:rFonts w:ascii="Arial Narrow" w:hAnsi="Arial Narrow"/>
                <w:sz w:val="18"/>
                <w:szCs w:val="18"/>
              </w:rPr>
            </w:pPr>
            <w:r>
              <w:rPr>
                <w:rFonts w:ascii="Arial Narrow" w:hAnsi="Arial Narrow"/>
                <w:sz w:val="18"/>
                <w:szCs w:val="18"/>
              </w:rPr>
              <w:t>+4,8</w:t>
            </w:r>
          </w:p>
        </w:tc>
        <w:tc>
          <w:tcPr>
            <w:tcW w:w="1134" w:type="dxa"/>
            <w:tcBorders>
              <w:top w:val="single" w:sz="4" w:space="0" w:color="auto"/>
              <w:left w:val="nil"/>
              <w:bottom w:val="single" w:sz="4" w:space="0" w:color="auto"/>
              <w:right w:val="nil"/>
            </w:tcBorders>
            <w:shd w:val="clear" w:color="auto" w:fill="D9D9D9"/>
            <w:noWrap/>
            <w:vAlign w:val="center"/>
          </w:tcPr>
          <w:p w14:paraId="75154B55" w14:textId="6D1086C3" w:rsidR="002E7D66" w:rsidRDefault="002E7D66" w:rsidP="002E7D66">
            <w:pPr>
              <w:jc w:val="center"/>
              <w:rPr>
                <w:rFonts w:ascii="Arial Narrow" w:hAnsi="Arial Narrow"/>
                <w:sz w:val="18"/>
                <w:szCs w:val="18"/>
              </w:rPr>
            </w:pPr>
            <w:r>
              <w:rPr>
                <w:rFonts w:ascii="Arial Narrow" w:hAnsi="Arial Narrow"/>
                <w:sz w:val="18"/>
                <w:szCs w:val="18"/>
              </w:rPr>
              <w:t>+1,0</w:t>
            </w:r>
          </w:p>
        </w:tc>
        <w:tc>
          <w:tcPr>
            <w:tcW w:w="654" w:type="dxa"/>
            <w:tcBorders>
              <w:top w:val="single" w:sz="4" w:space="0" w:color="auto"/>
              <w:left w:val="nil"/>
              <w:bottom w:val="single" w:sz="4" w:space="0" w:color="auto"/>
              <w:right w:val="nil"/>
            </w:tcBorders>
            <w:shd w:val="clear" w:color="auto" w:fill="auto"/>
            <w:noWrap/>
            <w:vAlign w:val="center"/>
          </w:tcPr>
          <w:p w14:paraId="4CF7F5B6" w14:textId="0D383D5E" w:rsidR="002E7D66" w:rsidRDefault="002E7D66" w:rsidP="002E7D66">
            <w:pPr>
              <w:jc w:val="center"/>
              <w:rPr>
                <w:rFonts w:ascii="Arial Narrow" w:hAnsi="Arial Narrow"/>
                <w:sz w:val="18"/>
                <w:szCs w:val="18"/>
              </w:rPr>
            </w:pPr>
            <w:r>
              <w:rPr>
                <w:rFonts w:ascii="Arial Narrow" w:hAnsi="Arial Narrow"/>
                <w:sz w:val="18"/>
                <w:szCs w:val="18"/>
              </w:rPr>
              <w:t>+0,5</w:t>
            </w:r>
          </w:p>
        </w:tc>
        <w:tc>
          <w:tcPr>
            <w:tcW w:w="984" w:type="dxa"/>
            <w:tcBorders>
              <w:top w:val="single" w:sz="4" w:space="0" w:color="auto"/>
              <w:left w:val="nil"/>
              <w:bottom w:val="single" w:sz="4" w:space="0" w:color="auto"/>
              <w:right w:val="nil"/>
            </w:tcBorders>
            <w:shd w:val="clear" w:color="auto" w:fill="auto"/>
            <w:noWrap/>
            <w:vAlign w:val="center"/>
          </w:tcPr>
          <w:p w14:paraId="5F9A2E71" w14:textId="5A422F21" w:rsidR="002E7D66" w:rsidRDefault="002E7D66" w:rsidP="002E7D66">
            <w:pPr>
              <w:jc w:val="center"/>
              <w:rPr>
                <w:rFonts w:ascii="Arial Narrow" w:hAnsi="Arial Narrow"/>
                <w:sz w:val="18"/>
                <w:szCs w:val="18"/>
              </w:rPr>
            </w:pPr>
            <w:r>
              <w:rPr>
                <w:rFonts w:ascii="Arial Narrow" w:hAnsi="Arial Narrow"/>
                <w:sz w:val="18"/>
                <w:szCs w:val="18"/>
              </w:rPr>
              <w:t>+1,9</w:t>
            </w:r>
          </w:p>
        </w:tc>
        <w:tc>
          <w:tcPr>
            <w:tcW w:w="709" w:type="dxa"/>
            <w:tcBorders>
              <w:top w:val="single" w:sz="4" w:space="0" w:color="auto"/>
              <w:left w:val="nil"/>
              <w:bottom w:val="single" w:sz="4" w:space="0" w:color="auto"/>
              <w:right w:val="nil"/>
            </w:tcBorders>
            <w:shd w:val="clear" w:color="auto" w:fill="D9D9D9"/>
            <w:noWrap/>
            <w:vAlign w:val="center"/>
          </w:tcPr>
          <w:p w14:paraId="38F49166" w14:textId="5FAEA55A" w:rsidR="002E7D66" w:rsidRDefault="002E7D66" w:rsidP="002E7D66">
            <w:pPr>
              <w:jc w:val="center"/>
              <w:rPr>
                <w:rFonts w:ascii="Arial Narrow" w:hAnsi="Arial Narrow"/>
                <w:sz w:val="18"/>
                <w:szCs w:val="18"/>
              </w:rPr>
            </w:pPr>
            <w:r>
              <w:rPr>
                <w:rFonts w:ascii="Arial Narrow" w:hAnsi="Arial Narrow"/>
                <w:sz w:val="18"/>
                <w:szCs w:val="18"/>
              </w:rPr>
              <w:t>+3.928</w:t>
            </w:r>
          </w:p>
        </w:tc>
        <w:tc>
          <w:tcPr>
            <w:tcW w:w="984" w:type="dxa"/>
            <w:tcBorders>
              <w:top w:val="single" w:sz="4" w:space="0" w:color="auto"/>
              <w:left w:val="nil"/>
              <w:bottom w:val="single" w:sz="4" w:space="0" w:color="auto"/>
              <w:right w:val="nil"/>
            </w:tcBorders>
            <w:shd w:val="clear" w:color="auto" w:fill="D9D9D9"/>
            <w:vAlign w:val="center"/>
          </w:tcPr>
          <w:p w14:paraId="197AC28F" w14:textId="08783829" w:rsidR="002E7D66" w:rsidRDefault="002E7D66" w:rsidP="002E7D66">
            <w:pPr>
              <w:jc w:val="center"/>
              <w:rPr>
                <w:rFonts w:ascii="Arial Narrow" w:hAnsi="Arial Narrow"/>
                <w:sz w:val="18"/>
                <w:szCs w:val="18"/>
              </w:rPr>
            </w:pPr>
            <w:r>
              <w:rPr>
                <w:rFonts w:ascii="Arial Narrow" w:hAnsi="Arial Narrow"/>
                <w:sz w:val="18"/>
                <w:szCs w:val="18"/>
              </w:rPr>
              <w:t>+31.946</w:t>
            </w:r>
          </w:p>
        </w:tc>
      </w:tr>
      <w:tr w:rsidR="002E7D66" w:rsidRPr="008C0651" w14:paraId="34FD5BD7" w14:textId="77777777" w:rsidTr="002E7D66">
        <w:trPr>
          <w:trHeight w:val="255"/>
        </w:trPr>
        <w:tc>
          <w:tcPr>
            <w:tcW w:w="1587" w:type="dxa"/>
            <w:tcBorders>
              <w:top w:val="single" w:sz="4" w:space="0" w:color="auto"/>
              <w:left w:val="nil"/>
              <w:bottom w:val="single" w:sz="4" w:space="0" w:color="auto"/>
              <w:right w:val="nil"/>
            </w:tcBorders>
            <w:shd w:val="clear" w:color="auto" w:fill="auto"/>
            <w:vAlign w:val="bottom"/>
          </w:tcPr>
          <w:p w14:paraId="6AA33822" w14:textId="77777777" w:rsidR="002E7D66" w:rsidRPr="00831F78" w:rsidRDefault="002E7D66" w:rsidP="002E7D66">
            <w:pPr>
              <w:spacing w:before="40" w:after="20"/>
              <w:rPr>
                <w:rFonts w:ascii="Arial Narrow" w:hAnsi="Arial Narrow"/>
                <w:sz w:val="18"/>
                <w:szCs w:val="18"/>
              </w:rPr>
            </w:pPr>
            <w:r w:rsidRPr="00831F78">
              <w:rPr>
                <w:rFonts w:ascii="Arial Narrow" w:hAnsi="Arial Narrow"/>
                <w:sz w:val="18"/>
                <w:szCs w:val="18"/>
              </w:rPr>
              <w:t>Beni strumentali</w:t>
            </w:r>
          </w:p>
        </w:tc>
        <w:tc>
          <w:tcPr>
            <w:tcW w:w="665" w:type="dxa"/>
            <w:tcBorders>
              <w:top w:val="single" w:sz="4" w:space="0" w:color="auto"/>
              <w:left w:val="nil"/>
              <w:bottom w:val="single" w:sz="4" w:space="0" w:color="auto"/>
              <w:right w:val="nil"/>
            </w:tcBorders>
            <w:shd w:val="clear" w:color="auto" w:fill="D9D9D9"/>
            <w:noWrap/>
            <w:vAlign w:val="center"/>
          </w:tcPr>
          <w:p w14:paraId="12AD6EFC" w14:textId="676959FE" w:rsidR="002E7D66" w:rsidRDefault="002E7D66" w:rsidP="002E7D66">
            <w:pPr>
              <w:jc w:val="center"/>
              <w:rPr>
                <w:rFonts w:ascii="Arial Narrow" w:hAnsi="Arial Narrow"/>
                <w:sz w:val="18"/>
                <w:szCs w:val="18"/>
              </w:rPr>
            </w:pPr>
            <w:r>
              <w:rPr>
                <w:rFonts w:ascii="Arial Narrow" w:hAnsi="Arial Narrow"/>
                <w:sz w:val="18"/>
                <w:szCs w:val="18"/>
              </w:rPr>
              <w:t>+3,6</w:t>
            </w:r>
          </w:p>
        </w:tc>
        <w:tc>
          <w:tcPr>
            <w:tcW w:w="1108" w:type="dxa"/>
            <w:tcBorders>
              <w:top w:val="single" w:sz="4" w:space="0" w:color="auto"/>
              <w:left w:val="nil"/>
              <w:bottom w:val="single" w:sz="4" w:space="0" w:color="auto"/>
              <w:right w:val="nil"/>
            </w:tcBorders>
            <w:shd w:val="clear" w:color="auto" w:fill="D9D9D9"/>
            <w:noWrap/>
            <w:vAlign w:val="center"/>
          </w:tcPr>
          <w:p w14:paraId="22876BFA" w14:textId="6E782202" w:rsidR="002E7D66" w:rsidRDefault="002E7D66" w:rsidP="002E7D66">
            <w:pPr>
              <w:jc w:val="center"/>
              <w:rPr>
                <w:rFonts w:ascii="Arial Narrow" w:hAnsi="Arial Narrow"/>
                <w:sz w:val="18"/>
                <w:szCs w:val="18"/>
              </w:rPr>
            </w:pPr>
            <w:r>
              <w:rPr>
                <w:rFonts w:ascii="Arial Narrow" w:hAnsi="Arial Narrow"/>
                <w:sz w:val="18"/>
                <w:szCs w:val="18"/>
              </w:rPr>
              <w:t>+1,9</w:t>
            </w:r>
          </w:p>
        </w:tc>
        <w:tc>
          <w:tcPr>
            <w:tcW w:w="685" w:type="dxa"/>
            <w:tcBorders>
              <w:top w:val="single" w:sz="4" w:space="0" w:color="auto"/>
              <w:left w:val="nil"/>
              <w:bottom w:val="single" w:sz="4" w:space="0" w:color="auto"/>
              <w:right w:val="nil"/>
            </w:tcBorders>
            <w:shd w:val="clear" w:color="auto" w:fill="auto"/>
            <w:noWrap/>
            <w:vAlign w:val="center"/>
          </w:tcPr>
          <w:p w14:paraId="404612AA" w14:textId="345AC2F7" w:rsidR="002E7D66" w:rsidRDefault="002E7D66" w:rsidP="002E7D66">
            <w:pPr>
              <w:jc w:val="center"/>
              <w:rPr>
                <w:rFonts w:ascii="Arial Narrow" w:hAnsi="Arial Narrow"/>
                <w:sz w:val="18"/>
                <w:szCs w:val="18"/>
              </w:rPr>
            </w:pPr>
            <w:r>
              <w:rPr>
                <w:rFonts w:ascii="Arial Narrow" w:hAnsi="Arial Narrow"/>
                <w:sz w:val="18"/>
                <w:szCs w:val="18"/>
              </w:rPr>
              <w:t>+15,1</w:t>
            </w:r>
          </w:p>
        </w:tc>
        <w:tc>
          <w:tcPr>
            <w:tcW w:w="1017" w:type="dxa"/>
            <w:tcBorders>
              <w:top w:val="single" w:sz="4" w:space="0" w:color="auto"/>
              <w:left w:val="nil"/>
              <w:bottom w:val="single" w:sz="4" w:space="0" w:color="auto"/>
              <w:right w:val="nil"/>
            </w:tcBorders>
            <w:shd w:val="clear" w:color="auto" w:fill="auto"/>
            <w:noWrap/>
            <w:vAlign w:val="center"/>
          </w:tcPr>
          <w:p w14:paraId="5B46CA1D" w14:textId="3E6D637F" w:rsidR="002E7D66" w:rsidRDefault="002E7D66" w:rsidP="002E7D66">
            <w:pPr>
              <w:jc w:val="center"/>
              <w:rPr>
                <w:rFonts w:ascii="Arial Narrow" w:hAnsi="Arial Narrow"/>
                <w:sz w:val="18"/>
                <w:szCs w:val="18"/>
              </w:rPr>
            </w:pPr>
            <w:r>
              <w:rPr>
                <w:rFonts w:ascii="Arial Narrow" w:hAnsi="Arial Narrow"/>
                <w:sz w:val="18"/>
                <w:szCs w:val="18"/>
              </w:rPr>
              <w:t>+11,2</w:t>
            </w:r>
          </w:p>
        </w:tc>
        <w:tc>
          <w:tcPr>
            <w:tcW w:w="708" w:type="dxa"/>
            <w:tcBorders>
              <w:top w:val="single" w:sz="4" w:space="0" w:color="auto"/>
              <w:left w:val="nil"/>
              <w:bottom w:val="single" w:sz="4" w:space="0" w:color="auto"/>
              <w:right w:val="nil"/>
            </w:tcBorders>
            <w:shd w:val="clear" w:color="auto" w:fill="D9D9D9"/>
            <w:noWrap/>
            <w:vAlign w:val="center"/>
          </w:tcPr>
          <w:p w14:paraId="45C4A9E1" w14:textId="6B806C89" w:rsidR="002E7D66" w:rsidRDefault="002E7D66" w:rsidP="002E7D66">
            <w:pPr>
              <w:jc w:val="center"/>
              <w:rPr>
                <w:rFonts w:ascii="Arial Narrow" w:hAnsi="Arial Narrow"/>
                <w:sz w:val="18"/>
                <w:szCs w:val="18"/>
              </w:rPr>
            </w:pPr>
            <w:r>
              <w:rPr>
                <w:rFonts w:ascii="Arial Narrow" w:hAnsi="Arial Narrow"/>
                <w:sz w:val="18"/>
                <w:szCs w:val="18"/>
              </w:rPr>
              <w:t>+4,1</w:t>
            </w:r>
          </w:p>
        </w:tc>
        <w:tc>
          <w:tcPr>
            <w:tcW w:w="1134" w:type="dxa"/>
            <w:tcBorders>
              <w:top w:val="single" w:sz="4" w:space="0" w:color="auto"/>
              <w:left w:val="nil"/>
              <w:bottom w:val="single" w:sz="4" w:space="0" w:color="auto"/>
              <w:right w:val="nil"/>
            </w:tcBorders>
            <w:shd w:val="clear" w:color="auto" w:fill="D9D9D9"/>
            <w:noWrap/>
            <w:vAlign w:val="center"/>
          </w:tcPr>
          <w:p w14:paraId="24B5F36F" w14:textId="3B799F19" w:rsidR="002E7D66" w:rsidRDefault="002E7D66" w:rsidP="002E7D66">
            <w:pPr>
              <w:jc w:val="center"/>
              <w:rPr>
                <w:rFonts w:ascii="Arial Narrow" w:hAnsi="Arial Narrow"/>
                <w:sz w:val="18"/>
                <w:szCs w:val="18"/>
              </w:rPr>
            </w:pPr>
            <w:r>
              <w:rPr>
                <w:rFonts w:ascii="Arial Narrow" w:hAnsi="Arial Narrow"/>
                <w:sz w:val="18"/>
                <w:szCs w:val="18"/>
              </w:rPr>
              <w:t>+1,1</w:t>
            </w:r>
          </w:p>
        </w:tc>
        <w:tc>
          <w:tcPr>
            <w:tcW w:w="654" w:type="dxa"/>
            <w:tcBorders>
              <w:top w:val="single" w:sz="4" w:space="0" w:color="auto"/>
              <w:left w:val="nil"/>
              <w:bottom w:val="single" w:sz="4" w:space="0" w:color="auto"/>
              <w:right w:val="nil"/>
            </w:tcBorders>
            <w:shd w:val="clear" w:color="auto" w:fill="auto"/>
            <w:noWrap/>
            <w:vAlign w:val="center"/>
          </w:tcPr>
          <w:p w14:paraId="7348A2DE" w14:textId="05B95220" w:rsidR="002E7D66" w:rsidRDefault="002E7D66" w:rsidP="002E7D66">
            <w:pPr>
              <w:jc w:val="center"/>
              <w:rPr>
                <w:rFonts w:ascii="Arial Narrow" w:hAnsi="Arial Narrow"/>
                <w:sz w:val="18"/>
                <w:szCs w:val="18"/>
              </w:rPr>
            </w:pPr>
            <w:r>
              <w:rPr>
                <w:rFonts w:ascii="Arial Narrow" w:hAnsi="Arial Narrow"/>
                <w:sz w:val="18"/>
                <w:szCs w:val="18"/>
              </w:rPr>
              <w:t>+12,1</w:t>
            </w:r>
          </w:p>
        </w:tc>
        <w:tc>
          <w:tcPr>
            <w:tcW w:w="984" w:type="dxa"/>
            <w:tcBorders>
              <w:top w:val="single" w:sz="4" w:space="0" w:color="auto"/>
              <w:left w:val="nil"/>
              <w:bottom w:val="single" w:sz="4" w:space="0" w:color="auto"/>
              <w:right w:val="nil"/>
            </w:tcBorders>
            <w:shd w:val="clear" w:color="auto" w:fill="auto"/>
            <w:noWrap/>
            <w:vAlign w:val="center"/>
          </w:tcPr>
          <w:p w14:paraId="449D0BAB" w14:textId="06122A7A" w:rsidR="002E7D66" w:rsidRDefault="002E7D66" w:rsidP="002E7D66">
            <w:pPr>
              <w:jc w:val="center"/>
              <w:rPr>
                <w:rFonts w:ascii="Arial Narrow" w:hAnsi="Arial Narrow"/>
                <w:sz w:val="18"/>
                <w:szCs w:val="18"/>
              </w:rPr>
            </w:pPr>
            <w:r>
              <w:rPr>
                <w:rFonts w:ascii="Arial Narrow" w:hAnsi="Arial Narrow"/>
                <w:sz w:val="18"/>
                <w:szCs w:val="18"/>
              </w:rPr>
              <w:t>+12,5</w:t>
            </w:r>
          </w:p>
        </w:tc>
        <w:tc>
          <w:tcPr>
            <w:tcW w:w="709" w:type="dxa"/>
            <w:tcBorders>
              <w:top w:val="single" w:sz="4" w:space="0" w:color="auto"/>
              <w:left w:val="nil"/>
              <w:bottom w:val="single" w:sz="4" w:space="0" w:color="auto"/>
              <w:right w:val="nil"/>
            </w:tcBorders>
            <w:shd w:val="clear" w:color="auto" w:fill="D9D9D9"/>
            <w:noWrap/>
            <w:vAlign w:val="center"/>
          </w:tcPr>
          <w:p w14:paraId="57D5840C" w14:textId="1172329B" w:rsidR="002E7D66" w:rsidRDefault="002E7D66" w:rsidP="002E7D66">
            <w:pPr>
              <w:jc w:val="center"/>
              <w:rPr>
                <w:rFonts w:ascii="Arial Narrow" w:hAnsi="Arial Narrow"/>
                <w:sz w:val="18"/>
                <w:szCs w:val="18"/>
              </w:rPr>
            </w:pPr>
            <w:r>
              <w:rPr>
                <w:rFonts w:ascii="Arial Narrow" w:hAnsi="Arial Narrow"/>
                <w:sz w:val="18"/>
                <w:szCs w:val="18"/>
              </w:rPr>
              <w:t>+4.730</w:t>
            </w:r>
          </w:p>
        </w:tc>
        <w:tc>
          <w:tcPr>
            <w:tcW w:w="984" w:type="dxa"/>
            <w:tcBorders>
              <w:top w:val="single" w:sz="4" w:space="0" w:color="auto"/>
              <w:left w:val="nil"/>
              <w:bottom w:val="single" w:sz="4" w:space="0" w:color="auto"/>
              <w:right w:val="nil"/>
            </w:tcBorders>
            <w:shd w:val="clear" w:color="auto" w:fill="D9D9D9"/>
            <w:vAlign w:val="center"/>
          </w:tcPr>
          <w:p w14:paraId="3537B3E6" w14:textId="1AF3CE77" w:rsidR="002E7D66" w:rsidRDefault="002E7D66" w:rsidP="002E7D66">
            <w:pPr>
              <w:jc w:val="center"/>
              <w:rPr>
                <w:rFonts w:ascii="Arial Narrow" w:hAnsi="Arial Narrow"/>
                <w:sz w:val="18"/>
                <w:szCs w:val="18"/>
              </w:rPr>
            </w:pPr>
            <w:r>
              <w:rPr>
                <w:rFonts w:ascii="Arial Narrow" w:hAnsi="Arial Narrow"/>
                <w:sz w:val="18"/>
                <w:szCs w:val="18"/>
              </w:rPr>
              <w:t>+44.215</w:t>
            </w:r>
          </w:p>
        </w:tc>
      </w:tr>
      <w:tr w:rsidR="002E7D66" w:rsidRPr="008C0651" w14:paraId="5D0D02CF" w14:textId="77777777" w:rsidTr="002E7D66">
        <w:trPr>
          <w:trHeight w:val="255"/>
        </w:trPr>
        <w:tc>
          <w:tcPr>
            <w:tcW w:w="1587" w:type="dxa"/>
            <w:tcBorders>
              <w:top w:val="single" w:sz="4" w:space="0" w:color="auto"/>
              <w:left w:val="nil"/>
              <w:bottom w:val="single" w:sz="4" w:space="0" w:color="auto"/>
              <w:right w:val="nil"/>
            </w:tcBorders>
            <w:shd w:val="clear" w:color="auto" w:fill="auto"/>
            <w:vAlign w:val="bottom"/>
          </w:tcPr>
          <w:p w14:paraId="76B92669" w14:textId="77777777" w:rsidR="002E7D66" w:rsidRPr="00831F78" w:rsidRDefault="002E7D66" w:rsidP="002E7D66">
            <w:pPr>
              <w:spacing w:before="40" w:after="20"/>
              <w:rPr>
                <w:rFonts w:ascii="Arial Narrow" w:hAnsi="Arial Narrow"/>
                <w:sz w:val="18"/>
                <w:szCs w:val="18"/>
              </w:rPr>
            </w:pPr>
            <w:r w:rsidRPr="00831F78">
              <w:rPr>
                <w:rFonts w:ascii="Arial Narrow" w:hAnsi="Arial Narrow"/>
                <w:sz w:val="18"/>
                <w:szCs w:val="18"/>
              </w:rPr>
              <w:t>Beni intermedi</w:t>
            </w:r>
          </w:p>
        </w:tc>
        <w:tc>
          <w:tcPr>
            <w:tcW w:w="665" w:type="dxa"/>
            <w:tcBorders>
              <w:top w:val="single" w:sz="4" w:space="0" w:color="auto"/>
              <w:left w:val="nil"/>
              <w:bottom w:val="single" w:sz="4" w:space="0" w:color="auto"/>
              <w:right w:val="nil"/>
            </w:tcBorders>
            <w:shd w:val="clear" w:color="auto" w:fill="D9D9D9"/>
            <w:noWrap/>
            <w:vAlign w:val="center"/>
          </w:tcPr>
          <w:p w14:paraId="38038C25" w14:textId="5149C178" w:rsidR="002E7D66" w:rsidRDefault="002E7D66" w:rsidP="002E7D66">
            <w:pPr>
              <w:jc w:val="center"/>
              <w:rPr>
                <w:rFonts w:ascii="Arial Narrow" w:hAnsi="Arial Narrow"/>
                <w:sz w:val="18"/>
                <w:szCs w:val="18"/>
              </w:rPr>
            </w:pPr>
            <w:r>
              <w:rPr>
                <w:rFonts w:ascii="Arial Narrow" w:hAnsi="Arial Narrow"/>
                <w:sz w:val="18"/>
                <w:szCs w:val="18"/>
              </w:rPr>
              <w:t>+2,8</w:t>
            </w:r>
          </w:p>
        </w:tc>
        <w:tc>
          <w:tcPr>
            <w:tcW w:w="1108" w:type="dxa"/>
            <w:tcBorders>
              <w:top w:val="single" w:sz="4" w:space="0" w:color="auto"/>
              <w:left w:val="nil"/>
              <w:bottom w:val="single" w:sz="4" w:space="0" w:color="auto"/>
              <w:right w:val="nil"/>
            </w:tcBorders>
            <w:shd w:val="clear" w:color="auto" w:fill="D9D9D9"/>
            <w:noWrap/>
            <w:vAlign w:val="center"/>
          </w:tcPr>
          <w:p w14:paraId="7B2446F9" w14:textId="5084E4C7" w:rsidR="002E7D66" w:rsidRDefault="002E7D66" w:rsidP="002E7D66">
            <w:pPr>
              <w:jc w:val="center"/>
              <w:rPr>
                <w:rFonts w:ascii="Arial Narrow" w:hAnsi="Arial Narrow"/>
                <w:sz w:val="18"/>
                <w:szCs w:val="18"/>
              </w:rPr>
            </w:pPr>
            <w:r>
              <w:rPr>
                <w:rFonts w:ascii="Arial Narrow" w:hAnsi="Arial Narrow"/>
                <w:sz w:val="18"/>
                <w:szCs w:val="18"/>
              </w:rPr>
              <w:t>+0,7</w:t>
            </w:r>
          </w:p>
        </w:tc>
        <w:tc>
          <w:tcPr>
            <w:tcW w:w="685" w:type="dxa"/>
            <w:tcBorders>
              <w:top w:val="single" w:sz="4" w:space="0" w:color="auto"/>
              <w:left w:val="nil"/>
              <w:bottom w:val="single" w:sz="4" w:space="0" w:color="auto"/>
              <w:right w:val="nil"/>
            </w:tcBorders>
            <w:shd w:val="clear" w:color="auto" w:fill="auto"/>
            <w:noWrap/>
            <w:vAlign w:val="center"/>
          </w:tcPr>
          <w:p w14:paraId="39C3AF00" w14:textId="4001C74F" w:rsidR="002E7D66" w:rsidRDefault="002E7D66" w:rsidP="002E7D66">
            <w:pPr>
              <w:jc w:val="center"/>
              <w:rPr>
                <w:rFonts w:ascii="Arial Narrow" w:hAnsi="Arial Narrow"/>
                <w:sz w:val="18"/>
                <w:szCs w:val="18"/>
              </w:rPr>
            </w:pPr>
            <w:r>
              <w:rPr>
                <w:rFonts w:ascii="Arial Narrow" w:hAnsi="Arial Narrow"/>
                <w:sz w:val="18"/>
                <w:szCs w:val="18"/>
              </w:rPr>
              <w:t>-5,7</w:t>
            </w:r>
          </w:p>
        </w:tc>
        <w:tc>
          <w:tcPr>
            <w:tcW w:w="1017" w:type="dxa"/>
            <w:tcBorders>
              <w:top w:val="single" w:sz="4" w:space="0" w:color="auto"/>
              <w:left w:val="nil"/>
              <w:bottom w:val="single" w:sz="4" w:space="0" w:color="auto"/>
              <w:right w:val="nil"/>
            </w:tcBorders>
            <w:shd w:val="clear" w:color="auto" w:fill="auto"/>
            <w:noWrap/>
            <w:vAlign w:val="center"/>
          </w:tcPr>
          <w:p w14:paraId="231D663F" w14:textId="25FFE086" w:rsidR="002E7D66" w:rsidRDefault="002E7D66" w:rsidP="002E7D66">
            <w:pPr>
              <w:jc w:val="center"/>
              <w:rPr>
                <w:rFonts w:ascii="Arial Narrow" w:hAnsi="Arial Narrow"/>
                <w:sz w:val="18"/>
                <w:szCs w:val="18"/>
              </w:rPr>
            </w:pPr>
            <w:r>
              <w:rPr>
                <w:rFonts w:ascii="Arial Narrow" w:hAnsi="Arial Narrow"/>
                <w:sz w:val="18"/>
                <w:szCs w:val="18"/>
              </w:rPr>
              <w:t>-6,1</w:t>
            </w:r>
          </w:p>
        </w:tc>
        <w:tc>
          <w:tcPr>
            <w:tcW w:w="708" w:type="dxa"/>
            <w:tcBorders>
              <w:top w:val="single" w:sz="4" w:space="0" w:color="auto"/>
              <w:left w:val="nil"/>
              <w:bottom w:val="single" w:sz="4" w:space="0" w:color="auto"/>
              <w:right w:val="nil"/>
            </w:tcBorders>
            <w:shd w:val="clear" w:color="auto" w:fill="D9D9D9"/>
            <w:noWrap/>
            <w:vAlign w:val="center"/>
          </w:tcPr>
          <w:p w14:paraId="39E85129" w14:textId="5AFA3482" w:rsidR="002E7D66" w:rsidRDefault="002E7D66" w:rsidP="002E7D66">
            <w:pPr>
              <w:jc w:val="center"/>
              <w:rPr>
                <w:rFonts w:ascii="Arial Narrow" w:hAnsi="Arial Narrow"/>
                <w:sz w:val="18"/>
                <w:szCs w:val="18"/>
              </w:rPr>
            </w:pPr>
            <w:r>
              <w:rPr>
                <w:rFonts w:ascii="Arial Narrow" w:hAnsi="Arial Narrow"/>
                <w:sz w:val="18"/>
                <w:szCs w:val="18"/>
              </w:rPr>
              <w:t>+1,9</w:t>
            </w:r>
          </w:p>
        </w:tc>
        <w:tc>
          <w:tcPr>
            <w:tcW w:w="1134" w:type="dxa"/>
            <w:tcBorders>
              <w:top w:val="single" w:sz="4" w:space="0" w:color="auto"/>
              <w:left w:val="nil"/>
              <w:bottom w:val="single" w:sz="4" w:space="0" w:color="auto"/>
              <w:right w:val="nil"/>
            </w:tcBorders>
            <w:shd w:val="clear" w:color="auto" w:fill="D9D9D9"/>
            <w:noWrap/>
            <w:vAlign w:val="center"/>
          </w:tcPr>
          <w:p w14:paraId="207E564E" w14:textId="352C13E2" w:rsidR="002E7D66" w:rsidRDefault="002E7D66" w:rsidP="002E7D66">
            <w:pPr>
              <w:jc w:val="center"/>
              <w:rPr>
                <w:rFonts w:ascii="Arial Narrow" w:hAnsi="Arial Narrow"/>
                <w:sz w:val="18"/>
                <w:szCs w:val="18"/>
              </w:rPr>
            </w:pPr>
            <w:r>
              <w:rPr>
                <w:rFonts w:ascii="Arial Narrow" w:hAnsi="Arial Narrow"/>
                <w:sz w:val="18"/>
                <w:szCs w:val="18"/>
              </w:rPr>
              <w:t>-4,2</w:t>
            </w:r>
          </w:p>
        </w:tc>
        <w:tc>
          <w:tcPr>
            <w:tcW w:w="654" w:type="dxa"/>
            <w:tcBorders>
              <w:top w:val="single" w:sz="4" w:space="0" w:color="auto"/>
              <w:left w:val="nil"/>
              <w:bottom w:val="single" w:sz="4" w:space="0" w:color="auto"/>
              <w:right w:val="nil"/>
            </w:tcBorders>
            <w:shd w:val="clear" w:color="auto" w:fill="auto"/>
            <w:noWrap/>
            <w:vAlign w:val="center"/>
          </w:tcPr>
          <w:p w14:paraId="29C1C1F5" w14:textId="60151F4F" w:rsidR="002E7D66" w:rsidRDefault="002E7D66" w:rsidP="002E7D66">
            <w:pPr>
              <w:jc w:val="center"/>
              <w:rPr>
                <w:rFonts w:ascii="Arial Narrow" w:hAnsi="Arial Narrow"/>
                <w:sz w:val="18"/>
                <w:szCs w:val="18"/>
              </w:rPr>
            </w:pPr>
            <w:r>
              <w:rPr>
                <w:rFonts w:ascii="Arial Narrow" w:hAnsi="Arial Narrow"/>
                <w:sz w:val="18"/>
                <w:szCs w:val="18"/>
              </w:rPr>
              <w:t>-13,6</w:t>
            </w:r>
          </w:p>
        </w:tc>
        <w:tc>
          <w:tcPr>
            <w:tcW w:w="984" w:type="dxa"/>
            <w:tcBorders>
              <w:top w:val="single" w:sz="4" w:space="0" w:color="auto"/>
              <w:left w:val="nil"/>
              <w:bottom w:val="single" w:sz="4" w:space="0" w:color="auto"/>
              <w:right w:val="nil"/>
            </w:tcBorders>
            <w:shd w:val="clear" w:color="auto" w:fill="auto"/>
            <w:noWrap/>
            <w:vAlign w:val="center"/>
          </w:tcPr>
          <w:p w14:paraId="093AA2C2" w14:textId="48CE2E7E" w:rsidR="002E7D66" w:rsidRDefault="002E7D66" w:rsidP="002E7D66">
            <w:pPr>
              <w:jc w:val="center"/>
              <w:rPr>
                <w:rFonts w:ascii="Arial Narrow" w:hAnsi="Arial Narrow"/>
                <w:sz w:val="18"/>
                <w:szCs w:val="18"/>
              </w:rPr>
            </w:pPr>
            <w:r>
              <w:rPr>
                <w:rFonts w:ascii="Arial Narrow" w:hAnsi="Arial Narrow"/>
                <w:sz w:val="18"/>
                <w:szCs w:val="18"/>
              </w:rPr>
              <w:t>-12,7</w:t>
            </w:r>
          </w:p>
        </w:tc>
        <w:tc>
          <w:tcPr>
            <w:tcW w:w="709" w:type="dxa"/>
            <w:tcBorders>
              <w:top w:val="single" w:sz="4" w:space="0" w:color="auto"/>
              <w:left w:val="nil"/>
              <w:bottom w:val="single" w:sz="4" w:space="0" w:color="auto"/>
              <w:right w:val="nil"/>
            </w:tcBorders>
            <w:shd w:val="clear" w:color="auto" w:fill="D9D9D9"/>
            <w:noWrap/>
            <w:vAlign w:val="center"/>
          </w:tcPr>
          <w:p w14:paraId="29829C48" w14:textId="5E14B36A" w:rsidR="002E7D66" w:rsidRDefault="002E7D66" w:rsidP="002E7D66">
            <w:pPr>
              <w:jc w:val="center"/>
              <w:rPr>
                <w:rFonts w:ascii="Arial Narrow" w:hAnsi="Arial Narrow"/>
                <w:sz w:val="18"/>
                <w:szCs w:val="18"/>
              </w:rPr>
            </w:pPr>
            <w:r>
              <w:rPr>
                <w:rFonts w:ascii="Arial Narrow" w:hAnsi="Arial Narrow"/>
                <w:sz w:val="18"/>
                <w:szCs w:val="18"/>
              </w:rPr>
              <w:t>-359</w:t>
            </w:r>
          </w:p>
        </w:tc>
        <w:tc>
          <w:tcPr>
            <w:tcW w:w="984" w:type="dxa"/>
            <w:tcBorders>
              <w:top w:val="single" w:sz="4" w:space="0" w:color="auto"/>
              <w:left w:val="nil"/>
              <w:bottom w:val="single" w:sz="4" w:space="0" w:color="auto"/>
              <w:right w:val="nil"/>
            </w:tcBorders>
            <w:shd w:val="clear" w:color="auto" w:fill="D9D9D9"/>
            <w:vAlign w:val="center"/>
          </w:tcPr>
          <w:p w14:paraId="12B24BA7" w14:textId="6E01E62C" w:rsidR="002E7D66" w:rsidRDefault="002E7D66" w:rsidP="002E7D66">
            <w:pPr>
              <w:jc w:val="center"/>
              <w:rPr>
                <w:rFonts w:ascii="Arial Narrow" w:hAnsi="Arial Narrow"/>
                <w:sz w:val="18"/>
                <w:szCs w:val="18"/>
              </w:rPr>
            </w:pPr>
            <w:r>
              <w:rPr>
                <w:rFonts w:ascii="Arial Narrow" w:hAnsi="Arial Narrow"/>
                <w:sz w:val="18"/>
                <w:szCs w:val="18"/>
              </w:rPr>
              <w:t>-10.231</w:t>
            </w:r>
          </w:p>
        </w:tc>
      </w:tr>
      <w:tr w:rsidR="002E7D66" w:rsidRPr="008C0651" w14:paraId="3454A368" w14:textId="77777777" w:rsidTr="002E7D66">
        <w:trPr>
          <w:trHeight w:val="255"/>
        </w:trPr>
        <w:tc>
          <w:tcPr>
            <w:tcW w:w="1587" w:type="dxa"/>
            <w:tcBorders>
              <w:top w:val="single" w:sz="4" w:space="0" w:color="auto"/>
              <w:left w:val="nil"/>
              <w:bottom w:val="single" w:sz="4" w:space="0" w:color="auto"/>
              <w:right w:val="nil"/>
            </w:tcBorders>
            <w:shd w:val="clear" w:color="auto" w:fill="auto"/>
            <w:vAlign w:val="bottom"/>
          </w:tcPr>
          <w:p w14:paraId="5731A16E" w14:textId="77777777" w:rsidR="002E7D66" w:rsidRPr="00831F78" w:rsidRDefault="002E7D66" w:rsidP="002E7D66">
            <w:pPr>
              <w:spacing w:before="40" w:after="20"/>
              <w:rPr>
                <w:rFonts w:ascii="Arial Narrow" w:hAnsi="Arial Narrow"/>
                <w:sz w:val="18"/>
                <w:szCs w:val="18"/>
              </w:rPr>
            </w:pPr>
            <w:r w:rsidRPr="00831F78">
              <w:rPr>
                <w:rFonts w:ascii="Arial Narrow" w:hAnsi="Arial Narrow"/>
                <w:sz w:val="18"/>
                <w:szCs w:val="18"/>
              </w:rPr>
              <w:t>Energia</w:t>
            </w:r>
          </w:p>
        </w:tc>
        <w:tc>
          <w:tcPr>
            <w:tcW w:w="665" w:type="dxa"/>
            <w:tcBorders>
              <w:top w:val="single" w:sz="4" w:space="0" w:color="auto"/>
              <w:left w:val="nil"/>
              <w:bottom w:val="single" w:sz="4" w:space="0" w:color="auto"/>
              <w:right w:val="nil"/>
            </w:tcBorders>
            <w:shd w:val="clear" w:color="auto" w:fill="D9D9D9"/>
            <w:noWrap/>
            <w:vAlign w:val="center"/>
          </w:tcPr>
          <w:p w14:paraId="260AD7D2" w14:textId="36000984" w:rsidR="002E7D66" w:rsidRDefault="002E7D66" w:rsidP="002E7D66">
            <w:pPr>
              <w:jc w:val="center"/>
              <w:rPr>
                <w:rFonts w:ascii="Arial Narrow" w:hAnsi="Arial Narrow"/>
                <w:sz w:val="18"/>
                <w:szCs w:val="18"/>
              </w:rPr>
            </w:pPr>
            <w:r>
              <w:rPr>
                <w:rFonts w:ascii="Arial Narrow" w:hAnsi="Arial Narrow"/>
                <w:sz w:val="18"/>
                <w:szCs w:val="18"/>
              </w:rPr>
              <w:t>+7,5</w:t>
            </w:r>
          </w:p>
        </w:tc>
        <w:tc>
          <w:tcPr>
            <w:tcW w:w="1108" w:type="dxa"/>
            <w:tcBorders>
              <w:top w:val="single" w:sz="4" w:space="0" w:color="auto"/>
              <w:left w:val="nil"/>
              <w:bottom w:val="single" w:sz="4" w:space="0" w:color="auto"/>
              <w:right w:val="nil"/>
            </w:tcBorders>
            <w:shd w:val="clear" w:color="auto" w:fill="D9D9D9"/>
            <w:noWrap/>
            <w:vAlign w:val="center"/>
          </w:tcPr>
          <w:p w14:paraId="09066B7C" w14:textId="72CB5D94" w:rsidR="002E7D66" w:rsidRDefault="002E7D66" w:rsidP="002E7D66">
            <w:pPr>
              <w:jc w:val="center"/>
              <w:rPr>
                <w:rFonts w:ascii="Arial Narrow" w:hAnsi="Arial Narrow"/>
                <w:sz w:val="18"/>
                <w:szCs w:val="18"/>
              </w:rPr>
            </w:pPr>
            <w:r>
              <w:rPr>
                <w:rFonts w:ascii="Arial Narrow" w:hAnsi="Arial Narrow"/>
                <w:sz w:val="18"/>
                <w:szCs w:val="18"/>
              </w:rPr>
              <w:t>+39,2</w:t>
            </w:r>
          </w:p>
        </w:tc>
        <w:tc>
          <w:tcPr>
            <w:tcW w:w="685" w:type="dxa"/>
            <w:tcBorders>
              <w:top w:val="single" w:sz="4" w:space="0" w:color="auto"/>
              <w:left w:val="nil"/>
              <w:bottom w:val="single" w:sz="4" w:space="0" w:color="auto"/>
              <w:right w:val="nil"/>
            </w:tcBorders>
            <w:shd w:val="clear" w:color="auto" w:fill="auto"/>
            <w:noWrap/>
            <w:vAlign w:val="center"/>
          </w:tcPr>
          <w:p w14:paraId="56561F81" w14:textId="5513DB43" w:rsidR="002E7D66" w:rsidRDefault="002E7D66" w:rsidP="002E7D66">
            <w:pPr>
              <w:jc w:val="center"/>
              <w:rPr>
                <w:rFonts w:ascii="Arial Narrow" w:hAnsi="Arial Narrow"/>
                <w:sz w:val="18"/>
                <w:szCs w:val="18"/>
              </w:rPr>
            </w:pPr>
            <w:r>
              <w:rPr>
                <w:rFonts w:ascii="Arial Narrow" w:hAnsi="Arial Narrow"/>
                <w:sz w:val="18"/>
                <w:szCs w:val="18"/>
              </w:rPr>
              <w:t>-19,4</w:t>
            </w:r>
          </w:p>
        </w:tc>
        <w:tc>
          <w:tcPr>
            <w:tcW w:w="1017" w:type="dxa"/>
            <w:tcBorders>
              <w:top w:val="single" w:sz="4" w:space="0" w:color="auto"/>
              <w:left w:val="nil"/>
              <w:bottom w:val="single" w:sz="4" w:space="0" w:color="auto"/>
              <w:right w:val="nil"/>
            </w:tcBorders>
            <w:shd w:val="clear" w:color="auto" w:fill="auto"/>
            <w:noWrap/>
            <w:vAlign w:val="center"/>
          </w:tcPr>
          <w:p w14:paraId="41037F31" w14:textId="316E89CD" w:rsidR="002E7D66" w:rsidRDefault="002E7D66" w:rsidP="002E7D66">
            <w:pPr>
              <w:jc w:val="center"/>
              <w:rPr>
                <w:rFonts w:ascii="Arial Narrow" w:hAnsi="Arial Narrow"/>
                <w:sz w:val="18"/>
                <w:szCs w:val="18"/>
              </w:rPr>
            </w:pPr>
            <w:r>
              <w:rPr>
                <w:rFonts w:ascii="Arial Narrow" w:hAnsi="Arial Narrow"/>
                <w:sz w:val="18"/>
                <w:szCs w:val="18"/>
              </w:rPr>
              <w:t>-24,9</w:t>
            </w:r>
          </w:p>
        </w:tc>
        <w:tc>
          <w:tcPr>
            <w:tcW w:w="708" w:type="dxa"/>
            <w:tcBorders>
              <w:top w:val="single" w:sz="4" w:space="0" w:color="auto"/>
              <w:left w:val="nil"/>
              <w:bottom w:val="single" w:sz="4" w:space="0" w:color="auto"/>
              <w:right w:val="nil"/>
            </w:tcBorders>
            <w:shd w:val="clear" w:color="auto" w:fill="D9D9D9"/>
            <w:noWrap/>
            <w:vAlign w:val="center"/>
          </w:tcPr>
          <w:p w14:paraId="3E3340C9" w14:textId="3664BB58" w:rsidR="002E7D66" w:rsidRDefault="002E7D66" w:rsidP="002E7D66">
            <w:pPr>
              <w:jc w:val="center"/>
              <w:rPr>
                <w:rFonts w:ascii="Arial Narrow" w:hAnsi="Arial Narrow"/>
                <w:sz w:val="18"/>
                <w:szCs w:val="18"/>
              </w:rPr>
            </w:pPr>
            <w:r>
              <w:rPr>
                <w:rFonts w:ascii="Arial Narrow" w:hAnsi="Arial Narrow"/>
                <w:sz w:val="18"/>
                <w:szCs w:val="18"/>
              </w:rPr>
              <w:t>-1,1</w:t>
            </w:r>
          </w:p>
        </w:tc>
        <w:tc>
          <w:tcPr>
            <w:tcW w:w="1134" w:type="dxa"/>
            <w:tcBorders>
              <w:top w:val="single" w:sz="4" w:space="0" w:color="auto"/>
              <w:left w:val="nil"/>
              <w:bottom w:val="single" w:sz="4" w:space="0" w:color="auto"/>
              <w:right w:val="nil"/>
            </w:tcBorders>
            <w:shd w:val="clear" w:color="auto" w:fill="D9D9D9"/>
            <w:noWrap/>
            <w:vAlign w:val="center"/>
          </w:tcPr>
          <w:p w14:paraId="4F492B85" w14:textId="6A33C253" w:rsidR="002E7D66" w:rsidRDefault="002E7D66" w:rsidP="002E7D66">
            <w:pPr>
              <w:jc w:val="center"/>
              <w:rPr>
                <w:rFonts w:ascii="Arial Narrow" w:hAnsi="Arial Narrow"/>
                <w:sz w:val="18"/>
                <w:szCs w:val="18"/>
              </w:rPr>
            </w:pPr>
            <w:r>
              <w:rPr>
                <w:rFonts w:ascii="Arial Narrow" w:hAnsi="Arial Narrow"/>
                <w:sz w:val="18"/>
                <w:szCs w:val="18"/>
              </w:rPr>
              <w:t>+11,5</w:t>
            </w:r>
          </w:p>
        </w:tc>
        <w:tc>
          <w:tcPr>
            <w:tcW w:w="654" w:type="dxa"/>
            <w:tcBorders>
              <w:top w:val="single" w:sz="4" w:space="0" w:color="auto"/>
              <w:left w:val="nil"/>
              <w:bottom w:val="single" w:sz="4" w:space="0" w:color="auto"/>
              <w:right w:val="nil"/>
            </w:tcBorders>
            <w:shd w:val="clear" w:color="auto" w:fill="auto"/>
            <w:noWrap/>
            <w:vAlign w:val="center"/>
          </w:tcPr>
          <w:p w14:paraId="4517789D" w14:textId="0E5A3351" w:rsidR="002E7D66" w:rsidRDefault="002E7D66" w:rsidP="002E7D66">
            <w:pPr>
              <w:jc w:val="center"/>
              <w:rPr>
                <w:rFonts w:ascii="Arial Narrow" w:hAnsi="Arial Narrow"/>
                <w:sz w:val="18"/>
                <w:szCs w:val="18"/>
              </w:rPr>
            </w:pPr>
            <w:r>
              <w:rPr>
                <w:rFonts w:ascii="Arial Narrow" w:hAnsi="Arial Narrow"/>
                <w:sz w:val="18"/>
                <w:szCs w:val="18"/>
              </w:rPr>
              <w:t>-35,5</w:t>
            </w:r>
          </w:p>
        </w:tc>
        <w:tc>
          <w:tcPr>
            <w:tcW w:w="984" w:type="dxa"/>
            <w:tcBorders>
              <w:top w:val="single" w:sz="4" w:space="0" w:color="auto"/>
              <w:left w:val="nil"/>
              <w:bottom w:val="single" w:sz="4" w:space="0" w:color="auto"/>
              <w:right w:val="nil"/>
            </w:tcBorders>
            <w:shd w:val="clear" w:color="auto" w:fill="auto"/>
            <w:noWrap/>
            <w:vAlign w:val="center"/>
          </w:tcPr>
          <w:p w14:paraId="307AFD12" w14:textId="0AE2AA92" w:rsidR="002E7D66" w:rsidRDefault="002E7D66" w:rsidP="002E7D66">
            <w:pPr>
              <w:jc w:val="center"/>
              <w:rPr>
                <w:rFonts w:ascii="Arial Narrow" w:hAnsi="Arial Narrow"/>
                <w:sz w:val="18"/>
                <w:szCs w:val="18"/>
              </w:rPr>
            </w:pPr>
            <w:r>
              <w:rPr>
                <w:rFonts w:ascii="Arial Narrow" w:hAnsi="Arial Narrow"/>
                <w:sz w:val="18"/>
                <w:szCs w:val="18"/>
              </w:rPr>
              <w:t>-37,9</w:t>
            </w:r>
          </w:p>
        </w:tc>
        <w:tc>
          <w:tcPr>
            <w:tcW w:w="709" w:type="dxa"/>
            <w:tcBorders>
              <w:top w:val="single" w:sz="4" w:space="0" w:color="auto"/>
              <w:left w:val="nil"/>
              <w:bottom w:val="single" w:sz="4" w:space="0" w:color="auto"/>
              <w:right w:val="nil"/>
            </w:tcBorders>
            <w:shd w:val="clear" w:color="auto" w:fill="D9D9D9"/>
            <w:noWrap/>
            <w:vAlign w:val="center"/>
          </w:tcPr>
          <w:p w14:paraId="794B73CD" w14:textId="51ABFCED" w:rsidR="002E7D66" w:rsidRDefault="002E7D66" w:rsidP="002E7D66">
            <w:pPr>
              <w:jc w:val="center"/>
              <w:rPr>
                <w:rFonts w:ascii="Arial Narrow" w:hAnsi="Arial Narrow"/>
                <w:sz w:val="18"/>
                <w:szCs w:val="18"/>
              </w:rPr>
            </w:pPr>
            <w:r>
              <w:rPr>
                <w:rFonts w:ascii="Arial Narrow" w:hAnsi="Arial Narrow"/>
                <w:sz w:val="18"/>
                <w:szCs w:val="18"/>
              </w:rPr>
              <w:t>-5.120</w:t>
            </w:r>
          </w:p>
        </w:tc>
        <w:tc>
          <w:tcPr>
            <w:tcW w:w="984" w:type="dxa"/>
            <w:tcBorders>
              <w:top w:val="single" w:sz="4" w:space="0" w:color="auto"/>
              <w:left w:val="nil"/>
              <w:bottom w:val="single" w:sz="4" w:space="0" w:color="auto"/>
              <w:right w:val="nil"/>
            </w:tcBorders>
            <w:shd w:val="clear" w:color="auto" w:fill="D9D9D9"/>
            <w:vAlign w:val="center"/>
          </w:tcPr>
          <w:p w14:paraId="5EA67EA0" w14:textId="48E733DD" w:rsidR="002E7D66" w:rsidRDefault="002E7D66" w:rsidP="002E7D66">
            <w:pPr>
              <w:jc w:val="center"/>
              <w:rPr>
                <w:rFonts w:ascii="Arial Narrow" w:hAnsi="Arial Narrow"/>
                <w:sz w:val="18"/>
                <w:szCs w:val="18"/>
              </w:rPr>
            </w:pPr>
            <w:r>
              <w:rPr>
                <w:rFonts w:ascii="Arial Narrow" w:hAnsi="Arial Narrow"/>
                <w:sz w:val="18"/>
                <w:szCs w:val="18"/>
              </w:rPr>
              <w:t>-54.854</w:t>
            </w:r>
          </w:p>
        </w:tc>
      </w:tr>
      <w:tr w:rsidR="002E7D66" w:rsidRPr="008C0651" w14:paraId="38D23C54" w14:textId="77777777" w:rsidTr="002E7D66">
        <w:trPr>
          <w:trHeight w:val="255"/>
        </w:trPr>
        <w:tc>
          <w:tcPr>
            <w:tcW w:w="1587" w:type="dxa"/>
            <w:tcBorders>
              <w:top w:val="single" w:sz="4" w:space="0" w:color="auto"/>
              <w:left w:val="nil"/>
              <w:bottom w:val="single" w:sz="4" w:space="0" w:color="auto"/>
              <w:right w:val="nil"/>
            </w:tcBorders>
            <w:shd w:val="clear" w:color="auto" w:fill="auto"/>
            <w:vAlign w:val="bottom"/>
          </w:tcPr>
          <w:p w14:paraId="2E0D9A1C" w14:textId="77777777" w:rsidR="002E7D66" w:rsidRPr="00831F78" w:rsidRDefault="002E7D66" w:rsidP="002E7D66">
            <w:pPr>
              <w:spacing w:before="40" w:after="20"/>
              <w:rPr>
                <w:rFonts w:ascii="Arial Narrow" w:hAnsi="Arial Narrow"/>
                <w:sz w:val="18"/>
                <w:szCs w:val="18"/>
              </w:rPr>
            </w:pPr>
            <w:r w:rsidRPr="00831F78">
              <w:rPr>
                <w:rFonts w:ascii="Arial Narrow" w:hAnsi="Arial Narrow"/>
                <w:sz w:val="18"/>
                <w:szCs w:val="18"/>
              </w:rPr>
              <w:t>Totale al netto dell’energia</w:t>
            </w:r>
          </w:p>
        </w:tc>
        <w:tc>
          <w:tcPr>
            <w:tcW w:w="665" w:type="dxa"/>
            <w:tcBorders>
              <w:top w:val="single" w:sz="4" w:space="0" w:color="auto"/>
              <w:left w:val="nil"/>
              <w:bottom w:val="single" w:sz="4" w:space="0" w:color="auto"/>
              <w:right w:val="nil"/>
            </w:tcBorders>
            <w:shd w:val="clear" w:color="auto" w:fill="D9D9D9"/>
            <w:noWrap/>
            <w:vAlign w:val="center"/>
          </w:tcPr>
          <w:p w14:paraId="5ADDE908" w14:textId="0F8817C7" w:rsidR="002E7D66" w:rsidRDefault="002E7D66" w:rsidP="002E7D66">
            <w:pPr>
              <w:jc w:val="center"/>
              <w:rPr>
                <w:rFonts w:ascii="Arial Narrow" w:hAnsi="Arial Narrow"/>
                <w:sz w:val="18"/>
                <w:szCs w:val="18"/>
              </w:rPr>
            </w:pPr>
            <w:r>
              <w:rPr>
                <w:rFonts w:ascii="Arial Narrow" w:hAnsi="Arial Narrow"/>
                <w:sz w:val="18"/>
                <w:szCs w:val="18"/>
              </w:rPr>
              <w:t>+3,7</w:t>
            </w:r>
          </w:p>
        </w:tc>
        <w:tc>
          <w:tcPr>
            <w:tcW w:w="1108" w:type="dxa"/>
            <w:tcBorders>
              <w:top w:val="single" w:sz="4" w:space="0" w:color="auto"/>
              <w:left w:val="nil"/>
              <w:bottom w:val="single" w:sz="4" w:space="0" w:color="auto"/>
              <w:right w:val="nil"/>
            </w:tcBorders>
            <w:shd w:val="clear" w:color="auto" w:fill="D9D9D9"/>
            <w:noWrap/>
            <w:vAlign w:val="center"/>
          </w:tcPr>
          <w:p w14:paraId="0E41AEFA" w14:textId="1E88A7B9" w:rsidR="002E7D66" w:rsidRDefault="002E7D66" w:rsidP="002E7D66">
            <w:pPr>
              <w:jc w:val="center"/>
              <w:rPr>
                <w:rFonts w:ascii="Arial Narrow" w:hAnsi="Arial Narrow"/>
                <w:sz w:val="18"/>
                <w:szCs w:val="18"/>
              </w:rPr>
            </w:pPr>
            <w:r>
              <w:rPr>
                <w:rFonts w:ascii="Arial Narrow" w:hAnsi="Arial Narrow"/>
                <w:sz w:val="18"/>
                <w:szCs w:val="18"/>
              </w:rPr>
              <w:t>+1,3</w:t>
            </w:r>
          </w:p>
        </w:tc>
        <w:tc>
          <w:tcPr>
            <w:tcW w:w="685" w:type="dxa"/>
            <w:tcBorders>
              <w:top w:val="single" w:sz="4" w:space="0" w:color="auto"/>
              <w:left w:val="nil"/>
              <w:bottom w:val="single" w:sz="4" w:space="0" w:color="auto"/>
              <w:right w:val="nil"/>
            </w:tcBorders>
            <w:shd w:val="clear" w:color="auto" w:fill="auto"/>
            <w:noWrap/>
            <w:vAlign w:val="center"/>
          </w:tcPr>
          <w:p w14:paraId="08E262D9" w14:textId="6F09DF85" w:rsidR="002E7D66" w:rsidRDefault="002E7D66" w:rsidP="002E7D66">
            <w:pPr>
              <w:jc w:val="center"/>
              <w:rPr>
                <w:rFonts w:ascii="Arial Narrow" w:hAnsi="Arial Narrow"/>
                <w:sz w:val="18"/>
                <w:szCs w:val="18"/>
              </w:rPr>
            </w:pPr>
            <w:r>
              <w:rPr>
                <w:rFonts w:ascii="Arial Narrow" w:hAnsi="Arial Narrow"/>
                <w:sz w:val="18"/>
                <w:szCs w:val="18"/>
              </w:rPr>
              <w:t>+4,2</w:t>
            </w:r>
          </w:p>
        </w:tc>
        <w:tc>
          <w:tcPr>
            <w:tcW w:w="1017" w:type="dxa"/>
            <w:tcBorders>
              <w:top w:val="single" w:sz="4" w:space="0" w:color="auto"/>
              <w:left w:val="nil"/>
              <w:bottom w:val="single" w:sz="4" w:space="0" w:color="auto"/>
              <w:right w:val="nil"/>
            </w:tcBorders>
            <w:shd w:val="clear" w:color="auto" w:fill="auto"/>
            <w:noWrap/>
            <w:vAlign w:val="center"/>
          </w:tcPr>
          <w:p w14:paraId="6FF6D0E2" w14:textId="2F647461" w:rsidR="002E7D66" w:rsidRDefault="002E7D66" w:rsidP="002E7D66">
            <w:pPr>
              <w:jc w:val="center"/>
              <w:rPr>
                <w:rFonts w:ascii="Arial Narrow" w:hAnsi="Arial Narrow"/>
                <w:sz w:val="18"/>
                <w:szCs w:val="18"/>
              </w:rPr>
            </w:pPr>
            <w:r>
              <w:rPr>
                <w:rFonts w:ascii="Arial Narrow" w:hAnsi="Arial Narrow"/>
                <w:sz w:val="18"/>
                <w:szCs w:val="18"/>
              </w:rPr>
              <w:t>+2,5</w:t>
            </w:r>
          </w:p>
        </w:tc>
        <w:tc>
          <w:tcPr>
            <w:tcW w:w="708" w:type="dxa"/>
            <w:tcBorders>
              <w:top w:val="single" w:sz="4" w:space="0" w:color="auto"/>
              <w:left w:val="nil"/>
              <w:bottom w:val="single" w:sz="4" w:space="0" w:color="auto"/>
              <w:right w:val="nil"/>
            </w:tcBorders>
            <w:shd w:val="clear" w:color="auto" w:fill="D9D9D9"/>
            <w:noWrap/>
            <w:vAlign w:val="center"/>
          </w:tcPr>
          <w:p w14:paraId="6AB854D3" w14:textId="4B0A460B" w:rsidR="002E7D66" w:rsidRDefault="002E7D66" w:rsidP="002E7D66">
            <w:pPr>
              <w:jc w:val="center"/>
              <w:rPr>
                <w:rFonts w:ascii="Arial Narrow" w:hAnsi="Arial Narrow"/>
                <w:sz w:val="18"/>
                <w:szCs w:val="18"/>
              </w:rPr>
            </w:pPr>
            <w:r>
              <w:rPr>
                <w:rFonts w:ascii="Arial Narrow" w:hAnsi="Arial Narrow"/>
                <w:sz w:val="18"/>
                <w:szCs w:val="18"/>
              </w:rPr>
              <w:t>+3,4</w:t>
            </w:r>
          </w:p>
        </w:tc>
        <w:tc>
          <w:tcPr>
            <w:tcW w:w="1134" w:type="dxa"/>
            <w:tcBorders>
              <w:top w:val="single" w:sz="4" w:space="0" w:color="auto"/>
              <w:left w:val="nil"/>
              <w:bottom w:val="single" w:sz="4" w:space="0" w:color="auto"/>
              <w:right w:val="nil"/>
            </w:tcBorders>
            <w:shd w:val="clear" w:color="auto" w:fill="D9D9D9"/>
            <w:noWrap/>
            <w:vAlign w:val="center"/>
          </w:tcPr>
          <w:p w14:paraId="3C9B240E" w14:textId="52155063" w:rsidR="002E7D66" w:rsidRDefault="002E7D66" w:rsidP="002E7D66">
            <w:pPr>
              <w:jc w:val="center"/>
              <w:rPr>
                <w:rFonts w:ascii="Arial Narrow" w:hAnsi="Arial Narrow"/>
                <w:sz w:val="18"/>
                <w:szCs w:val="18"/>
              </w:rPr>
            </w:pPr>
            <w:r>
              <w:rPr>
                <w:rFonts w:ascii="Arial Narrow" w:hAnsi="Arial Narrow"/>
                <w:sz w:val="18"/>
                <w:szCs w:val="18"/>
              </w:rPr>
              <w:t>-1,2</w:t>
            </w:r>
          </w:p>
        </w:tc>
        <w:tc>
          <w:tcPr>
            <w:tcW w:w="654" w:type="dxa"/>
            <w:tcBorders>
              <w:top w:val="single" w:sz="4" w:space="0" w:color="auto"/>
              <w:left w:val="nil"/>
              <w:bottom w:val="single" w:sz="4" w:space="0" w:color="auto"/>
              <w:right w:val="nil"/>
            </w:tcBorders>
            <w:shd w:val="clear" w:color="auto" w:fill="auto"/>
            <w:noWrap/>
            <w:vAlign w:val="center"/>
          </w:tcPr>
          <w:p w14:paraId="26C2FB2A" w14:textId="6EFD33A2" w:rsidR="002E7D66" w:rsidRDefault="002E7D66" w:rsidP="002E7D66">
            <w:pPr>
              <w:jc w:val="center"/>
              <w:rPr>
                <w:rFonts w:ascii="Arial Narrow" w:hAnsi="Arial Narrow"/>
                <w:sz w:val="18"/>
                <w:szCs w:val="18"/>
              </w:rPr>
            </w:pPr>
            <w:r>
              <w:rPr>
                <w:rFonts w:ascii="Arial Narrow" w:hAnsi="Arial Narrow"/>
                <w:sz w:val="18"/>
                <w:szCs w:val="18"/>
              </w:rPr>
              <w:t>-2,6</w:t>
            </w:r>
          </w:p>
        </w:tc>
        <w:tc>
          <w:tcPr>
            <w:tcW w:w="984" w:type="dxa"/>
            <w:tcBorders>
              <w:top w:val="single" w:sz="4" w:space="0" w:color="auto"/>
              <w:left w:val="nil"/>
              <w:bottom w:val="single" w:sz="4" w:space="0" w:color="auto"/>
              <w:right w:val="nil"/>
            </w:tcBorders>
            <w:shd w:val="clear" w:color="auto" w:fill="auto"/>
            <w:noWrap/>
            <w:vAlign w:val="center"/>
          </w:tcPr>
          <w:p w14:paraId="212A3813" w14:textId="21249A6C" w:rsidR="002E7D66" w:rsidRDefault="002E7D66" w:rsidP="002E7D66">
            <w:pPr>
              <w:jc w:val="center"/>
              <w:rPr>
                <w:rFonts w:ascii="Arial Narrow" w:hAnsi="Arial Narrow"/>
                <w:sz w:val="18"/>
                <w:szCs w:val="18"/>
              </w:rPr>
            </w:pPr>
            <w:r>
              <w:rPr>
                <w:rFonts w:ascii="Arial Narrow" w:hAnsi="Arial Narrow"/>
                <w:sz w:val="18"/>
                <w:szCs w:val="18"/>
              </w:rPr>
              <w:t>-2,3</w:t>
            </w:r>
          </w:p>
        </w:tc>
        <w:tc>
          <w:tcPr>
            <w:tcW w:w="709" w:type="dxa"/>
            <w:tcBorders>
              <w:top w:val="single" w:sz="4" w:space="0" w:color="auto"/>
              <w:left w:val="nil"/>
              <w:bottom w:val="single" w:sz="4" w:space="0" w:color="auto"/>
              <w:right w:val="nil"/>
            </w:tcBorders>
            <w:shd w:val="clear" w:color="auto" w:fill="D9D9D9"/>
            <w:noWrap/>
            <w:vAlign w:val="center"/>
          </w:tcPr>
          <w:p w14:paraId="6BB6051F" w14:textId="33CBA2D0" w:rsidR="002E7D66" w:rsidRDefault="002E7D66" w:rsidP="002E7D66">
            <w:pPr>
              <w:jc w:val="center"/>
              <w:rPr>
                <w:rFonts w:ascii="Arial Narrow" w:hAnsi="Arial Narrow"/>
                <w:sz w:val="18"/>
                <w:szCs w:val="18"/>
              </w:rPr>
            </w:pPr>
            <w:r>
              <w:rPr>
                <w:rFonts w:ascii="Arial Narrow" w:hAnsi="Arial Narrow"/>
                <w:sz w:val="18"/>
                <w:szCs w:val="18"/>
              </w:rPr>
              <w:t>+9.819</w:t>
            </w:r>
          </w:p>
        </w:tc>
        <w:tc>
          <w:tcPr>
            <w:tcW w:w="984" w:type="dxa"/>
            <w:tcBorders>
              <w:top w:val="single" w:sz="4" w:space="0" w:color="auto"/>
              <w:left w:val="nil"/>
              <w:bottom w:val="single" w:sz="4" w:space="0" w:color="auto"/>
              <w:right w:val="nil"/>
            </w:tcBorders>
            <w:shd w:val="clear" w:color="auto" w:fill="D9D9D9"/>
            <w:vAlign w:val="center"/>
          </w:tcPr>
          <w:p w14:paraId="40EF5665" w14:textId="61BECAD0" w:rsidR="002E7D66" w:rsidRDefault="002E7D66" w:rsidP="002E7D66">
            <w:pPr>
              <w:jc w:val="center"/>
              <w:rPr>
                <w:rFonts w:ascii="Arial Narrow" w:hAnsi="Arial Narrow"/>
                <w:sz w:val="18"/>
                <w:szCs w:val="18"/>
              </w:rPr>
            </w:pPr>
            <w:r>
              <w:rPr>
                <w:rFonts w:ascii="Arial Narrow" w:hAnsi="Arial Narrow"/>
                <w:sz w:val="18"/>
                <w:szCs w:val="18"/>
              </w:rPr>
              <w:t>+79.783</w:t>
            </w:r>
          </w:p>
        </w:tc>
      </w:tr>
      <w:tr w:rsidR="002E7D66" w:rsidRPr="008C0651" w14:paraId="758F66A9" w14:textId="77777777" w:rsidTr="002E7D66">
        <w:trPr>
          <w:trHeight w:val="255"/>
        </w:trPr>
        <w:tc>
          <w:tcPr>
            <w:tcW w:w="1587" w:type="dxa"/>
            <w:tcBorders>
              <w:top w:val="single" w:sz="4" w:space="0" w:color="auto"/>
              <w:left w:val="nil"/>
              <w:bottom w:val="single" w:sz="4" w:space="0" w:color="auto"/>
              <w:right w:val="nil"/>
            </w:tcBorders>
            <w:shd w:val="clear" w:color="000000" w:fill="FF0000"/>
            <w:vAlign w:val="bottom"/>
          </w:tcPr>
          <w:p w14:paraId="746141F9" w14:textId="77777777" w:rsidR="002E7D66" w:rsidRPr="008C0651" w:rsidRDefault="002E7D66" w:rsidP="002E7D66">
            <w:pPr>
              <w:spacing w:before="40" w:after="20"/>
              <w:rPr>
                <w:rFonts w:ascii="Arial Narrow" w:hAnsi="Arial Narrow"/>
                <w:b/>
                <w:color w:val="FFFFFF" w:themeColor="background1"/>
                <w:sz w:val="18"/>
                <w:szCs w:val="18"/>
              </w:rPr>
            </w:pPr>
            <w:r w:rsidRPr="008C0651">
              <w:rPr>
                <w:rFonts w:ascii="Arial Narrow" w:hAnsi="Arial Narrow"/>
                <w:b/>
                <w:color w:val="FFFFFF" w:themeColor="background1"/>
                <w:sz w:val="18"/>
                <w:szCs w:val="18"/>
              </w:rPr>
              <w:t>Totale</w:t>
            </w:r>
          </w:p>
        </w:tc>
        <w:tc>
          <w:tcPr>
            <w:tcW w:w="665" w:type="dxa"/>
            <w:tcBorders>
              <w:top w:val="single" w:sz="4" w:space="0" w:color="auto"/>
              <w:left w:val="nil"/>
              <w:bottom w:val="single" w:sz="4" w:space="0" w:color="auto"/>
              <w:right w:val="nil"/>
            </w:tcBorders>
            <w:shd w:val="clear" w:color="000000" w:fill="FF0000"/>
            <w:noWrap/>
            <w:vAlign w:val="center"/>
          </w:tcPr>
          <w:p w14:paraId="522CD708" w14:textId="6F380772" w:rsidR="002E7D66" w:rsidRDefault="002E7D66" w:rsidP="002E7D66">
            <w:pPr>
              <w:jc w:val="center"/>
              <w:rPr>
                <w:rFonts w:ascii="Arial Narrow" w:hAnsi="Arial Narrow"/>
                <w:b/>
                <w:bCs/>
                <w:color w:val="FFFFFF"/>
                <w:sz w:val="18"/>
                <w:szCs w:val="18"/>
              </w:rPr>
            </w:pPr>
            <w:r>
              <w:rPr>
                <w:rFonts w:ascii="Arial Narrow" w:hAnsi="Arial Narrow"/>
                <w:b/>
                <w:bCs/>
                <w:color w:val="FFFFFF"/>
                <w:sz w:val="18"/>
                <w:szCs w:val="18"/>
              </w:rPr>
              <w:t>+3,8</w:t>
            </w:r>
          </w:p>
        </w:tc>
        <w:tc>
          <w:tcPr>
            <w:tcW w:w="1108" w:type="dxa"/>
            <w:tcBorders>
              <w:top w:val="single" w:sz="4" w:space="0" w:color="auto"/>
              <w:left w:val="nil"/>
              <w:bottom w:val="single" w:sz="4" w:space="0" w:color="auto"/>
              <w:right w:val="nil"/>
            </w:tcBorders>
            <w:shd w:val="clear" w:color="000000" w:fill="FF0000"/>
            <w:noWrap/>
            <w:vAlign w:val="center"/>
          </w:tcPr>
          <w:p w14:paraId="1D422533" w14:textId="52C09CF2" w:rsidR="002E7D66" w:rsidRDefault="002E7D66" w:rsidP="002E7D66">
            <w:pPr>
              <w:jc w:val="center"/>
              <w:rPr>
                <w:rFonts w:ascii="Arial Narrow" w:hAnsi="Arial Narrow"/>
                <w:b/>
                <w:bCs/>
                <w:color w:val="FFFFFF"/>
                <w:sz w:val="18"/>
                <w:szCs w:val="18"/>
              </w:rPr>
            </w:pPr>
            <w:r>
              <w:rPr>
                <w:rFonts w:ascii="Arial Narrow" w:hAnsi="Arial Narrow"/>
                <w:b/>
                <w:bCs/>
                <w:color w:val="FFFFFF"/>
                <w:sz w:val="18"/>
                <w:szCs w:val="18"/>
              </w:rPr>
              <w:t>+2,4</w:t>
            </w:r>
          </w:p>
        </w:tc>
        <w:tc>
          <w:tcPr>
            <w:tcW w:w="685" w:type="dxa"/>
            <w:tcBorders>
              <w:top w:val="single" w:sz="4" w:space="0" w:color="auto"/>
              <w:left w:val="nil"/>
              <w:bottom w:val="single" w:sz="4" w:space="0" w:color="auto"/>
              <w:right w:val="nil"/>
            </w:tcBorders>
            <w:shd w:val="clear" w:color="000000" w:fill="FF0000"/>
            <w:noWrap/>
            <w:vAlign w:val="center"/>
          </w:tcPr>
          <w:p w14:paraId="0D99E076" w14:textId="55936FD9" w:rsidR="002E7D66" w:rsidRDefault="002E7D66" w:rsidP="002E7D66">
            <w:pPr>
              <w:jc w:val="center"/>
              <w:rPr>
                <w:rFonts w:ascii="Arial Narrow" w:hAnsi="Arial Narrow"/>
                <w:b/>
                <w:bCs/>
                <w:color w:val="FFFFFF"/>
                <w:sz w:val="18"/>
                <w:szCs w:val="18"/>
              </w:rPr>
            </w:pPr>
            <w:r>
              <w:rPr>
                <w:rFonts w:ascii="Arial Narrow" w:hAnsi="Arial Narrow"/>
                <w:b/>
                <w:bCs/>
                <w:color w:val="FFFFFF"/>
                <w:sz w:val="18"/>
                <w:szCs w:val="18"/>
              </w:rPr>
              <w:t>+3,0</w:t>
            </w:r>
          </w:p>
        </w:tc>
        <w:tc>
          <w:tcPr>
            <w:tcW w:w="1017" w:type="dxa"/>
            <w:tcBorders>
              <w:top w:val="single" w:sz="4" w:space="0" w:color="auto"/>
              <w:left w:val="nil"/>
              <w:bottom w:val="single" w:sz="4" w:space="0" w:color="auto"/>
              <w:right w:val="nil"/>
            </w:tcBorders>
            <w:shd w:val="clear" w:color="000000" w:fill="FF0000"/>
            <w:noWrap/>
            <w:vAlign w:val="center"/>
          </w:tcPr>
          <w:p w14:paraId="6344B48E" w14:textId="105C4FE5" w:rsidR="002E7D66" w:rsidRDefault="002E7D66" w:rsidP="002E7D66">
            <w:pPr>
              <w:jc w:val="center"/>
              <w:rPr>
                <w:rFonts w:ascii="Arial Narrow" w:hAnsi="Arial Narrow"/>
                <w:b/>
                <w:bCs/>
                <w:color w:val="FFFFFF"/>
                <w:sz w:val="18"/>
                <w:szCs w:val="18"/>
              </w:rPr>
            </w:pPr>
            <w:r>
              <w:rPr>
                <w:rFonts w:ascii="Arial Narrow" w:hAnsi="Arial Narrow"/>
                <w:b/>
                <w:bCs/>
                <w:color w:val="FFFFFF"/>
                <w:sz w:val="18"/>
                <w:szCs w:val="18"/>
              </w:rPr>
              <w:t>+1,2</w:t>
            </w:r>
          </w:p>
        </w:tc>
        <w:tc>
          <w:tcPr>
            <w:tcW w:w="708" w:type="dxa"/>
            <w:tcBorders>
              <w:top w:val="single" w:sz="4" w:space="0" w:color="auto"/>
              <w:left w:val="nil"/>
              <w:bottom w:val="single" w:sz="4" w:space="0" w:color="auto"/>
              <w:right w:val="nil"/>
            </w:tcBorders>
            <w:shd w:val="clear" w:color="000000" w:fill="FF0000"/>
            <w:noWrap/>
            <w:vAlign w:val="center"/>
          </w:tcPr>
          <w:p w14:paraId="5DCF936F" w14:textId="5613C611" w:rsidR="002E7D66" w:rsidRDefault="002E7D66" w:rsidP="002E7D66">
            <w:pPr>
              <w:jc w:val="center"/>
              <w:rPr>
                <w:rFonts w:ascii="Arial Narrow" w:hAnsi="Arial Narrow"/>
                <w:b/>
                <w:bCs/>
                <w:color w:val="FFFFFF"/>
                <w:sz w:val="18"/>
                <w:szCs w:val="18"/>
              </w:rPr>
            </w:pPr>
            <w:r>
              <w:rPr>
                <w:rFonts w:ascii="Arial Narrow" w:hAnsi="Arial Narrow"/>
                <w:b/>
                <w:bCs/>
                <w:color w:val="FFFFFF"/>
                <w:sz w:val="18"/>
                <w:szCs w:val="18"/>
              </w:rPr>
              <w:t>+2,8</w:t>
            </w:r>
          </w:p>
        </w:tc>
        <w:tc>
          <w:tcPr>
            <w:tcW w:w="1134" w:type="dxa"/>
            <w:tcBorders>
              <w:top w:val="single" w:sz="4" w:space="0" w:color="auto"/>
              <w:left w:val="nil"/>
              <w:bottom w:val="single" w:sz="4" w:space="0" w:color="auto"/>
              <w:right w:val="nil"/>
            </w:tcBorders>
            <w:shd w:val="clear" w:color="000000" w:fill="FF0000"/>
            <w:noWrap/>
            <w:vAlign w:val="center"/>
          </w:tcPr>
          <w:p w14:paraId="7F580015" w14:textId="23D3D43A" w:rsidR="002E7D66" w:rsidRDefault="002E7D66" w:rsidP="002E7D66">
            <w:pPr>
              <w:jc w:val="center"/>
              <w:rPr>
                <w:rFonts w:ascii="Arial Narrow" w:hAnsi="Arial Narrow"/>
                <w:b/>
                <w:bCs/>
                <w:color w:val="FFFFFF"/>
                <w:sz w:val="18"/>
                <w:szCs w:val="18"/>
              </w:rPr>
            </w:pPr>
            <w:r>
              <w:rPr>
                <w:rFonts w:ascii="Arial Narrow" w:hAnsi="Arial Narrow"/>
                <w:b/>
                <w:bCs/>
                <w:color w:val="FFFFFF"/>
                <w:sz w:val="18"/>
                <w:szCs w:val="18"/>
              </w:rPr>
              <w:t>+0,5</w:t>
            </w:r>
          </w:p>
        </w:tc>
        <w:tc>
          <w:tcPr>
            <w:tcW w:w="654" w:type="dxa"/>
            <w:tcBorders>
              <w:top w:val="single" w:sz="4" w:space="0" w:color="auto"/>
              <w:left w:val="nil"/>
              <w:bottom w:val="single" w:sz="4" w:space="0" w:color="auto"/>
              <w:right w:val="nil"/>
            </w:tcBorders>
            <w:shd w:val="clear" w:color="000000" w:fill="FF0000"/>
            <w:noWrap/>
            <w:vAlign w:val="center"/>
          </w:tcPr>
          <w:p w14:paraId="6E082202" w14:textId="534929DA" w:rsidR="002E7D66" w:rsidRDefault="002E7D66" w:rsidP="002E7D66">
            <w:pPr>
              <w:jc w:val="center"/>
              <w:rPr>
                <w:rFonts w:ascii="Arial Narrow" w:hAnsi="Arial Narrow"/>
                <w:b/>
                <w:bCs/>
                <w:color w:val="FFFFFF"/>
                <w:sz w:val="18"/>
                <w:szCs w:val="18"/>
              </w:rPr>
            </w:pPr>
            <w:r>
              <w:rPr>
                <w:rFonts w:ascii="Arial Narrow" w:hAnsi="Arial Narrow"/>
                <w:b/>
                <w:bCs/>
                <w:color w:val="FFFFFF"/>
                <w:sz w:val="18"/>
                <w:szCs w:val="18"/>
              </w:rPr>
              <w:t>-9,2</w:t>
            </w:r>
          </w:p>
        </w:tc>
        <w:tc>
          <w:tcPr>
            <w:tcW w:w="984" w:type="dxa"/>
            <w:tcBorders>
              <w:top w:val="single" w:sz="4" w:space="0" w:color="auto"/>
              <w:left w:val="nil"/>
              <w:bottom w:val="single" w:sz="4" w:space="0" w:color="auto"/>
              <w:right w:val="nil"/>
            </w:tcBorders>
            <w:shd w:val="clear" w:color="000000" w:fill="FF0000"/>
            <w:noWrap/>
            <w:vAlign w:val="center"/>
          </w:tcPr>
          <w:p w14:paraId="490D94A5" w14:textId="3E25093F" w:rsidR="002E7D66" w:rsidRDefault="002E7D66" w:rsidP="002E7D66">
            <w:pPr>
              <w:jc w:val="center"/>
              <w:rPr>
                <w:rFonts w:ascii="Arial Narrow" w:hAnsi="Arial Narrow"/>
                <w:b/>
                <w:bCs/>
                <w:color w:val="FFFFFF"/>
                <w:sz w:val="18"/>
                <w:szCs w:val="18"/>
              </w:rPr>
            </w:pPr>
            <w:r>
              <w:rPr>
                <w:rFonts w:ascii="Arial Narrow" w:hAnsi="Arial Narrow"/>
                <w:b/>
                <w:bCs/>
                <w:color w:val="FFFFFF"/>
                <w:sz w:val="18"/>
                <w:szCs w:val="18"/>
              </w:rPr>
              <w:t>-9,9</w:t>
            </w:r>
          </w:p>
        </w:tc>
        <w:tc>
          <w:tcPr>
            <w:tcW w:w="709" w:type="dxa"/>
            <w:tcBorders>
              <w:top w:val="single" w:sz="4" w:space="0" w:color="auto"/>
              <w:left w:val="nil"/>
              <w:bottom w:val="single" w:sz="4" w:space="0" w:color="auto"/>
              <w:right w:val="nil"/>
            </w:tcBorders>
            <w:shd w:val="clear" w:color="000000" w:fill="FF0000"/>
            <w:noWrap/>
            <w:vAlign w:val="center"/>
          </w:tcPr>
          <w:p w14:paraId="290C69C4" w14:textId="1CEACDBE" w:rsidR="002E7D66" w:rsidRDefault="002E7D66" w:rsidP="002E7D66">
            <w:pPr>
              <w:jc w:val="center"/>
              <w:rPr>
                <w:rFonts w:ascii="Arial Narrow" w:hAnsi="Arial Narrow"/>
                <w:b/>
                <w:bCs/>
                <w:color w:val="FFFFFF"/>
                <w:sz w:val="18"/>
                <w:szCs w:val="18"/>
              </w:rPr>
            </w:pPr>
            <w:r>
              <w:rPr>
                <w:rFonts w:ascii="Arial Narrow" w:hAnsi="Arial Narrow"/>
                <w:b/>
                <w:bCs/>
                <w:color w:val="FFFFFF"/>
                <w:sz w:val="18"/>
                <w:szCs w:val="18"/>
              </w:rPr>
              <w:t>+4.699</w:t>
            </w:r>
          </w:p>
        </w:tc>
        <w:tc>
          <w:tcPr>
            <w:tcW w:w="984" w:type="dxa"/>
            <w:tcBorders>
              <w:top w:val="single" w:sz="4" w:space="0" w:color="auto"/>
              <w:left w:val="nil"/>
              <w:bottom w:val="single" w:sz="4" w:space="0" w:color="auto"/>
              <w:right w:val="nil"/>
            </w:tcBorders>
            <w:shd w:val="clear" w:color="000000" w:fill="FF0000"/>
            <w:vAlign w:val="center"/>
          </w:tcPr>
          <w:p w14:paraId="5C42464A" w14:textId="1805DD84" w:rsidR="002E7D66" w:rsidRDefault="002E7D66" w:rsidP="002E7D66">
            <w:pPr>
              <w:jc w:val="center"/>
              <w:rPr>
                <w:rFonts w:ascii="Arial Narrow" w:hAnsi="Arial Narrow"/>
                <w:b/>
                <w:bCs/>
                <w:color w:val="FFFFFF"/>
                <w:sz w:val="18"/>
                <w:szCs w:val="18"/>
              </w:rPr>
            </w:pPr>
            <w:r>
              <w:rPr>
                <w:rFonts w:ascii="Arial Narrow" w:hAnsi="Arial Narrow"/>
                <w:b/>
                <w:bCs/>
                <w:color w:val="FFFFFF"/>
                <w:sz w:val="18"/>
                <w:szCs w:val="18"/>
              </w:rPr>
              <w:t>+24.929</w:t>
            </w:r>
          </w:p>
        </w:tc>
      </w:tr>
    </w:tbl>
    <w:p w14:paraId="1962632C" w14:textId="77777777" w:rsidR="00E35D07" w:rsidRPr="00F515CD" w:rsidRDefault="00E35D07" w:rsidP="00C32401">
      <w:pPr>
        <w:pStyle w:val="Corpodeltesto1"/>
        <w:spacing w:after="120"/>
        <w:rPr>
          <w:rFonts w:ascii="Arial" w:hAnsi="Arial" w:cs="Arial"/>
          <w:b w:val="0"/>
          <w:color w:val="000000"/>
          <w:kern w:val="28"/>
          <w:sz w:val="21"/>
          <w:szCs w:val="21"/>
        </w:rPr>
      </w:pPr>
    </w:p>
    <w:p w14:paraId="6E835989" w14:textId="71BC087D" w:rsidR="00404838" w:rsidRDefault="00404838" w:rsidP="00513535">
      <w:pPr>
        <w:pStyle w:val="Corpodeltesto1"/>
        <w:rPr>
          <w:rFonts w:ascii="Arial" w:hAnsi="Arial" w:cs="Arial"/>
          <w:b w:val="0"/>
          <w:color w:val="000000"/>
          <w:kern w:val="28"/>
          <w:sz w:val="21"/>
          <w:szCs w:val="21"/>
        </w:rPr>
      </w:pPr>
      <w:r>
        <w:rPr>
          <w:rFonts w:ascii="Arial" w:hAnsi="Arial" w:cs="Arial"/>
          <w:b w:val="0"/>
          <w:color w:val="000000"/>
          <w:kern w:val="28"/>
          <w:sz w:val="21"/>
          <w:szCs w:val="21"/>
        </w:rPr>
        <w:t>A</w:t>
      </w:r>
      <w:r w:rsidR="00404342">
        <w:rPr>
          <w:rFonts w:ascii="Arial" w:hAnsi="Arial" w:cs="Arial"/>
          <w:b w:val="0"/>
          <w:color w:val="000000"/>
          <w:kern w:val="28"/>
          <w:sz w:val="21"/>
          <w:szCs w:val="21"/>
        </w:rPr>
        <w:t xml:space="preserve"> </w:t>
      </w:r>
      <w:r w:rsidR="000B50E7">
        <w:rPr>
          <w:rFonts w:ascii="Arial" w:hAnsi="Arial" w:cs="Arial"/>
          <w:b w:val="0"/>
          <w:color w:val="000000"/>
          <w:kern w:val="28"/>
          <w:sz w:val="21"/>
          <w:szCs w:val="21"/>
        </w:rPr>
        <w:t xml:space="preserve">ottobre </w:t>
      </w:r>
      <w:r w:rsidR="00BA2D53">
        <w:rPr>
          <w:rFonts w:ascii="Arial" w:hAnsi="Arial" w:cs="Arial"/>
          <w:b w:val="0"/>
          <w:color w:val="000000"/>
          <w:kern w:val="28"/>
          <w:sz w:val="21"/>
          <w:szCs w:val="21"/>
        </w:rPr>
        <w:t>2023</w:t>
      </w:r>
      <w:r w:rsidR="004063DE">
        <w:rPr>
          <w:rFonts w:ascii="Arial" w:hAnsi="Arial" w:cs="Arial"/>
          <w:b w:val="0"/>
          <w:color w:val="000000"/>
          <w:kern w:val="28"/>
          <w:sz w:val="21"/>
          <w:szCs w:val="21"/>
        </w:rPr>
        <w:t xml:space="preserve">, </w:t>
      </w:r>
      <w:r w:rsidR="00707DF7">
        <w:rPr>
          <w:rFonts w:ascii="Arial" w:hAnsi="Arial" w:cs="Arial"/>
          <w:b w:val="0"/>
          <w:color w:val="000000"/>
          <w:kern w:val="28"/>
          <w:sz w:val="21"/>
          <w:szCs w:val="21"/>
        </w:rPr>
        <w:t>l</w:t>
      </w:r>
      <w:r w:rsidR="000B50E7">
        <w:rPr>
          <w:rFonts w:ascii="Arial" w:hAnsi="Arial" w:cs="Arial"/>
          <w:b w:val="0"/>
          <w:color w:val="000000"/>
          <w:kern w:val="28"/>
          <w:sz w:val="21"/>
          <w:szCs w:val="21"/>
        </w:rPr>
        <w:t xml:space="preserve">’incremento </w:t>
      </w:r>
      <w:r w:rsidR="00905F4B" w:rsidRPr="00C77CF5">
        <w:rPr>
          <w:rFonts w:ascii="Arial" w:hAnsi="Arial" w:cs="Arial"/>
          <w:b w:val="0"/>
          <w:color w:val="000000"/>
          <w:kern w:val="28"/>
          <w:sz w:val="21"/>
          <w:szCs w:val="21"/>
        </w:rPr>
        <w:t xml:space="preserve">congiunturale dell’export </w:t>
      </w:r>
      <w:r w:rsidR="00237C65">
        <w:rPr>
          <w:rFonts w:ascii="Arial" w:hAnsi="Arial" w:cs="Arial"/>
          <w:b w:val="0"/>
          <w:color w:val="000000"/>
          <w:kern w:val="28"/>
          <w:sz w:val="21"/>
          <w:szCs w:val="21"/>
        </w:rPr>
        <w:t>(</w:t>
      </w:r>
      <w:r w:rsidR="000B50E7">
        <w:rPr>
          <w:rFonts w:ascii="Arial" w:hAnsi="Arial" w:cs="Arial"/>
          <w:b w:val="0"/>
          <w:color w:val="000000"/>
          <w:kern w:val="28"/>
          <w:sz w:val="21"/>
          <w:szCs w:val="21"/>
        </w:rPr>
        <w:t>+3,8%</w:t>
      </w:r>
      <w:r w:rsidR="00B124B4">
        <w:rPr>
          <w:rFonts w:ascii="Arial" w:hAnsi="Arial" w:cs="Arial"/>
          <w:b w:val="0"/>
          <w:color w:val="000000"/>
          <w:kern w:val="28"/>
          <w:sz w:val="21"/>
          <w:szCs w:val="21"/>
        </w:rPr>
        <w:t>)</w:t>
      </w:r>
      <w:r w:rsidR="00404342">
        <w:rPr>
          <w:rFonts w:ascii="Arial" w:hAnsi="Arial" w:cs="Arial"/>
          <w:b w:val="0"/>
          <w:color w:val="000000"/>
          <w:kern w:val="28"/>
          <w:sz w:val="21"/>
          <w:szCs w:val="21"/>
        </w:rPr>
        <w:t xml:space="preserve"> ri</w:t>
      </w:r>
      <w:r w:rsidR="00707DF7">
        <w:rPr>
          <w:rFonts w:ascii="Arial" w:hAnsi="Arial" w:cs="Arial"/>
          <w:b w:val="0"/>
          <w:color w:val="000000"/>
          <w:kern w:val="28"/>
          <w:sz w:val="21"/>
          <w:szCs w:val="21"/>
        </w:rPr>
        <w:t xml:space="preserve">guarda tutti i </w:t>
      </w:r>
      <w:r w:rsidR="00C87C03">
        <w:rPr>
          <w:rFonts w:ascii="Arial" w:hAnsi="Arial" w:cs="Arial"/>
          <w:b w:val="0"/>
          <w:color w:val="000000"/>
          <w:kern w:val="28"/>
          <w:sz w:val="21"/>
          <w:szCs w:val="21"/>
        </w:rPr>
        <w:t>raggrup</w:t>
      </w:r>
      <w:r w:rsidR="00707DF7">
        <w:rPr>
          <w:rFonts w:ascii="Arial" w:hAnsi="Arial" w:cs="Arial"/>
          <w:b w:val="0"/>
          <w:color w:val="000000"/>
          <w:kern w:val="28"/>
          <w:sz w:val="21"/>
          <w:szCs w:val="21"/>
        </w:rPr>
        <w:t>pamenti principali di industrie</w:t>
      </w:r>
      <w:r w:rsidR="00054F6F">
        <w:rPr>
          <w:rFonts w:ascii="Arial" w:hAnsi="Arial" w:cs="Arial"/>
          <w:b w:val="0"/>
          <w:color w:val="000000"/>
          <w:kern w:val="28"/>
          <w:sz w:val="21"/>
          <w:szCs w:val="21"/>
        </w:rPr>
        <w:t xml:space="preserve"> </w:t>
      </w:r>
      <w:r w:rsidR="00707DF7">
        <w:rPr>
          <w:rFonts w:ascii="Arial" w:hAnsi="Arial" w:cs="Arial"/>
          <w:b w:val="0"/>
          <w:color w:val="000000"/>
          <w:kern w:val="28"/>
          <w:sz w:val="21"/>
          <w:szCs w:val="21"/>
        </w:rPr>
        <w:t>ed è dovut</w:t>
      </w:r>
      <w:r w:rsidR="00731071">
        <w:rPr>
          <w:rFonts w:ascii="Arial" w:hAnsi="Arial" w:cs="Arial"/>
          <w:b w:val="0"/>
          <w:color w:val="000000"/>
          <w:kern w:val="28"/>
          <w:sz w:val="21"/>
          <w:szCs w:val="21"/>
        </w:rPr>
        <w:t>o</w:t>
      </w:r>
      <w:r w:rsidR="00707DF7">
        <w:rPr>
          <w:rFonts w:ascii="Arial" w:hAnsi="Arial" w:cs="Arial"/>
          <w:b w:val="0"/>
          <w:color w:val="000000"/>
          <w:kern w:val="28"/>
          <w:sz w:val="21"/>
          <w:szCs w:val="21"/>
        </w:rPr>
        <w:t xml:space="preserve"> in particolare </w:t>
      </w:r>
      <w:r w:rsidR="00054F6F">
        <w:rPr>
          <w:rFonts w:ascii="Arial" w:hAnsi="Arial" w:cs="Arial"/>
          <w:b w:val="0"/>
          <w:color w:val="000000"/>
          <w:kern w:val="28"/>
          <w:sz w:val="21"/>
          <w:szCs w:val="21"/>
        </w:rPr>
        <w:t>all</w:t>
      </w:r>
      <w:r w:rsidR="00BA4BC5">
        <w:rPr>
          <w:rFonts w:ascii="Arial" w:hAnsi="Arial" w:cs="Arial"/>
          <w:b w:val="0"/>
          <w:color w:val="000000"/>
          <w:kern w:val="28"/>
          <w:sz w:val="21"/>
          <w:szCs w:val="21"/>
        </w:rPr>
        <w:t>e</w:t>
      </w:r>
      <w:r w:rsidR="00F54D53">
        <w:rPr>
          <w:rFonts w:ascii="Arial" w:hAnsi="Arial" w:cs="Arial"/>
          <w:b w:val="0"/>
          <w:color w:val="000000"/>
          <w:kern w:val="28"/>
          <w:sz w:val="21"/>
          <w:szCs w:val="21"/>
        </w:rPr>
        <w:t xml:space="preserve"> maggiori </w:t>
      </w:r>
      <w:r w:rsidR="00707DF7">
        <w:rPr>
          <w:rFonts w:ascii="Arial" w:hAnsi="Arial" w:cs="Arial"/>
          <w:b w:val="0"/>
          <w:color w:val="000000"/>
          <w:kern w:val="28"/>
          <w:sz w:val="21"/>
          <w:szCs w:val="21"/>
        </w:rPr>
        <w:t xml:space="preserve">vendite beni di consumo non </w:t>
      </w:r>
      <w:r w:rsidR="00054F6F">
        <w:rPr>
          <w:rFonts w:ascii="Arial" w:hAnsi="Arial" w:cs="Arial"/>
          <w:b w:val="0"/>
          <w:color w:val="000000"/>
          <w:kern w:val="28"/>
          <w:sz w:val="21"/>
          <w:szCs w:val="21"/>
        </w:rPr>
        <w:t>durevoli (</w:t>
      </w:r>
      <w:r w:rsidR="00F54D53">
        <w:rPr>
          <w:rFonts w:ascii="Arial" w:hAnsi="Arial" w:cs="Arial"/>
          <w:b w:val="0"/>
          <w:color w:val="000000"/>
          <w:kern w:val="28"/>
          <w:sz w:val="21"/>
          <w:szCs w:val="21"/>
        </w:rPr>
        <w:t>+</w:t>
      </w:r>
      <w:r w:rsidR="00054F6F">
        <w:rPr>
          <w:rFonts w:ascii="Arial" w:hAnsi="Arial" w:cs="Arial"/>
          <w:b w:val="0"/>
          <w:color w:val="000000"/>
          <w:kern w:val="28"/>
          <w:sz w:val="21"/>
          <w:szCs w:val="21"/>
        </w:rPr>
        <w:t>5,1</w:t>
      </w:r>
      <w:r w:rsidR="00707DF7">
        <w:rPr>
          <w:rFonts w:ascii="Arial" w:hAnsi="Arial" w:cs="Arial"/>
          <w:b w:val="0"/>
          <w:color w:val="000000"/>
          <w:kern w:val="28"/>
          <w:sz w:val="21"/>
          <w:szCs w:val="21"/>
        </w:rPr>
        <w:t>%)</w:t>
      </w:r>
      <w:r w:rsidR="00F54D53">
        <w:rPr>
          <w:rFonts w:ascii="Arial" w:hAnsi="Arial" w:cs="Arial"/>
          <w:b w:val="0"/>
          <w:color w:val="000000"/>
          <w:kern w:val="28"/>
          <w:sz w:val="21"/>
          <w:szCs w:val="21"/>
        </w:rPr>
        <w:t xml:space="preserve"> e beni strumentali (+3,6%)</w:t>
      </w:r>
      <w:r w:rsidR="00B124B4">
        <w:rPr>
          <w:rFonts w:ascii="Arial" w:hAnsi="Arial" w:cs="Arial"/>
          <w:b w:val="0"/>
          <w:color w:val="000000"/>
          <w:kern w:val="28"/>
          <w:sz w:val="21"/>
          <w:szCs w:val="21"/>
        </w:rPr>
        <w:t>.</w:t>
      </w:r>
    </w:p>
    <w:p w14:paraId="13B64000" w14:textId="575BE642" w:rsidR="002F4710" w:rsidRDefault="00BA4BC5" w:rsidP="002900F6">
      <w:pPr>
        <w:pStyle w:val="Corpodeltesto1"/>
        <w:rPr>
          <w:rFonts w:ascii="Arial" w:hAnsi="Arial" w:cs="Arial"/>
          <w:b w:val="0"/>
          <w:color w:val="000000"/>
          <w:kern w:val="28"/>
          <w:sz w:val="21"/>
          <w:szCs w:val="21"/>
        </w:rPr>
      </w:pPr>
      <w:r>
        <w:rPr>
          <w:rFonts w:ascii="Arial" w:hAnsi="Arial" w:cs="Arial"/>
          <w:b w:val="0"/>
          <w:color w:val="000000"/>
          <w:kern w:val="28"/>
          <w:sz w:val="21"/>
          <w:szCs w:val="21"/>
        </w:rPr>
        <w:t>Tranne che per energia (</w:t>
      </w:r>
      <w:r w:rsidR="000B50E7">
        <w:rPr>
          <w:rFonts w:ascii="Arial" w:hAnsi="Arial" w:cs="Arial"/>
          <w:b w:val="0"/>
          <w:color w:val="000000"/>
          <w:kern w:val="28"/>
          <w:sz w:val="21"/>
          <w:szCs w:val="21"/>
        </w:rPr>
        <w:t>-1,1%</w:t>
      </w:r>
      <w:r>
        <w:rPr>
          <w:rFonts w:ascii="Arial" w:hAnsi="Arial" w:cs="Arial"/>
          <w:b w:val="0"/>
          <w:color w:val="000000"/>
          <w:kern w:val="28"/>
          <w:sz w:val="21"/>
          <w:szCs w:val="21"/>
        </w:rPr>
        <w:t xml:space="preserve">), </w:t>
      </w:r>
      <w:r w:rsidR="00F54D53">
        <w:rPr>
          <w:rFonts w:ascii="Arial" w:hAnsi="Arial" w:cs="Arial"/>
          <w:b w:val="0"/>
          <w:color w:val="000000"/>
          <w:kern w:val="28"/>
          <w:sz w:val="21"/>
          <w:szCs w:val="21"/>
        </w:rPr>
        <w:t xml:space="preserve">anche </w:t>
      </w:r>
      <w:r w:rsidR="000B50E7">
        <w:rPr>
          <w:rFonts w:ascii="Arial" w:hAnsi="Arial" w:cs="Arial"/>
          <w:b w:val="0"/>
          <w:color w:val="000000"/>
          <w:kern w:val="28"/>
          <w:sz w:val="21"/>
          <w:szCs w:val="21"/>
        </w:rPr>
        <w:t>l’aumento</w:t>
      </w:r>
      <w:r w:rsidR="00054F6F">
        <w:rPr>
          <w:rFonts w:ascii="Arial" w:hAnsi="Arial" w:cs="Arial"/>
          <w:b w:val="0"/>
          <w:color w:val="000000"/>
          <w:kern w:val="28"/>
          <w:sz w:val="21"/>
          <w:szCs w:val="21"/>
        </w:rPr>
        <w:t xml:space="preserve"> </w:t>
      </w:r>
      <w:r w:rsidR="00707DF7">
        <w:rPr>
          <w:rFonts w:ascii="Arial" w:hAnsi="Arial" w:cs="Arial"/>
          <w:b w:val="0"/>
          <w:color w:val="000000"/>
          <w:kern w:val="28"/>
          <w:sz w:val="21"/>
          <w:szCs w:val="21"/>
        </w:rPr>
        <w:t>c</w:t>
      </w:r>
      <w:r w:rsidR="002E5B5E">
        <w:rPr>
          <w:rFonts w:ascii="Arial" w:hAnsi="Arial" w:cs="Arial"/>
          <w:b w:val="0"/>
          <w:color w:val="000000"/>
          <w:kern w:val="28"/>
          <w:sz w:val="21"/>
          <w:szCs w:val="21"/>
        </w:rPr>
        <w:t>ongiunturale</w:t>
      </w:r>
      <w:r w:rsidR="005C1602">
        <w:rPr>
          <w:rFonts w:ascii="Arial" w:hAnsi="Arial" w:cs="Arial"/>
          <w:b w:val="0"/>
          <w:color w:val="000000"/>
          <w:kern w:val="28"/>
          <w:sz w:val="21"/>
          <w:szCs w:val="21"/>
        </w:rPr>
        <w:t xml:space="preserve"> dell’import</w:t>
      </w:r>
      <w:r w:rsidR="00E4062E">
        <w:rPr>
          <w:rFonts w:ascii="Arial" w:hAnsi="Arial" w:cs="Arial"/>
          <w:b w:val="0"/>
          <w:color w:val="000000"/>
          <w:kern w:val="28"/>
          <w:sz w:val="21"/>
          <w:szCs w:val="21"/>
        </w:rPr>
        <w:t xml:space="preserve"> </w:t>
      </w:r>
      <w:r w:rsidR="005C1602">
        <w:rPr>
          <w:rFonts w:ascii="Arial" w:hAnsi="Arial" w:cs="Arial"/>
          <w:b w:val="0"/>
          <w:color w:val="000000"/>
          <w:kern w:val="28"/>
          <w:sz w:val="21"/>
          <w:szCs w:val="21"/>
        </w:rPr>
        <w:t>(</w:t>
      </w:r>
      <w:r w:rsidR="000B50E7">
        <w:rPr>
          <w:rFonts w:ascii="Arial" w:hAnsi="Arial" w:cs="Arial"/>
          <w:b w:val="0"/>
          <w:color w:val="000000"/>
          <w:kern w:val="28"/>
          <w:sz w:val="21"/>
          <w:szCs w:val="21"/>
        </w:rPr>
        <w:t>+2,8%</w:t>
      </w:r>
      <w:r w:rsidR="0011155E">
        <w:rPr>
          <w:rFonts w:ascii="Arial" w:hAnsi="Arial" w:cs="Arial"/>
          <w:b w:val="0"/>
          <w:color w:val="000000"/>
          <w:kern w:val="28"/>
          <w:sz w:val="21"/>
          <w:szCs w:val="21"/>
        </w:rPr>
        <w:t>)</w:t>
      </w:r>
      <w:r w:rsidR="00316EB9">
        <w:rPr>
          <w:rFonts w:ascii="Arial" w:hAnsi="Arial" w:cs="Arial"/>
          <w:b w:val="0"/>
          <w:color w:val="000000"/>
          <w:kern w:val="28"/>
          <w:sz w:val="21"/>
          <w:szCs w:val="21"/>
        </w:rPr>
        <w:t xml:space="preserve"> </w:t>
      </w:r>
      <w:r w:rsidR="00707DF7">
        <w:rPr>
          <w:rFonts w:ascii="Arial" w:hAnsi="Arial" w:cs="Arial"/>
          <w:b w:val="0"/>
          <w:color w:val="000000"/>
          <w:kern w:val="28"/>
          <w:sz w:val="21"/>
          <w:szCs w:val="21"/>
        </w:rPr>
        <w:t xml:space="preserve">è </w:t>
      </w:r>
      <w:r w:rsidR="00054F6F">
        <w:rPr>
          <w:rFonts w:ascii="Arial" w:hAnsi="Arial" w:cs="Arial"/>
          <w:b w:val="0"/>
          <w:color w:val="000000"/>
          <w:kern w:val="28"/>
          <w:sz w:val="21"/>
          <w:szCs w:val="21"/>
        </w:rPr>
        <w:t>estes</w:t>
      </w:r>
      <w:r w:rsidR="000B50E7">
        <w:rPr>
          <w:rFonts w:ascii="Arial" w:hAnsi="Arial" w:cs="Arial"/>
          <w:b w:val="0"/>
          <w:color w:val="000000"/>
          <w:kern w:val="28"/>
          <w:sz w:val="21"/>
          <w:szCs w:val="21"/>
        </w:rPr>
        <w:t>o</w:t>
      </w:r>
      <w:r w:rsidR="00054F6F">
        <w:rPr>
          <w:rFonts w:ascii="Arial" w:hAnsi="Arial" w:cs="Arial"/>
          <w:b w:val="0"/>
          <w:color w:val="000000"/>
          <w:kern w:val="28"/>
          <w:sz w:val="21"/>
          <w:szCs w:val="21"/>
        </w:rPr>
        <w:t xml:space="preserve"> a</w:t>
      </w:r>
      <w:r w:rsidR="00707DF7">
        <w:rPr>
          <w:rFonts w:ascii="Arial" w:hAnsi="Arial" w:cs="Arial"/>
          <w:b w:val="0"/>
          <w:color w:val="000000"/>
          <w:kern w:val="28"/>
          <w:sz w:val="21"/>
          <w:szCs w:val="21"/>
        </w:rPr>
        <w:t xml:space="preserve"> tutt</w:t>
      </w:r>
      <w:r w:rsidR="00A9005B">
        <w:rPr>
          <w:rFonts w:ascii="Arial" w:hAnsi="Arial" w:cs="Arial"/>
          <w:b w:val="0"/>
          <w:color w:val="000000"/>
          <w:kern w:val="28"/>
          <w:sz w:val="21"/>
          <w:szCs w:val="21"/>
        </w:rPr>
        <w:t>i i raggruppamenti</w:t>
      </w:r>
      <w:r w:rsidR="00F54D53">
        <w:rPr>
          <w:rFonts w:ascii="Arial" w:hAnsi="Arial" w:cs="Arial"/>
          <w:b w:val="0"/>
          <w:color w:val="000000"/>
          <w:kern w:val="28"/>
          <w:sz w:val="21"/>
          <w:szCs w:val="21"/>
        </w:rPr>
        <w:t xml:space="preserve"> ed è spiegato soprattutto dai maggiori acquisti di beni di consumo non durevoli (+4,8%) e beni strumentali (+4,1%).</w:t>
      </w:r>
    </w:p>
    <w:p w14:paraId="51C1F619" w14:textId="655C03FC" w:rsidR="00913182" w:rsidRDefault="00913182" w:rsidP="006073FC">
      <w:pPr>
        <w:pStyle w:val="Corpodeltesto1"/>
        <w:rPr>
          <w:rFonts w:ascii="Arial" w:hAnsi="Arial" w:cs="Arial"/>
          <w:b w:val="0"/>
          <w:color w:val="000000"/>
          <w:kern w:val="28"/>
          <w:sz w:val="21"/>
          <w:szCs w:val="21"/>
        </w:rPr>
      </w:pPr>
    </w:p>
    <w:p w14:paraId="1611B716" w14:textId="77777777" w:rsidR="00DB7A62" w:rsidRDefault="00DB7A62" w:rsidP="006073FC">
      <w:pPr>
        <w:pStyle w:val="Corpodeltesto1"/>
        <w:rPr>
          <w:rFonts w:ascii="Arial" w:hAnsi="Arial" w:cs="Arial"/>
          <w:b w:val="0"/>
          <w:color w:val="000000"/>
          <w:kern w:val="28"/>
          <w:sz w:val="21"/>
          <w:szCs w:val="21"/>
        </w:rPr>
      </w:pPr>
    </w:p>
    <w:p w14:paraId="190AFC78" w14:textId="6BF7C368" w:rsidR="001F47E8" w:rsidRDefault="001F47E8" w:rsidP="006073FC">
      <w:pPr>
        <w:pStyle w:val="Corpodeltesto1"/>
        <w:rPr>
          <w:rFonts w:ascii="Arial" w:hAnsi="Arial" w:cs="Arial"/>
          <w:b w:val="0"/>
          <w:color w:val="000000"/>
          <w:kern w:val="28"/>
          <w:sz w:val="21"/>
          <w:szCs w:val="21"/>
        </w:rPr>
      </w:pPr>
    </w:p>
    <w:p w14:paraId="1B106F62" w14:textId="75E1C16D" w:rsidR="00B64F0D" w:rsidRDefault="00B64F0D" w:rsidP="006073FC">
      <w:pPr>
        <w:pStyle w:val="Corpodeltesto1"/>
        <w:rPr>
          <w:rFonts w:ascii="Arial" w:hAnsi="Arial" w:cs="Arial"/>
          <w:b w:val="0"/>
          <w:color w:val="000000"/>
          <w:kern w:val="28"/>
          <w:sz w:val="21"/>
          <w:szCs w:val="21"/>
        </w:rPr>
      </w:pPr>
    </w:p>
    <w:p w14:paraId="70C66563" w14:textId="77777777" w:rsidR="003967AC" w:rsidRDefault="003967AC" w:rsidP="006073FC">
      <w:pPr>
        <w:pStyle w:val="Corpodeltesto1"/>
        <w:rPr>
          <w:rFonts w:ascii="Arial" w:hAnsi="Arial" w:cs="Arial"/>
          <w:b w:val="0"/>
          <w:color w:val="000000"/>
          <w:kern w:val="28"/>
          <w:sz w:val="21"/>
          <w:szCs w:val="21"/>
        </w:rPr>
      </w:pPr>
    </w:p>
    <w:p w14:paraId="558443D6" w14:textId="77777777" w:rsidR="007F58F4" w:rsidRDefault="007F58F4" w:rsidP="006073FC">
      <w:pPr>
        <w:pStyle w:val="Corpodeltesto1"/>
        <w:rPr>
          <w:rFonts w:ascii="Arial" w:hAnsi="Arial" w:cs="Arial"/>
          <w:b w:val="0"/>
          <w:color w:val="000000"/>
          <w:kern w:val="28"/>
          <w:sz w:val="21"/>
          <w:szCs w:val="21"/>
        </w:rPr>
      </w:pPr>
    </w:p>
    <w:p w14:paraId="4E2B4414" w14:textId="77777777" w:rsidR="00116AB6" w:rsidRDefault="00116AB6" w:rsidP="006073FC">
      <w:pPr>
        <w:pStyle w:val="Corpodeltesto1"/>
        <w:rPr>
          <w:rFonts w:ascii="Arial" w:hAnsi="Arial" w:cs="Arial"/>
          <w:b w:val="0"/>
          <w:color w:val="000000"/>
          <w:kern w:val="28"/>
          <w:sz w:val="21"/>
          <w:szCs w:val="21"/>
        </w:rPr>
      </w:pPr>
    </w:p>
    <w:p w14:paraId="6CDF9D36" w14:textId="6F26F6DC" w:rsidR="002865B7" w:rsidRDefault="002865B7" w:rsidP="006073FC">
      <w:pPr>
        <w:pStyle w:val="Corpodeltesto1"/>
        <w:rPr>
          <w:rFonts w:ascii="Arial" w:hAnsi="Arial" w:cs="Arial"/>
          <w:b w:val="0"/>
          <w:color w:val="000000"/>
          <w:kern w:val="28"/>
          <w:sz w:val="21"/>
          <w:szCs w:val="21"/>
        </w:rPr>
      </w:pPr>
    </w:p>
    <w:p w14:paraId="47CF34A4" w14:textId="77777777" w:rsidR="003B21E2" w:rsidRDefault="003B21E2" w:rsidP="006073FC">
      <w:pPr>
        <w:pStyle w:val="Corpodeltesto1"/>
        <w:rPr>
          <w:rFonts w:ascii="Arial" w:hAnsi="Arial" w:cs="Arial"/>
          <w:b w:val="0"/>
          <w:color w:val="000000"/>
          <w:kern w:val="28"/>
          <w:sz w:val="21"/>
          <w:szCs w:val="21"/>
        </w:rPr>
      </w:pPr>
    </w:p>
    <w:p w14:paraId="73235097" w14:textId="77777777" w:rsidR="006D02F3" w:rsidRDefault="00831F78" w:rsidP="00636140">
      <w:pPr>
        <w:pStyle w:val="Corpodeltesto1"/>
        <w:jc w:val="left"/>
        <w:rPr>
          <w:rFonts w:ascii="Arial Narrow" w:hAnsi="Arial Narrow" w:cs="Arial"/>
          <w:bCs/>
          <w:color w:val="5F5F5F"/>
          <w:kern w:val="28"/>
          <w:sz w:val="22"/>
          <w:szCs w:val="22"/>
        </w:rPr>
      </w:pPr>
      <w:r w:rsidRPr="002A153A">
        <w:rPr>
          <w:rFonts w:ascii="Arial Narrow" w:hAnsi="Arial Narrow" w:cs="Arial"/>
          <w:bCs/>
          <w:color w:val="E42618"/>
          <w:kern w:val="28"/>
          <w:sz w:val="22"/>
          <w:szCs w:val="22"/>
        </w:rPr>
        <w:t xml:space="preserve">FIGURA </w:t>
      </w:r>
      <w:r w:rsidR="006D02F3">
        <w:rPr>
          <w:rFonts w:ascii="Arial Narrow" w:hAnsi="Arial Narrow" w:cs="Arial"/>
          <w:bCs/>
          <w:color w:val="E42618"/>
          <w:kern w:val="28"/>
          <w:sz w:val="22"/>
          <w:szCs w:val="22"/>
        </w:rPr>
        <w:t>6</w:t>
      </w:r>
      <w:r w:rsidRPr="00F527AD">
        <w:rPr>
          <w:rFonts w:ascii="Arial Narrow" w:hAnsi="Arial Narrow" w:cs="Arial"/>
          <w:bCs/>
          <w:color w:val="E42618"/>
          <w:kern w:val="28"/>
          <w:sz w:val="22"/>
          <w:szCs w:val="22"/>
        </w:rPr>
        <w:t>.</w:t>
      </w:r>
      <w:r w:rsidRPr="002A153A">
        <w:rPr>
          <w:rFonts w:ascii="Arial Narrow" w:hAnsi="Arial Narrow" w:cs="Arial"/>
          <w:bCs/>
          <w:color w:val="5F5F5F"/>
          <w:kern w:val="28"/>
          <w:sz w:val="22"/>
          <w:szCs w:val="22"/>
        </w:rPr>
        <w:t xml:space="preserve"> </w:t>
      </w:r>
      <w:r w:rsidR="00D40C17">
        <w:rPr>
          <w:rFonts w:ascii="Arial Narrow" w:hAnsi="Arial Narrow" w:cs="Arial"/>
          <w:bCs/>
          <w:color w:val="5F5F5F"/>
          <w:kern w:val="28"/>
          <w:sz w:val="22"/>
          <w:szCs w:val="22"/>
        </w:rPr>
        <w:t>GRADUATORIA DEI SETTORI DI ATTIVIT</w:t>
      </w:r>
      <w:r w:rsidR="00AB6CA8" w:rsidRPr="00AB6CA8">
        <w:rPr>
          <w:rFonts w:ascii="Arial Narrow" w:hAnsi="Arial Narrow" w:cs="Arial"/>
          <w:bCs/>
          <w:color w:val="5F5F5F"/>
          <w:kern w:val="28"/>
          <w:sz w:val="22"/>
          <w:szCs w:val="22"/>
        </w:rPr>
        <w:t>À</w:t>
      </w:r>
      <w:r w:rsidR="00D40C17">
        <w:rPr>
          <w:rFonts w:ascii="Arial Narrow" w:hAnsi="Arial Narrow" w:cs="Arial"/>
          <w:bCs/>
          <w:color w:val="5F5F5F"/>
          <w:kern w:val="28"/>
          <w:sz w:val="22"/>
          <w:szCs w:val="22"/>
        </w:rPr>
        <w:t xml:space="preserve"> ECONOMICA</w:t>
      </w:r>
      <w:r w:rsidR="00D40C17" w:rsidRPr="00516EEC">
        <w:rPr>
          <w:rFonts w:ascii="Arial Narrow" w:hAnsi="Arial Narrow" w:cs="Arial"/>
          <w:bCs/>
          <w:color w:val="5F5F5F"/>
          <w:kern w:val="28"/>
          <w:sz w:val="22"/>
          <w:szCs w:val="22"/>
        </w:rPr>
        <w:t xml:space="preserve"> </w:t>
      </w:r>
      <w:r w:rsidR="00D40C17">
        <w:rPr>
          <w:rFonts w:ascii="Arial Narrow" w:hAnsi="Arial Narrow" w:cs="Arial"/>
          <w:bCs/>
          <w:color w:val="5F5F5F"/>
          <w:kern w:val="28"/>
          <w:sz w:val="22"/>
          <w:szCs w:val="22"/>
        </w:rPr>
        <w:t>SECONDO I</w:t>
      </w:r>
      <w:r w:rsidR="00D40C17" w:rsidRPr="00516EEC">
        <w:rPr>
          <w:rFonts w:ascii="Arial Narrow" w:hAnsi="Arial Narrow" w:cs="Arial"/>
          <w:bCs/>
          <w:color w:val="5F5F5F"/>
          <w:kern w:val="28"/>
          <w:sz w:val="22"/>
          <w:szCs w:val="22"/>
        </w:rPr>
        <w:t xml:space="preserve"> CONTRIBUT</w:t>
      </w:r>
      <w:r w:rsidR="00D40C17">
        <w:rPr>
          <w:rFonts w:ascii="Arial Narrow" w:hAnsi="Arial Narrow" w:cs="Arial"/>
          <w:bCs/>
          <w:color w:val="5F5F5F"/>
          <w:kern w:val="28"/>
          <w:sz w:val="22"/>
          <w:szCs w:val="22"/>
        </w:rPr>
        <w:t>I ALL’EXPORT</w:t>
      </w:r>
    </w:p>
    <w:p w14:paraId="2CD7A8F8" w14:textId="3AD80254" w:rsidR="00282F5A" w:rsidRDefault="00E52CA6" w:rsidP="00282F5A">
      <w:pPr>
        <w:pStyle w:val="Corpodeltesto1"/>
        <w:spacing w:after="120"/>
        <w:jc w:val="left"/>
        <w:rPr>
          <w:rFonts w:ascii="Arial Narrow" w:hAnsi="Arial Narrow" w:cs="Arial"/>
          <w:b w:val="0"/>
          <w:bCs/>
          <w:color w:val="5F5F5F"/>
          <w:kern w:val="28"/>
          <w:sz w:val="20"/>
          <w:szCs w:val="22"/>
        </w:rPr>
      </w:pPr>
      <w:r w:rsidRPr="00E52CA6">
        <w:rPr>
          <w:rFonts w:ascii="Arial Narrow" w:hAnsi="Arial Narrow" w:cs="Arial"/>
          <w:b w:val="0"/>
          <w:color w:val="5F5F5F"/>
          <w:kern w:val="28"/>
          <w:sz w:val="20"/>
          <w:szCs w:val="20"/>
        </w:rPr>
        <w:t xml:space="preserve">Ottobre </w:t>
      </w:r>
      <w:r w:rsidR="00470B67">
        <w:rPr>
          <w:rFonts w:ascii="Arial Narrow" w:hAnsi="Arial Narrow" w:cs="Arial"/>
          <w:b w:val="0"/>
          <w:color w:val="5F5F5F"/>
          <w:kern w:val="28"/>
          <w:sz w:val="20"/>
          <w:szCs w:val="20"/>
        </w:rPr>
        <w:t>202</w:t>
      </w:r>
      <w:r w:rsidR="00030313">
        <w:rPr>
          <w:rFonts w:ascii="Arial Narrow" w:hAnsi="Arial Narrow" w:cs="Arial"/>
          <w:b w:val="0"/>
          <w:color w:val="5F5F5F"/>
          <w:kern w:val="28"/>
          <w:sz w:val="20"/>
          <w:szCs w:val="20"/>
        </w:rPr>
        <w:t>3</w:t>
      </w:r>
      <w:r w:rsidR="005C343A" w:rsidRPr="005C343A">
        <w:rPr>
          <w:rFonts w:ascii="Arial Narrow" w:hAnsi="Arial Narrow" w:cs="Arial"/>
          <w:b w:val="0"/>
          <w:color w:val="5F5F5F"/>
          <w:kern w:val="28"/>
          <w:sz w:val="20"/>
          <w:szCs w:val="20"/>
        </w:rPr>
        <w:t>, contributi alla variazione in punti percentuali e vari</w:t>
      </w:r>
      <w:r w:rsidR="00041D56">
        <w:rPr>
          <w:rFonts w:ascii="Arial Narrow" w:hAnsi="Arial Narrow" w:cs="Arial"/>
          <w:b w:val="0"/>
          <w:color w:val="5F5F5F"/>
          <w:kern w:val="28"/>
          <w:sz w:val="20"/>
          <w:szCs w:val="20"/>
        </w:rPr>
        <w:t>azioni</w:t>
      </w:r>
      <w:r w:rsidR="005C343A" w:rsidRPr="005C343A">
        <w:rPr>
          <w:rFonts w:ascii="Arial Narrow" w:hAnsi="Arial Narrow" w:cs="Arial"/>
          <w:b w:val="0"/>
          <w:color w:val="5F5F5F"/>
          <w:kern w:val="28"/>
          <w:sz w:val="20"/>
          <w:szCs w:val="20"/>
        </w:rPr>
        <w:t xml:space="preserve"> percentuali tendenziali</w:t>
      </w:r>
      <w:r w:rsidR="00282F5A">
        <w:rPr>
          <w:rFonts w:ascii="Arial Narrow" w:hAnsi="Arial Narrow" w:cs="Arial"/>
          <w:b w:val="0"/>
          <w:color w:val="5F5F5F"/>
          <w:kern w:val="28"/>
          <w:sz w:val="20"/>
          <w:szCs w:val="20"/>
        </w:rPr>
        <w:t xml:space="preserve"> </w:t>
      </w:r>
      <w:r w:rsidR="00282F5A" w:rsidRPr="00E35121">
        <w:rPr>
          <w:rFonts w:ascii="Arial Narrow" w:hAnsi="Arial Narrow" w:cs="Arial"/>
          <w:b w:val="0"/>
          <w:bCs/>
          <w:color w:val="5F5F5F"/>
          <w:kern w:val="28"/>
          <w:sz w:val="20"/>
          <w:szCs w:val="22"/>
        </w:rPr>
        <w:t>(a)</w:t>
      </w:r>
    </w:p>
    <w:p w14:paraId="4667A2F2" w14:textId="2B922BB2" w:rsidR="006567F3" w:rsidRDefault="009840DA" w:rsidP="00282F5A">
      <w:pPr>
        <w:pStyle w:val="Corpodeltesto1"/>
        <w:spacing w:after="120"/>
        <w:jc w:val="left"/>
        <w:rPr>
          <w:noProof/>
        </w:rPr>
      </w:pPr>
      <w:r>
        <w:rPr>
          <w:noProof/>
        </w:rPr>
        <w:drawing>
          <wp:inline distT="0" distB="0" distL="0" distR="0" wp14:anchorId="21A312EC" wp14:editId="0FCE47CF">
            <wp:extent cx="6660000" cy="2160000"/>
            <wp:effectExtent l="0" t="0" r="7620" b="0"/>
            <wp:docPr id="30" name="Gra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865D855" w14:textId="77777777" w:rsidR="0025622B" w:rsidRDefault="0025622B" w:rsidP="006D02F3">
      <w:pPr>
        <w:pStyle w:val="Corpodeltesto1"/>
        <w:jc w:val="left"/>
        <w:rPr>
          <w:rFonts w:ascii="Arial Narrow" w:hAnsi="Arial Narrow" w:cs="Arial"/>
          <w:bCs/>
          <w:color w:val="E42618"/>
          <w:kern w:val="28"/>
          <w:sz w:val="22"/>
          <w:szCs w:val="22"/>
        </w:rPr>
      </w:pPr>
    </w:p>
    <w:p w14:paraId="6628FCE2" w14:textId="77777777" w:rsidR="006D02F3" w:rsidRDefault="006D02F3" w:rsidP="006D02F3">
      <w:pPr>
        <w:pStyle w:val="Corpodeltesto1"/>
        <w:jc w:val="left"/>
        <w:rPr>
          <w:rFonts w:ascii="Arial Narrow" w:hAnsi="Arial Narrow" w:cs="Arial"/>
          <w:bCs/>
          <w:color w:val="5F5F5F"/>
          <w:kern w:val="28"/>
          <w:sz w:val="22"/>
          <w:szCs w:val="22"/>
        </w:rPr>
      </w:pPr>
      <w:r w:rsidRPr="002A153A">
        <w:rPr>
          <w:rFonts w:ascii="Arial Narrow" w:hAnsi="Arial Narrow" w:cs="Arial"/>
          <w:bCs/>
          <w:color w:val="E42618"/>
          <w:kern w:val="28"/>
          <w:sz w:val="22"/>
          <w:szCs w:val="22"/>
        </w:rPr>
        <w:t xml:space="preserve">FIGURA </w:t>
      </w:r>
      <w:r>
        <w:rPr>
          <w:rFonts w:ascii="Arial Narrow" w:hAnsi="Arial Narrow" w:cs="Arial"/>
          <w:bCs/>
          <w:color w:val="E42618"/>
          <w:kern w:val="28"/>
          <w:sz w:val="22"/>
          <w:szCs w:val="22"/>
        </w:rPr>
        <w:t>7</w:t>
      </w:r>
      <w:r w:rsidRPr="00F527AD">
        <w:rPr>
          <w:rFonts w:ascii="Arial Narrow" w:hAnsi="Arial Narrow" w:cs="Arial"/>
          <w:bCs/>
          <w:color w:val="E42618"/>
          <w:kern w:val="28"/>
          <w:sz w:val="22"/>
          <w:szCs w:val="22"/>
        </w:rPr>
        <w:t>.</w:t>
      </w:r>
      <w:r w:rsidRPr="002A153A">
        <w:rPr>
          <w:rFonts w:ascii="Arial Narrow" w:hAnsi="Arial Narrow" w:cs="Arial"/>
          <w:bCs/>
          <w:color w:val="5F5F5F"/>
          <w:kern w:val="28"/>
          <w:sz w:val="22"/>
          <w:szCs w:val="22"/>
        </w:rPr>
        <w:t xml:space="preserve"> </w:t>
      </w:r>
      <w:r w:rsidR="00D40C17">
        <w:rPr>
          <w:rFonts w:ascii="Arial Narrow" w:hAnsi="Arial Narrow" w:cs="Arial"/>
          <w:bCs/>
          <w:color w:val="5F5F5F"/>
          <w:kern w:val="28"/>
          <w:sz w:val="22"/>
          <w:szCs w:val="22"/>
        </w:rPr>
        <w:t>GRADUATORIA DEI SETTORI DI ATTIVIT</w:t>
      </w:r>
      <w:r w:rsidR="00C25C1A" w:rsidRPr="00AB6CA8">
        <w:rPr>
          <w:rFonts w:ascii="Arial Narrow" w:hAnsi="Arial Narrow" w:cs="Arial"/>
          <w:bCs/>
          <w:color w:val="5F5F5F"/>
          <w:kern w:val="28"/>
          <w:sz w:val="22"/>
          <w:szCs w:val="22"/>
        </w:rPr>
        <w:t>À</w:t>
      </w:r>
      <w:r w:rsidR="00D40C17">
        <w:rPr>
          <w:rFonts w:ascii="Arial Narrow" w:hAnsi="Arial Narrow" w:cs="Arial"/>
          <w:bCs/>
          <w:color w:val="5F5F5F"/>
          <w:kern w:val="28"/>
          <w:sz w:val="22"/>
          <w:szCs w:val="22"/>
        </w:rPr>
        <w:t xml:space="preserve"> ECONOMICA</w:t>
      </w:r>
      <w:r w:rsidR="00D40C17" w:rsidRPr="00516EEC">
        <w:rPr>
          <w:rFonts w:ascii="Arial Narrow" w:hAnsi="Arial Narrow" w:cs="Arial"/>
          <w:bCs/>
          <w:color w:val="5F5F5F"/>
          <w:kern w:val="28"/>
          <w:sz w:val="22"/>
          <w:szCs w:val="22"/>
        </w:rPr>
        <w:t xml:space="preserve"> </w:t>
      </w:r>
      <w:r w:rsidR="00D40C17">
        <w:rPr>
          <w:rFonts w:ascii="Arial Narrow" w:hAnsi="Arial Narrow" w:cs="Arial"/>
          <w:bCs/>
          <w:color w:val="5F5F5F"/>
          <w:kern w:val="28"/>
          <w:sz w:val="22"/>
          <w:szCs w:val="22"/>
        </w:rPr>
        <w:t>SECONDO I</w:t>
      </w:r>
      <w:r w:rsidR="00D40C17" w:rsidRPr="00516EEC">
        <w:rPr>
          <w:rFonts w:ascii="Arial Narrow" w:hAnsi="Arial Narrow" w:cs="Arial"/>
          <w:bCs/>
          <w:color w:val="5F5F5F"/>
          <w:kern w:val="28"/>
          <w:sz w:val="22"/>
          <w:szCs w:val="22"/>
        </w:rPr>
        <w:t xml:space="preserve"> CONTRIBUT</w:t>
      </w:r>
      <w:r w:rsidR="00D40C17">
        <w:rPr>
          <w:rFonts w:ascii="Arial Narrow" w:hAnsi="Arial Narrow" w:cs="Arial"/>
          <w:bCs/>
          <w:color w:val="5F5F5F"/>
          <w:kern w:val="28"/>
          <w:sz w:val="22"/>
          <w:szCs w:val="22"/>
        </w:rPr>
        <w:t>I ALL’IMPORT</w:t>
      </w:r>
    </w:p>
    <w:p w14:paraId="4D7A594B" w14:textId="37B3828E" w:rsidR="00DD774B" w:rsidRDefault="00E52CA6" w:rsidP="00DD774B">
      <w:pPr>
        <w:pStyle w:val="Corpodeltesto1"/>
        <w:spacing w:after="120"/>
        <w:jc w:val="left"/>
        <w:rPr>
          <w:rFonts w:ascii="Arial Narrow" w:hAnsi="Arial Narrow" w:cs="Arial"/>
          <w:b w:val="0"/>
          <w:bCs/>
          <w:color w:val="5F5F5F"/>
          <w:kern w:val="28"/>
          <w:sz w:val="20"/>
          <w:szCs w:val="22"/>
        </w:rPr>
      </w:pPr>
      <w:r w:rsidRPr="00E52CA6">
        <w:rPr>
          <w:rFonts w:ascii="Arial Narrow" w:hAnsi="Arial Narrow" w:cs="Arial"/>
          <w:b w:val="0"/>
          <w:color w:val="5F5F5F"/>
          <w:kern w:val="28"/>
          <w:sz w:val="20"/>
          <w:szCs w:val="20"/>
        </w:rPr>
        <w:t xml:space="preserve">Ottobre </w:t>
      </w:r>
      <w:r w:rsidR="00030313">
        <w:rPr>
          <w:rFonts w:ascii="Arial Narrow" w:hAnsi="Arial Narrow" w:cs="Arial"/>
          <w:b w:val="0"/>
          <w:color w:val="5F5F5F"/>
          <w:kern w:val="28"/>
          <w:sz w:val="20"/>
          <w:szCs w:val="20"/>
        </w:rPr>
        <w:t>2023</w:t>
      </w:r>
      <w:r w:rsidR="00041D56" w:rsidRPr="005C343A">
        <w:rPr>
          <w:rFonts w:ascii="Arial Narrow" w:hAnsi="Arial Narrow" w:cs="Arial"/>
          <w:b w:val="0"/>
          <w:color w:val="5F5F5F"/>
          <w:kern w:val="28"/>
          <w:sz w:val="20"/>
          <w:szCs w:val="20"/>
        </w:rPr>
        <w:t>, contributi alla variazione in punti perc</w:t>
      </w:r>
      <w:r w:rsidR="00592CBA" w:rsidRPr="005C343A">
        <w:rPr>
          <w:rFonts w:ascii="Arial Narrow" w:hAnsi="Arial Narrow" w:cs="Arial"/>
          <w:b w:val="0"/>
          <w:color w:val="5F5F5F"/>
          <w:kern w:val="28"/>
          <w:sz w:val="20"/>
          <w:szCs w:val="20"/>
        </w:rPr>
        <w:t>entuali e vari</w:t>
      </w:r>
      <w:r w:rsidR="00592CBA">
        <w:rPr>
          <w:rFonts w:ascii="Arial Narrow" w:hAnsi="Arial Narrow" w:cs="Arial"/>
          <w:b w:val="0"/>
          <w:color w:val="5F5F5F"/>
          <w:kern w:val="28"/>
          <w:sz w:val="20"/>
          <w:szCs w:val="20"/>
        </w:rPr>
        <w:t>azioni</w:t>
      </w:r>
      <w:r w:rsidR="00592CBA" w:rsidRPr="005C343A">
        <w:rPr>
          <w:rFonts w:ascii="Arial Narrow" w:hAnsi="Arial Narrow" w:cs="Arial"/>
          <w:b w:val="0"/>
          <w:color w:val="5F5F5F"/>
          <w:kern w:val="28"/>
          <w:sz w:val="20"/>
          <w:szCs w:val="20"/>
        </w:rPr>
        <w:t xml:space="preserve"> percentuali tendenziali</w:t>
      </w:r>
      <w:r w:rsidR="00592CBA">
        <w:rPr>
          <w:rFonts w:ascii="Arial Narrow" w:hAnsi="Arial Narrow" w:cs="Arial"/>
          <w:b w:val="0"/>
          <w:color w:val="5F5F5F"/>
          <w:kern w:val="28"/>
          <w:sz w:val="20"/>
          <w:szCs w:val="20"/>
        </w:rPr>
        <w:t xml:space="preserve"> </w:t>
      </w:r>
      <w:r w:rsidR="00DD774B">
        <w:rPr>
          <w:rFonts w:ascii="Arial Narrow" w:hAnsi="Arial Narrow" w:cs="Arial"/>
          <w:b w:val="0"/>
          <w:bCs/>
          <w:color w:val="5F5F5F"/>
          <w:kern w:val="28"/>
          <w:sz w:val="20"/>
          <w:szCs w:val="22"/>
        </w:rPr>
        <w:t>(a)</w:t>
      </w:r>
    </w:p>
    <w:p w14:paraId="27A1AC81" w14:textId="4616CF24" w:rsidR="001049FC" w:rsidRDefault="009840DA" w:rsidP="00DD774B">
      <w:pPr>
        <w:pStyle w:val="Corpodeltesto1"/>
        <w:spacing w:after="120"/>
        <w:jc w:val="left"/>
        <w:rPr>
          <w:rFonts w:ascii="Arial Narrow" w:hAnsi="Arial Narrow" w:cs="Arial"/>
          <w:b w:val="0"/>
          <w:bCs/>
          <w:color w:val="5F5F5F"/>
          <w:kern w:val="28"/>
          <w:sz w:val="20"/>
          <w:szCs w:val="22"/>
        </w:rPr>
      </w:pPr>
      <w:r>
        <w:rPr>
          <w:noProof/>
        </w:rPr>
        <w:drawing>
          <wp:inline distT="0" distB="0" distL="0" distR="0" wp14:anchorId="741561A8" wp14:editId="11DF72C3">
            <wp:extent cx="6660000" cy="2160000"/>
            <wp:effectExtent l="0" t="0" r="7620" b="0"/>
            <wp:docPr id="31" name="Gra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92FB4F0" w14:textId="77777777" w:rsidR="00282F5A" w:rsidRDefault="00282F5A" w:rsidP="00282F5A">
      <w:pPr>
        <w:spacing w:after="120"/>
        <w:jc w:val="both"/>
        <w:rPr>
          <w:rFonts w:ascii="Arial Narrow" w:hAnsi="Arial Narrow" w:cs="Calibri"/>
          <w:sz w:val="15"/>
          <w:szCs w:val="15"/>
        </w:rPr>
      </w:pPr>
      <w:r w:rsidRPr="009F2C56">
        <w:rPr>
          <w:rFonts w:ascii="Arial Narrow" w:hAnsi="Arial Narrow" w:cs="Calibri"/>
          <w:sz w:val="15"/>
          <w:szCs w:val="15"/>
        </w:rPr>
        <w:t xml:space="preserve">(a) </w:t>
      </w:r>
      <w:r w:rsidRPr="00AC09DF">
        <w:rPr>
          <w:rFonts w:ascii="Arial Narrow" w:hAnsi="Arial Narrow" w:cs="Calibri"/>
          <w:sz w:val="15"/>
          <w:szCs w:val="15"/>
        </w:rPr>
        <w:t>Limitatamente ai settori la cui quota sull’export (import) per l’anno 20</w:t>
      </w:r>
      <w:r w:rsidR="001E77DD">
        <w:rPr>
          <w:rFonts w:ascii="Arial Narrow" w:hAnsi="Arial Narrow" w:cs="Calibri"/>
          <w:sz w:val="15"/>
          <w:szCs w:val="15"/>
        </w:rPr>
        <w:t>2</w:t>
      </w:r>
      <w:r w:rsidR="00030313">
        <w:rPr>
          <w:rFonts w:ascii="Arial Narrow" w:hAnsi="Arial Narrow" w:cs="Calibri"/>
          <w:sz w:val="15"/>
          <w:szCs w:val="15"/>
        </w:rPr>
        <w:t>2</w:t>
      </w:r>
      <w:r w:rsidRPr="00AC09DF">
        <w:rPr>
          <w:rFonts w:ascii="Arial Narrow" w:hAnsi="Arial Narrow" w:cs="Calibri"/>
          <w:sz w:val="15"/>
          <w:szCs w:val="15"/>
        </w:rPr>
        <w:t xml:space="preserve"> è superiore all’1,5%.</w:t>
      </w:r>
    </w:p>
    <w:p w14:paraId="21E52226" w14:textId="509C5B73" w:rsidR="001049FC" w:rsidRPr="001049FC" w:rsidRDefault="00971A17" w:rsidP="001049FC">
      <w:pPr>
        <w:jc w:val="both"/>
        <w:rPr>
          <w:rFonts w:ascii="Arial Narrow" w:hAnsi="Arial Narrow" w:cs="Calibri"/>
          <w:sz w:val="15"/>
          <w:szCs w:val="15"/>
        </w:rPr>
      </w:pPr>
      <w:r w:rsidRPr="009F2C56">
        <w:rPr>
          <w:rFonts w:ascii="Arial Narrow" w:hAnsi="Arial Narrow" w:cs="Calibri"/>
          <w:sz w:val="15"/>
          <w:szCs w:val="15"/>
        </w:rPr>
        <w:t>Abbreviazioni</w:t>
      </w:r>
      <w:r>
        <w:rPr>
          <w:rFonts w:ascii="Arial Narrow" w:hAnsi="Arial Narrow"/>
          <w:sz w:val="15"/>
          <w:szCs w:val="15"/>
        </w:rPr>
        <w:t xml:space="preserve"> dei settori di attività economica</w:t>
      </w:r>
      <w:r w:rsidRPr="004D645B">
        <w:rPr>
          <w:rFonts w:ascii="Arial Narrow" w:hAnsi="Arial Narrow"/>
          <w:sz w:val="15"/>
          <w:szCs w:val="15"/>
        </w:rPr>
        <w:t>:</w:t>
      </w:r>
      <w:r w:rsidRPr="004D645B">
        <w:rPr>
          <w:rFonts w:ascii="Arial Narrow" w:hAnsi="Arial Narrow" w:cs="Calibri"/>
          <w:sz w:val="15"/>
          <w:szCs w:val="15"/>
        </w:rPr>
        <w:t xml:space="preserve"> </w:t>
      </w:r>
      <w:r w:rsidRPr="00456679">
        <w:rPr>
          <w:rFonts w:ascii="Arial Narrow" w:hAnsi="Arial Narrow" w:cs="Calibri"/>
          <w:sz w:val="15"/>
          <w:szCs w:val="15"/>
        </w:rPr>
        <w:t>Metalli</w:t>
      </w:r>
      <w:r w:rsidRPr="004D645B">
        <w:rPr>
          <w:rFonts w:ascii="Arial Narrow" w:hAnsi="Arial Narrow" w:cs="Calibri"/>
          <w:sz w:val="15"/>
          <w:szCs w:val="15"/>
        </w:rPr>
        <w:t>=</w:t>
      </w:r>
      <w:r w:rsidRPr="00456679">
        <w:rPr>
          <w:rFonts w:ascii="Arial Narrow" w:hAnsi="Arial Narrow" w:cs="Calibri"/>
          <w:sz w:val="15"/>
          <w:szCs w:val="15"/>
        </w:rPr>
        <w:t>Metalli di base e prodotti in metallo, esclusi macchine e impianti</w:t>
      </w:r>
      <w:r w:rsidRPr="004D645B">
        <w:rPr>
          <w:rFonts w:ascii="Arial Narrow" w:hAnsi="Arial Narrow" w:cs="Calibri"/>
          <w:sz w:val="15"/>
          <w:szCs w:val="15"/>
        </w:rPr>
        <w:t xml:space="preserve">; </w:t>
      </w:r>
      <w:r w:rsidRPr="00456679">
        <w:rPr>
          <w:rFonts w:ascii="Arial Narrow" w:hAnsi="Arial Narrow" w:cs="Calibri"/>
          <w:sz w:val="15"/>
          <w:szCs w:val="15"/>
        </w:rPr>
        <w:t>Altri m</w:t>
      </w:r>
      <w:r w:rsidR="00A61899">
        <w:rPr>
          <w:rFonts w:ascii="Arial Narrow" w:hAnsi="Arial Narrow" w:cs="Calibri"/>
          <w:sz w:val="15"/>
          <w:szCs w:val="15"/>
        </w:rPr>
        <w:t>ezzi</w:t>
      </w:r>
      <w:r w:rsidRPr="00456679">
        <w:rPr>
          <w:rFonts w:ascii="Arial Narrow" w:hAnsi="Arial Narrow" w:cs="Calibri"/>
          <w:sz w:val="15"/>
          <w:szCs w:val="15"/>
        </w:rPr>
        <w:t xml:space="preserve"> trasp</w:t>
      </w:r>
      <w:r w:rsidR="00A61899">
        <w:rPr>
          <w:rFonts w:ascii="Arial Narrow" w:hAnsi="Arial Narrow" w:cs="Calibri"/>
          <w:sz w:val="15"/>
          <w:szCs w:val="15"/>
        </w:rPr>
        <w:t>orto</w:t>
      </w:r>
      <w:r w:rsidRPr="004D645B">
        <w:rPr>
          <w:rFonts w:ascii="Arial Narrow" w:hAnsi="Arial Narrow" w:cs="Calibri"/>
          <w:sz w:val="15"/>
          <w:szCs w:val="15"/>
        </w:rPr>
        <w:t>=</w:t>
      </w:r>
      <w:r w:rsidRPr="00456679">
        <w:rPr>
          <w:rFonts w:ascii="Arial Narrow" w:hAnsi="Arial Narrow" w:cs="Calibri"/>
          <w:sz w:val="15"/>
          <w:szCs w:val="15"/>
        </w:rPr>
        <w:t>Mezzi di trasporto (escl. autoveicoli)</w:t>
      </w:r>
      <w:r w:rsidRPr="004D645B">
        <w:rPr>
          <w:rFonts w:ascii="Arial Narrow" w:hAnsi="Arial Narrow" w:cs="Calibri"/>
          <w:sz w:val="15"/>
          <w:szCs w:val="15"/>
        </w:rPr>
        <w:t xml:space="preserve">; </w:t>
      </w:r>
      <w:r w:rsidRPr="00456679">
        <w:rPr>
          <w:rFonts w:ascii="Arial Narrow" w:hAnsi="Arial Narrow" w:cs="Calibri"/>
          <w:sz w:val="15"/>
          <w:szCs w:val="15"/>
        </w:rPr>
        <w:t>Macchinari</w:t>
      </w:r>
      <w:r w:rsidRPr="004D645B">
        <w:rPr>
          <w:rFonts w:ascii="Arial Narrow" w:hAnsi="Arial Narrow" w:cs="Calibri"/>
          <w:sz w:val="15"/>
          <w:szCs w:val="15"/>
        </w:rPr>
        <w:t>=</w:t>
      </w:r>
      <w:r w:rsidR="008D0F0F">
        <w:rPr>
          <w:rFonts w:ascii="Arial Narrow" w:hAnsi="Arial Narrow" w:cs="Calibri"/>
          <w:sz w:val="15"/>
          <w:szCs w:val="15"/>
        </w:rPr>
        <w:t>Macchinari</w:t>
      </w:r>
      <w:r w:rsidRPr="00456679">
        <w:rPr>
          <w:rFonts w:ascii="Arial Narrow" w:hAnsi="Arial Narrow" w:cs="Calibri"/>
          <w:sz w:val="15"/>
          <w:szCs w:val="15"/>
        </w:rPr>
        <w:t xml:space="preserve"> e apparecchi n.c.a.</w:t>
      </w:r>
      <w:r w:rsidRPr="004D645B">
        <w:rPr>
          <w:rFonts w:ascii="Arial Narrow" w:hAnsi="Arial Narrow" w:cs="Calibri"/>
          <w:sz w:val="15"/>
          <w:szCs w:val="15"/>
        </w:rPr>
        <w:t xml:space="preserve">; </w:t>
      </w:r>
      <w:r w:rsidRPr="00456679">
        <w:rPr>
          <w:rFonts w:ascii="Arial Narrow" w:hAnsi="Arial Narrow" w:cs="Calibri"/>
          <w:sz w:val="15"/>
          <w:szCs w:val="15"/>
        </w:rPr>
        <w:t>Carta-stampa</w:t>
      </w:r>
      <w:r w:rsidRPr="004D645B">
        <w:rPr>
          <w:rFonts w:ascii="Arial Narrow" w:hAnsi="Arial Narrow" w:cs="Calibri"/>
          <w:sz w:val="15"/>
          <w:szCs w:val="15"/>
        </w:rPr>
        <w:t>=</w:t>
      </w:r>
      <w:r w:rsidRPr="00456679">
        <w:rPr>
          <w:rFonts w:ascii="Arial Narrow" w:hAnsi="Arial Narrow" w:cs="Calibri"/>
          <w:sz w:val="15"/>
          <w:szCs w:val="15"/>
        </w:rPr>
        <w:t>Carta e prodotti di carta; prodotti della stampa e della riproduzione di supporti registrati</w:t>
      </w:r>
      <w:r w:rsidRPr="004D645B">
        <w:rPr>
          <w:rFonts w:ascii="Arial Narrow" w:hAnsi="Arial Narrow" w:cs="Calibri"/>
          <w:sz w:val="15"/>
          <w:szCs w:val="15"/>
        </w:rPr>
        <w:t xml:space="preserve">; </w:t>
      </w:r>
      <w:r w:rsidRPr="00456679">
        <w:rPr>
          <w:rFonts w:ascii="Arial Narrow" w:hAnsi="Arial Narrow" w:cs="Calibri"/>
          <w:sz w:val="15"/>
          <w:szCs w:val="15"/>
        </w:rPr>
        <w:t>Chimica</w:t>
      </w:r>
      <w:r w:rsidRPr="004D645B">
        <w:rPr>
          <w:rFonts w:ascii="Arial Narrow" w:hAnsi="Arial Narrow" w:cs="Calibri"/>
          <w:sz w:val="15"/>
          <w:szCs w:val="15"/>
        </w:rPr>
        <w:t>=</w:t>
      </w:r>
      <w:r w:rsidRPr="00456679">
        <w:rPr>
          <w:rFonts w:ascii="Arial Narrow" w:hAnsi="Arial Narrow" w:cs="Calibri"/>
          <w:sz w:val="15"/>
          <w:szCs w:val="15"/>
        </w:rPr>
        <w:t>Sostanze e prodotti chimici</w:t>
      </w:r>
      <w:r w:rsidRPr="004D645B">
        <w:rPr>
          <w:rFonts w:ascii="Arial Narrow" w:hAnsi="Arial Narrow" w:cs="Calibri"/>
          <w:sz w:val="15"/>
          <w:szCs w:val="15"/>
        </w:rPr>
        <w:t xml:space="preserve">; </w:t>
      </w:r>
      <w:r w:rsidR="00A61899">
        <w:rPr>
          <w:rFonts w:ascii="Arial Narrow" w:hAnsi="Arial Narrow" w:cs="Calibri"/>
          <w:sz w:val="15"/>
          <w:szCs w:val="15"/>
        </w:rPr>
        <w:t>Minerali non metalliferi</w:t>
      </w:r>
      <w:r w:rsidRPr="004D645B">
        <w:rPr>
          <w:rFonts w:ascii="Arial Narrow" w:hAnsi="Arial Narrow" w:cs="Calibri"/>
          <w:sz w:val="15"/>
          <w:szCs w:val="15"/>
        </w:rPr>
        <w:t>=</w:t>
      </w:r>
      <w:r w:rsidRPr="00456679">
        <w:rPr>
          <w:rFonts w:ascii="Arial Narrow" w:hAnsi="Arial Narrow" w:cs="Calibri"/>
          <w:sz w:val="15"/>
          <w:szCs w:val="15"/>
        </w:rPr>
        <w:t>Altri prodotti della lavorazione di minerali non metalliferi</w:t>
      </w:r>
      <w:r w:rsidRPr="004D645B">
        <w:rPr>
          <w:rFonts w:ascii="Arial Narrow" w:hAnsi="Arial Narrow" w:cs="Calibri"/>
          <w:sz w:val="15"/>
          <w:szCs w:val="15"/>
        </w:rPr>
        <w:t xml:space="preserve">; </w:t>
      </w:r>
      <w:r w:rsidR="00A61899">
        <w:rPr>
          <w:rFonts w:ascii="Arial Narrow" w:hAnsi="Arial Narrow" w:cs="Calibri"/>
          <w:sz w:val="15"/>
          <w:szCs w:val="15"/>
        </w:rPr>
        <w:t>Altra</w:t>
      </w:r>
      <w:r w:rsidRPr="00456679">
        <w:rPr>
          <w:rFonts w:ascii="Arial Narrow" w:hAnsi="Arial Narrow" w:cs="Calibri"/>
          <w:sz w:val="15"/>
          <w:szCs w:val="15"/>
        </w:rPr>
        <w:t xml:space="preserve"> manif</w:t>
      </w:r>
      <w:r w:rsidR="00A61899">
        <w:rPr>
          <w:rFonts w:ascii="Arial Narrow" w:hAnsi="Arial Narrow" w:cs="Calibri"/>
          <w:sz w:val="15"/>
          <w:szCs w:val="15"/>
        </w:rPr>
        <w:t>attura</w:t>
      </w:r>
      <w:r w:rsidRPr="004D645B">
        <w:rPr>
          <w:rFonts w:ascii="Arial Narrow" w:hAnsi="Arial Narrow" w:cs="Calibri"/>
          <w:sz w:val="15"/>
          <w:szCs w:val="15"/>
        </w:rPr>
        <w:t>=</w:t>
      </w:r>
      <w:r w:rsidR="00A61899" w:rsidRPr="00A61899">
        <w:rPr>
          <w:rFonts w:ascii="Arial Narrow" w:hAnsi="Arial Narrow" w:cs="Calibri"/>
          <w:sz w:val="15"/>
          <w:szCs w:val="15"/>
        </w:rPr>
        <w:t>Articoli sportivi, giochi, strum. musicali, preziosi, strum. medici e altri prodotti n.c.a.</w:t>
      </w:r>
      <w:r w:rsidRPr="004D645B">
        <w:rPr>
          <w:rFonts w:ascii="Arial Narrow" w:hAnsi="Arial Narrow" w:cs="Calibri"/>
          <w:sz w:val="15"/>
          <w:szCs w:val="15"/>
        </w:rPr>
        <w:t xml:space="preserve">; </w:t>
      </w:r>
      <w:r w:rsidRPr="00456679">
        <w:rPr>
          <w:rFonts w:ascii="Arial Narrow" w:hAnsi="Arial Narrow" w:cs="Calibri"/>
          <w:sz w:val="15"/>
          <w:szCs w:val="15"/>
        </w:rPr>
        <w:t>Gomma-plastica</w:t>
      </w:r>
      <w:r w:rsidRPr="004D645B">
        <w:rPr>
          <w:rFonts w:ascii="Arial Narrow" w:hAnsi="Arial Narrow" w:cs="Calibri"/>
          <w:sz w:val="15"/>
          <w:szCs w:val="15"/>
        </w:rPr>
        <w:t>=</w:t>
      </w:r>
      <w:r w:rsidRPr="00456679">
        <w:rPr>
          <w:rFonts w:ascii="Arial Narrow" w:hAnsi="Arial Narrow" w:cs="Calibri"/>
          <w:sz w:val="15"/>
          <w:szCs w:val="15"/>
        </w:rPr>
        <w:t>Articoli in gomma e materie plastiche</w:t>
      </w:r>
      <w:r w:rsidRPr="004D645B">
        <w:rPr>
          <w:rFonts w:ascii="Arial Narrow" w:hAnsi="Arial Narrow" w:cs="Calibri"/>
          <w:sz w:val="15"/>
          <w:szCs w:val="15"/>
        </w:rPr>
        <w:t xml:space="preserve">; </w:t>
      </w:r>
      <w:r w:rsidRPr="00456679">
        <w:rPr>
          <w:rFonts w:ascii="Arial Narrow" w:hAnsi="Arial Narrow" w:cs="Calibri"/>
          <w:sz w:val="15"/>
          <w:szCs w:val="15"/>
        </w:rPr>
        <w:t>Pelletteria</w:t>
      </w:r>
      <w:r w:rsidRPr="004D645B">
        <w:rPr>
          <w:rFonts w:ascii="Arial Narrow" w:hAnsi="Arial Narrow" w:cs="Calibri"/>
          <w:sz w:val="15"/>
          <w:szCs w:val="15"/>
        </w:rPr>
        <w:t>=A</w:t>
      </w:r>
      <w:r w:rsidRPr="00456679">
        <w:rPr>
          <w:rFonts w:ascii="Arial Narrow" w:hAnsi="Arial Narrow" w:cs="Calibri"/>
          <w:sz w:val="15"/>
          <w:szCs w:val="15"/>
        </w:rPr>
        <w:t>rticoli in pelle (escluso abbigliamento) e simili</w:t>
      </w:r>
      <w:r w:rsidRPr="004D645B">
        <w:rPr>
          <w:rFonts w:ascii="Arial Narrow" w:hAnsi="Arial Narrow" w:cs="Calibri"/>
          <w:sz w:val="15"/>
          <w:szCs w:val="15"/>
        </w:rPr>
        <w:t xml:space="preserve">; </w:t>
      </w:r>
      <w:r w:rsidRPr="00456679">
        <w:rPr>
          <w:rFonts w:ascii="Arial Narrow" w:hAnsi="Arial Narrow" w:cs="Calibri"/>
          <w:sz w:val="15"/>
          <w:szCs w:val="15"/>
        </w:rPr>
        <w:t>Abbigliamento</w:t>
      </w:r>
      <w:r w:rsidRPr="004D645B">
        <w:rPr>
          <w:rFonts w:ascii="Arial Narrow" w:hAnsi="Arial Narrow" w:cs="Calibri"/>
          <w:sz w:val="15"/>
          <w:szCs w:val="15"/>
        </w:rPr>
        <w:t>=</w:t>
      </w:r>
      <w:r w:rsidRPr="00456679">
        <w:rPr>
          <w:rFonts w:ascii="Arial Narrow" w:hAnsi="Arial Narrow" w:cs="Calibri"/>
          <w:sz w:val="15"/>
          <w:szCs w:val="15"/>
        </w:rPr>
        <w:t>Articoli di abbigliamento (anche in pelle e in pelliccia)</w:t>
      </w:r>
      <w:r w:rsidRPr="004D645B">
        <w:rPr>
          <w:rFonts w:ascii="Arial Narrow" w:hAnsi="Arial Narrow" w:cs="Calibri"/>
          <w:sz w:val="15"/>
          <w:szCs w:val="15"/>
        </w:rPr>
        <w:t xml:space="preserve">; </w:t>
      </w:r>
      <w:r w:rsidRPr="00456679">
        <w:rPr>
          <w:rFonts w:ascii="Arial Narrow" w:hAnsi="Arial Narrow" w:cs="Calibri"/>
          <w:sz w:val="15"/>
          <w:szCs w:val="15"/>
        </w:rPr>
        <w:t>Tessili</w:t>
      </w:r>
      <w:r w:rsidRPr="004D645B">
        <w:rPr>
          <w:rFonts w:ascii="Arial Narrow" w:hAnsi="Arial Narrow" w:cs="Calibri"/>
          <w:sz w:val="15"/>
          <w:szCs w:val="15"/>
        </w:rPr>
        <w:t>=</w:t>
      </w:r>
      <w:r w:rsidRPr="00456679">
        <w:rPr>
          <w:rFonts w:ascii="Arial Narrow" w:hAnsi="Arial Narrow" w:cs="Calibri"/>
          <w:sz w:val="15"/>
          <w:szCs w:val="15"/>
        </w:rPr>
        <w:t>Prodotti tessili</w:t>
      </w:r>
      <w:r w:rsidRPr="004D645B">
        <w:rPr>
          <w:rFonts w:ascii="Arial Narrow" w:hAnsi="Arial Narrow" w:cs="Calibri"/>
          <w:sz w:val="15"/>
          <w:szCs w:val="15"/>
        </w:rPr>
        <w:t xml:space="preserve">; </w:t>
      </w:r>
      <w:r w:rsidRPr="00456679">
        <w:rPr>
          <w:rFonts w:ascii="Arial Narrow" w:hAnsi="Arial Narrow" w:cs="Calibri"/>
          <w:sz w:val="15"/>
          <w:szCs w:val="15"/>
        </w:rPr>
        <w:t>Agricoltura</w:t>
      </w:r>
      <w:r w:rsidRPr="004D645B">
        <w:rPr>
          <w:rFonts w:ascii="Arial Narrow" w:hAnsi="Arial Narrow" w:cs="Calibri"/>
          <w:sz w:val="15"/>
          <w:szCs w:val="15"/>
        </w:rPr>
        <w:t>=</w:t>
      </w:r>
      <w:r w:rsidRPr="00456679">
        <w:rPr>
          <w:rFonts w:ascii="Arial Narrow" w:hAnsi="Arial Narrow" w:cs="Calibri"/>
          <w:sz w:val="15"/>
          <w:szCs w:val="15"/>
        </w:rPr>
        <w:t>Prodotti dell'agricoltura, della silvicoltura e della pesca</w:t>
      </w:r>
      <w:r w:rsidRPr="004D645B">
        <w:rPr>
          <w:rFonts w:ascii="Arial Narrow" w:hAnsi="Arial Narrow" w:cs="Calibri"/>
          <w:sz w:val="15"/>
          <w:szCs w:val="15"/>
        </w:rPr>
        <w:t xml:space="preserve">; </w:t>
      </w:r>
      <w:r w:rsidRPr="00456679">
        <w:rPr>
          <w:rFonts w:ascii="Arial Narrow" w:hAnsi="Arial Narrow" w:cs="Calibri"/>
          <w:sz w:val="15"/>
          <w:szCs w:val="15"/>
        </w:rPr>
        <w:t>Elettronica</w:t>
      </w:r>
      <w:r w:rsidRPr="004D645B">
        <w:rPr>
          <w:rFonts w:ascii="Arial Narrow" w:hAnsi="Arial Narrow" w:cs="Calibri"/>
          <w:sz w:val="15"/>
          <w:szCs w:val="15"/>
        </w:rPr>
        <w:t>=</w:t>
      </w:r>
      <w:r w:rsidRPr="00456679">
        <w:rPr>
          <w:rFonts w:ascii="Arial Narrow" w:hAnsi="Arial Narrow" w:cs="Calibri"/>
          <w:sz w:val="15"/>
          <w:szCs w:val="15"/>
        </w:rPr>
        <w:t>Computer, apparecchi elettronici e ottici</w:t>
      </w:r>
      <w:r w:rsidRPr="004D645B">
        <w:rPr>
          <w:rFonts w:ascii="Arial Narrow" w:hAnsi="Arial Narrow" w:cs="Calibri"/>
          <w:sz w:val="15"/>
          <w:szCs w:val="15"/>
        </w:rPr>
        <w:t xml:space="preserve">; </w:t>
      </w:r>
      <w:r w:rsidRPr="00456679">
        <w:rPr>
          <w:rFonts w:ascii="Arial Narrow" w:hAnsi="Arial Narrow" w:cs="Calibri"/>
          <w:sz w:val="15"/>
          <w:szCs w:val="15"/>
        </w:rPr>
        <w:t>Raffinazione</w:t>
      </w:r>
      <w:r w:rsidRPr="004D645B">
        <w:rPr>
          <w:rFonts w:ascii="Arial Narrow" w:hAnsi="Arial Narrow" w:cs="Calibri"/>
          <w:sz w:val="15"/>
          <w:szCs w:val="15"/>
        </w:rPr>
        <w:t>=</w:t>
      </w:r>
      <w:r w:rsidRPr="00456679">
        <w:rPr>
          <w:rFonts w:ascii="Arial Narrow" w:hAnsi="Arial Narrow" w:cs="Calibri"/>
          <w:sz w:val="15"/>
          <w:szCs w:val="15"/>
        </w:rPr>
        <w:t>Coke e prodotti petroliferi raffinati</w:t>
      </w:r>
      <w:r w:rsidRPr="004D645B">
        <w:rPr>
          <w:rFonts w:ascii="Arial Narrow" w:hAnsi="Arial Narrow" w:cs="Calibri"/>
          <w:sz w:val="15"/>
          <w:szCs w:val="15"/>
        </w:rPr>
        <w:t xml:space="preserve">; </w:t>
      </w:r>
      <w:r w:rsidRPr="00456679">
        <w:rPr>
          <w:rFonts w:ascii="Arial Narrow" w:hAnsi="Arial Narrow" w:cs="Calibri"/>
          <w:sz w:val="15"/>
          <w:szCs w:val="15"/>
        </w:rPr>
        <w:t>Alimentari</w:t>
      </w:r>
      <w:r w:rsidRPr="004D645B">
        <w:rPr>
          <w:rFonts w:ascii="Arial Narrow" w:hAnsi="Arial Narrow" w:cs="Calibri"/>
          <w:sz w:val="15"/>
          <w:szCs w:val="15"/>
        </w:rPr>
        <w:t>=</w:t>
      </w:r>
      <w:r w:rsidRPr="00456679">
        <w:rPr>
          <w:rFonts w:ascii="Arial Narrow" w:hAnsi="Arial Narrow" w:cs="Calibri"/>
          <w:sz w:val="15"/>
          <w:szCs w:val="15"/>
        </w:rPr>
        <w:t>Prodotti alimentari, bevande e tabacco</w:t>
      </w:r>
      <w:r w:rsidRPr="004D645B">
        <w:rPr>
          <w:rFonts w:ascii="Arial Narrow" w:hAnsi="Arial Narrow" w:cs="Calibri"/>
          <w:sz w:val="15"/>
          <w:szCs w:val="15"/>
        </w:rPr>
        <w:t xml:space="preserve">; </w:t>
      </w:r>
      <w:r w:rsidRPr="00456679">
        <w:rPr>
          <w:rFonts w:ascii="Arial Narrow" w:hAnsi="Arial Narrow" w:cs="Calibri"/>
          <w:sz w:val="15"/>
          <w:szCs w:val="15"/>
        </w:rPr>
        <w:t>Farmaceutica</w:t>
      </w:r>
      <w:r w:rsidRPr="004D645B">
        <w:rPr>
          <w:rFonts w:ascii="Arial Narrow" w:hAnsi="Arial Narrow" w:cs="Calibri"/>
          <w:sz w:val="15"/>
          <w:szCs w:val="15"/>
        </w:rPr>
        <w:t>=</w:t>
      </w:r>
      <w:r w:rsidRPr="00456679">
        <w:rPr>
          <w:rFonts w:ascii="Arial Narrow" w:hAnsi="Arial Narrow" w:cs="Calibri"/>
          <w:sz w:val="15"/>
          <w:szCs w:val="15"/>
        </w:rPr>
        <w:t>Articoli farmaceutici, chimico-medicinali e botanici</w:t>
      </w:r>
      <w:r w:rsidR="001049FC">
        <w:rPr>
          <w:rFonts w:ascii="Arial Narrow" w:hAnsi="Arial Narrow" w:cs="Calibri"/>
          <w:sz w:val="15"/>
          <w:szCs w:val="15"/>
        </w:rPr>
        <w:t>; Energia elettrica=</w:t>
      </w:r>
      <w:r w:rsidR="001049FC" w:rsidRPr="001049FC">
        <w:rPr>
          <w:rFonts w:ascii="Arial Narrow" w:hAnsi="Arial Narrow" w:cs="Calibri"/>
          <w:sz w:val="15"/>
          <w:szCs w:val="15"/>
        </w:rPr>
        <w:t>Energia elettrica, gas, vapore e aria condizionata</w:t>
      </w:r>
      <w:r w:rsidR="001049FC">
        <w:rPr>
          <w:rFonts w:ascii="Arial Narrow" w:hAnsi="Arial Narrow" w:cs="Calibri"/>
          <w:sz w:val="15"/>
          <w:szCs w:val="15"/>
        </w:rPr>
        <w:t>.</w:t>
      </w:r>
    </w:p>
    <w:p w14:paraId="563D2118" w14:textId="733F0D73" w:rsidR="00971A17" w:rsidRDefault="00971A17" w:rsidP="00E224CF">
      <w:pPr>
        <w:spacing w:after="120"/>
        <w:jc w:val="both"/>
        <w:rPr>
          <w:rFonts w:ascii="Arial" w:hAnsi="Arial"/>
          <w:sz w:val="21"/>
          <w:szCs w:val="21"/>
        </w:rPr>
      </w:pPr>
      <w:r>
        <w:rPr>
          <w:rFonts w:ascii="Arial Narrow" w:hAnsi="Arial Narrow" w:cs="Calibri"/>
          <w:sz w:val="15"/>
          <w:szCs w:val="15"/>
        </w:rPr>
        <w:t>.</w:t>
      </w:r>
    </w:p>
    <w:p w14:paraId="022B819F" w14:textId="77777777" w:rsidR="00C6666F" w:rsidRDefault="00C6666F" w:rsidP="00BC4705">
      <w:pPr>
        <w:spacing w:after="60"/>
        <w:jc w:val="both"/>
        <w:rPr>
          <w:rFonts w:ascii="Arial" w:hAnsi="Arial"/>
          <w:sz w:val="21"/>
          <w:szCs w:val="21"/>
        </w:rPr>
      </w:pPr>
    </w:p>
    <w:p w14:paraId="5A185374" w14:textId="77777777" w:rsidR="00660BD3" w:rsidRDefault="00660BD3" w:rsidP="0020174D">
      <w:pPr>
        <w:spacing w:after="120"/>
        <w:jc w:val="both"/>
        <w:rPr>
          <w:rFonts w:ascii="Arial" w:hAnsi="Arial"/>
          <w:sz w:val="21"/>
          <w:szCs w:val="21"/>
        </w:rPr>
      </w:pPr>
    </w:p>
    <w:p w14:paraId="724666CD" w14:textId="77777777" w:rsidR="00CC2949" w:rsidRPr="00067430" w:rsidRDefault="0025622B" w:rsidP="00CC2949">
      <w:pPr>
        <w:pStyle w:val="001TitoloBolocco"/>
        <w:spacing w:after="0" w:line="240" w:lineRule="auto"/>
        <w:rPr>
          <w:rFonts w:ascii="Arial Narrow" w:hAnsi="Arial Narrow"/>
          <w:bCs w:val="0"/>
          <w:caps w:val="0"/>
          <w:sz w:val="22"/>
        </w:rPr>
      </w:pPr>
      <w:r>
        <w:rPr>
          <w:bCs w:val="0"/>
          <w:caps w:val="0"/>
        </w:rPr>
        <w:br w:type="page"/>
      </w:r>
    </w:p>
    <w:p w14:paraId="11E2B944" w14:textId="77777777" w:rsidR="00ED1109" w:rsidRPr="00ED1109" w:rsidRDefault="00ED1109" w:rsidP="00ED1109">
      <w:pPr>
        <w:pStyle w:val="Corpodeltesto1"/>
        <w:jc w:val="left"/>
        <w:rPr>
          <w:rFonts w:ascii="Arial Narrow" w:hAnsi="Arial Narrow"/>
          <w:bCs/>
          <w:caps/>
          <w:sz w:val="22"/>
        </w:rPr>
      </w:pPr>
    </w:p>
    <w:p w14:paraId="41EA23AB" w14:textId="77777777" w:rsidR="00BF702B" w:rsidRDefault="00BF702B" w:rsidP="00BF702B">
      <w:pPr>
        <w:pStyle w:val="001TitoloBolocco"/>
        <w:spacing w:after="120" w:line="240" w:lineRule="auto"/>
      </w:pPr>
      <w:r>
        <w:rPr>
          <w:bCs w:val="0"/>
          <w:caps w:val="0"/>
        </w:rPr>
        <w:t>P</w:t>
      </w:r>
      <w:r w:rsidR="002A153A">
        <w:rPr>
          <w:bCs w:val="0"/>
          <w:caps w:val="0"/>
        </w:rPr>
        <w:t>A</w:t>
      </w:r>
      <w:r>
        <w:rPr>
          <w:bCs w:val="0"/>
          <w:caps w:val="0"/>
        </w:rPr>
        <w:t>E</w:t>
      </w:r>
      <w:r w:rsidR="002A153A">
        <w:rPr>
          <w:bCs w:val="0"/>
          <w:caps w:val="0"/>
        </w:rPr>
        <w:t>SI PARTNER NEL COMMERCIO ESTERO</w:t>
      </w:r>
    </w:p>
    <w:p w14:paraId="4E673947" w14:textId="77777777" w:rsidR="00D40C17" w:rsidRPr="00D40C17" w:rsidRDefault="002A153A" w:rsidP="00D40C17">
      <w:pPr>
        <w:pStyle w:val="Corpodeltesto1"/>
        <w:jc w:val="left"/>
        <w:rPr>
          <w:rFonts w:ascii="Arial Narrow" w:hAnsi="Arial Narrow" w:cs="Arial"/>
          <w:bCs/>
          <w:color w:val="E42618"/>
          <w:kern w:val="28"/>
          <w:sz w:val="22"/>
          <w:szCs w:val="22"/>
        </w:rPr>
      </w:pPr>
      <w:r w:rsidRPr="00D40C17">
        <w:rPr>
          <w:rFonts w:ascii="Arial Narrow" w:hAnsi="Arial Narrow" w:cs="Arial"/>
          <w:bCs/>
          <w:color w:val="E42618"/>
          <w:kern w:val="28"/>
          <w:sz w:val="22"/>
          <w:szCs w:val="22"/>
        </w:rPr>
        <w:t xml:space="preserve">FIGURA </w:t>
      </w:r>
      <w:r w:rsidR="00864908" w:rsidRPr="00D40C17">
        <w:rPr>
          <w:rFonts w:ascii="Arial Narrow" w:hAnsi="Arial Narrow" w:cs="Arial"/>
          <w:bCs/>
          <w:color w:val="E42618"/>
          <w:kern w:val="28"/>
          <w:sz w:val="22"/>
          <w:szCs w:val="22"/>
        </w:rPr>
        <w:t>8</w:t>
      </w:r>
      <w:r w:rsidRPr="00D40C17">
        <w:rPr>
          <w:rFonts w:ascii="Arial Narrow" w:hAnsi="Arial Narrow" w:cs="Arial"/>
          <w:bCs/>
          <w:color w:val="E42618"/>
          <w:kern w:val="28"/>
          <w:sz w:val="22"/>
          <w:szCs w:val="22"/>
        </w:rPr>
        <w:t xml:space="preserve">. </w:t>
      </w:r>
      <w:r w:rsidR="00D40C17" w:rsidRPr="00D40C17">
        <w:rPr>
          <w:rFonts w:ascii="Arial Narrow" w:hAnsi="Arial Narrow" w:cs="Arial"/>
          <w:bCs/>
          <w:color w:val="5F5F5F"/>
          <w:kern w:val="28"/>
          <w:sz w:val="22"/>
          <w:szCs w:val="22"/>
        </w:rPr>
        <w:t>PRINCIPALI PARTNER COMMERCIALI: GRADUATORIA DEI PAESI SECONDO I CONTRIBUTI ALL’</w:t>
      </w:r>
      <w:r w:rsidR="00D40C17" w:rsidRPr="00D40C17">
        <w:rPr>
          <w:rFonts w:ascii="Arial Narrow" w:hAnsi="Arial Narrow" w:cs="Arial"/>
          <w:bCs/>
          <w:color w:val="E42618"/>
          <w:kern w:val="28"/>
          <w:sz w:val="22"/>
          <w:szCs w:val="22"/>
        </w:rPr>
        <w:t xml:space="preserve"> </w:t>
      </w:r>
      <w:r w:rsidR="00D40C17" w:rsidRPr="00D40C17">
        <w:rPr>
          <w:rFonts w:ascii="Arial Narrow" w:hAnsi="Arial Narrow" w:cs="Arial"/>
          <w:bCs/>
          <w:color w:val="5F5F5F"/>
          <w:kern w:val="28"/>
          <w:sz w:val="22"/>
          <w:szCs w:val="22"/>
        </w:rPr>
        <w:t xml:space="preserve">EXPORT  </w:t>
      </w:r>
      <w:r w:rsidR="00D40C17" w:rsidRPr="00D40C17">
        <w:rPr>
          <w:rFonts w:ascii="Arial Narrow" w:hAnsi="Arial Narrow" w:cs="Arial"/>
          <w:bCs/>
          <w:color w:val="E42618"/>
          <w:kern w:val="28"/>
          <w:sz w:val="22"/>
          <w:szCs w:val="22"/>
        </w:rPr>
        <w:t xml:space="preserve">  </w:t>
      </w:r>
    </w:p>
    <w:p w14:paraId="690D30AF" w14:textId="4AC12C8A" w:rsidR="00041D56" w:rsidRDefault="00E52CA6" w:rsidP="00041D56">
      <w:pPr>
        <w:pStyle w:val="Corpodeltesto1"/>
        <w:spacing w:after="120"/>
        <w:jc w:val="left"/>
        <w:rPr>
          <w:rFonts w:ascii="Arial Narrow" w:hAnsi="Arial Narrow" w:cs="Arial"/>
          <w:b w:val="0"/>
          <w:bCs/>
          <w:color w:val="5F5F5F"/>
          <w:kern w:val="28"/>
          <w:sz w:val="20"/>
          <w:szCs w:val="22"/>
        </w:rPr>
      </w:pPr>
      <w:r w:rsidRPr="00E52CA6">
        <w:rPr>
          <w:rFonts w:ascii="Arial Narrow" w:hAnsi="Arial Narrow" w:cs="Arial"/>
          <w:b w:val="0"/>
          <w:color w:val="5F5F5F"/>
          <w:kern w:val="28"/>
          <w:sz w:val="20"/>
          <w:szCs w:val="20"/>
        </w:rPr>
        <w:t xml:space="preserve">Ottobre </w:t>
      </w:r>
      <w:r w:rsidR="00030313">
        <w:rPr>
          <w:rFonts w:ascii="Arial Narrow" w:hAnsi="Arial Narrow" w:cs="Arial"/>
          <w:b w:val="0"/>
          <w:color w:val="5F5F5F"/>
          <w:kern w:val="28"/>
          <w:sz w:val="20"/>
          <w:szCs w:val="20"/>
        </w:rPr>
        <w:t>2023</w:t>
      </w:r>
      <w:r w:rsidR="00041D56" w:rsidRPr="005C343A">
        <w:rPr>
          <w:rFonts w:ascii="Arial Narrow" w:hAnsi="Arial Narrow" w:cs="Arial"/>
          <w:b w:val="0"/>
          <w:color w:val="5F5F5F"/>
          <w:kern w:val="28"/>
          <w:sz w:val="20"/>
          <w:szCs w:val="20"/>
        </w:rPr>
        <w:t>, contributi alla variazione in punti percentuali e vari</w:t>
      </w:r>
      <w:r w:rsidR="00041D56">
        <w:rPr>
          <w:rFonts w:ascii="Arial Narrow" w:hAnsi="Arial Narrow" w:cs="Arial"/>
          <w:b w:val="0"/>
          <w:color w:val="5F5F5F"/>
          <w:kern w:val="28"/>
          <w:sz w:val="20"/>
          <w:szCs w:val="20"/>
        </w:rPr>
        <w:t>azioni</w:t>
      </w:r>
      <w:r w:rsidR="00041D56" w:rsidRPr="005C343A">
        <w:rPr>
          <w:rFonts w:ascii="Arial Narrow" w:hAnsi="Arial Narrow" w:cs="Arial"/>
          <w:b w:val="0"/>
          <w:color w:val="5F5F5F"/>
          <w:kern w:val="28"/>
          <w:sz w:val="20"/>
          <w:szCs w:val="20"/>
        </w:rPr>
        <w:t xml:space="preserve"> percentuali tendenziali</w:t>
      </w:r>
      <w:r w:rsidR="00041D56">
        <w:rPr>
          <w:rFonts w:ascii="Arial Narrow" w:hAnsi="Arial Narrow" w:cs="Arial"/>
          <w:b w:val="0"/>
          <w:color w:val="5F5F5F"/>
          <w:kern w:val="28"/>
          <w:sz w:val="20"/>
          <w:szCs w:val="20"/>
        </w:rPr>
        <w:t xml:space="preserve"> </w:t>
      </w:r>
      <w:r w:rsidR="00041D56" w:rsidRPr="00E35121">
        <w:rPr>
          <w:rFonts w:ascii="Arial Narrow" w:hAnsi="Arial Narrow" w:cs="Arial"/>
          <w:b w:val="0"/>
          <w:bCs/>
          <w:color w:val="5F5F5F"/>
          <w:kern w:val="28"/>
          <w:sz w:val="20"/>
          <w:szCs w:val="22"/>
        </w:rPr>
        <w:t>(a)</w:t>
      </w:r>
    </w:p>
    <w:p w14:paraId="3B05FBAA" w14:textId="595D0ECF" w:rsidR="009C775F" w:rsidRDefault="009840DA" w:rsidP="00041D56">
      <w:pPr>
        <w:pStyle w:val="Corpodeltesto1"/>
        <w:spacing w:after="120"/>
        <w:jc w:val="left"/>
        <w:rPr>
          <w:rFonts w:ascii="Arial Narrow" w:hAnsi="Arial Narrow" w:cs="Arial"/>
          <w:b w:val="0"/>
          <w:bCs/>
          <w:color w:val="5F5F5F"/>
          <w:kern w:val="28"/>
          <w:sz w:val="20"/>
          <w:szCs w:val="22"/>
        </w:rPr>
      </w:pPr>
      <w:r>
        <w:rPr>
          <w:noProof/>
        </w:rPr>
        <w:drawing>
          <wp:inline distT="0" distB="0" distL="0" distR="0" wp14:anchorId="620DF257" wp14:editId="45B461DE">
            <wp:extent cx="6660000" cy="2160000"/>
            <wp:effectExtent l="0" t="0" r="7620" b="0"/>
            <wp:docPr id="32" name="Gra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D4A26E9" w14:textId="77777777" w:rsidR="009D29C9" w:rsidRDefault="009D29C9" w:rsidP="00763EB2">
      <w:pPr>
        <w:pStyle w:val="Corpodeltesto1"/>
        <w:rPr>
          <w:rFonts w:ascii="Arial Narrow" w:hAnsi="Arial Narrow" w:cs="Arial"/>
          <w:color w:val="E42618"/>
          <w:kern w:val="28"/>
          <w:sz w:val="22"/>
          <w:szCs w:val="22"/>
        </w:rPr>
      </w:pPr>
    </w:p>
    <w:p w14:paraId="30C3A37E" w14:textId="77777777" w:rsidR="00B145A1" w:rsidRDefault="00B145A1" w:rsidP="00763EB2">
      <w:pPr>
        <w:pStyle w:val="Corpodeltesto1"/>
        <w:rPr>
          <w:rFonts w:ascii="Arial Narrow" w:hAnsi="Arial Narrow" w:cs="Arial"/>
          <w:bCs/>
          <w:color w:val="5F5F5F"/>
          <w:kern w:val="28"/>
          <w:sz w:val="22"/>
          <w:szCs w:val="22"/>
        </w:rPr>
      </w:pPr>
      <w:r w:rsidRPr="002A153A">
        <w:rPr>
          <w:rFonts w:ascii="Arial Narrow" w:hAnsi="Arial Narrow" w:cs="Arial"/>
          <w:color w:val="E42618"/>
          <w:kern w:val="28"/>
          <w:sz w:val="22"/>
          <w:szCs w:val="22"/>
        </w:rPr>
        <w:t xml:space="preserve">FIGURA </w:t>
      </w:r>
      <w:r>
        <w:rPr>
          <w:rFonts w:ascii="Arial Narrow" w:hAnsi="Arial Narrow" w:cs="Arial"/>
          <w:color w:val="E42618"/>
          <w:kern w:val="28"/>
          <w:sz w:val="22"/>
          <w:szCs w:val="22"/>
        </w:rPr>
        <w:t>9</w:t>
      </w:r>
      <w:r w:rsidRPr="002A153A">
        <w:rPr>
          <w:rFonts w:ascii="Arial Narrow" w:hAnsi="Arial Narrow" w:cs="Arial"/>
          <w:color w:val="E42618"/>
          <w:kern w:val="28"/>
          <w:sz w:val="22"/>
          <w:szCs w:val="22"/>
        </w:rPr>
        <w:t>.</w:t>
      </w:r>
      <w:r w:rsidRPr="00B37F7D">
        <w:rPr>
          <w:rFonts w:ascii="Arial Narrow" w:hAnsi="Arial Narrow" w:cs="Arial"/>
          <w:color w:val="5F5F5F"/>
          <w:spacing w:val="-8"/>
          <w:sz w:val="20"/>
        </w:rPr>
        <w:t xml:space="preserve"> </w:t>
      </w:r>
      <w:r w:rsidR="00D40C17" w:rsidRPr="00D40C17">
        <w:rPr>
          <w:rFonts w:ascii="Arial Narrow" w:hAnsi="Arial Narrow" w:cs="Arial"/>
          <w:bCs/>
          <w:color w:val="5F5F5F"/>
          <w:kern w:val="28"/>
          <w:sz w:val="22"/>
          <w:szCs w:val="22"/>
        </w:rPr>
        <w:t>PRINCIPALI PARTNER COMMERCIALI: GRADUATORIA DEI PAESI SECONDO I CONTRIBUTI ALL’</w:t>
      </w:r>
      <w:r w:rsidR="00D40C17" w:rsidRPr="00D40C17">
        <w:rPr>
          <w:rFonts w:ascii="Arial Narrow" w:hAnsi="Arial Narrow" w:cs="Arial"/>
          <w:bCs/>
          <w:color w:val="E42618"/>
          <w:kern w:val="28"/>
          <w:sz w:val="22"/>
          <w:szCs w:val="22"/>
        </w:rPr>
        <w:t xml:space="preserve"> </w:t>
      </w:r>
      <w:r w:rsidR="00D40C17">
        <w:rPr>
          <w:rFonts w:ascii="Arial Narrow" w:hAnsi="Arial Narrow" w:cs="Arial"/>
          <w:bCs/>
          <w:color w:val="5F5F5F"/>
          <w:kern w:val="28"/>
          <w:sz w:val="22"/>
          <w:szCs w:val="22"/>
        </w:rPr>
        <w:t>IM</w:t>
      </w:r>
      <w:r w:rsidR="00D40C17" w:rsidRPr="00D40C17">
        <w:rPr>
          <w:rFonts w:ascii="Arial Narrow" w:hAnsi="Arial Narrow" w:cs="Arial"/>
          <w:bCs/>
          <w:color w:val="5F5F5F"/>
          <w:kern w:val="28"/>
          <w:sz w:val="22"/>
          <w:szCs w:val="22"/>
        </w:rPr>
        <w:t xml:space="preserve">PORT  </w:t>
      </w:r>
      <w:r w:rsidR="00D40C17" w:rsidRPr="00D40C17">
        <w:rPr>
          <w:rFonts w:ascii="Arial Narrow" w:hAnsi="Arial Narrow" w:cs="Arial"/>
          <w:bCs/>
          <w:color w:val="E42618"/>
          <w:kern w:val="28"/>
          <w:sz w:val="22"/>
          <w:szCs w:val="22"/>
        </w:rPr>
        <w:t xml:space="preserve">  </w:t>
      </w:r>
    </w:p>
    <w:p w14:paraId="5C63F35C" w14:textId="5F8F2DED" w:rsidR="00041D56" w:rsidRDefault="00E52CA6" w:rsidP="00041D56">
      <w:pPr>
        <w:pStyle w:val="Corpodeltesto1"/>
        <w:spacing w:after="120"/>
        <w:jc w:val="left"/>
        <w:rPr>
          <w:rFonts w:ascii="Arial Narrow" w:hAnsi="Arial Narrow" w:cs="Arial"/>
          <w:b w:val="0"/>
          <w:bCs/>
          <w:color w:val="5F5F5F"/>
          <w:kern w:val="28"/>
          <w:sz w:val="20"/>
          <w:szCs w:val="22"/>
        </w:rPr>
      </w:pPr>
      <w:r w:rsidRPr="00E52CA6">
        <w:rPr>
          <w:rFonts w:ascii="Arial Narrow" w:hAnsi="Arial Narrow" w:cs="Arial"/>
          <w:b w:val="0"/>
          <w:color w:val="5F5F5F"/>
          <w:kern w:val="28"/>
          <w:sz w:val="20"/>
          <w:szCs w:val="20"/>
        </w:rPr>
        <w:t xml:space="preserve">Ottobre </w:t>
      </w:r>
      <w:r w:rsidR="00030313">
        <w:rPr>
          <w:rFonts w:ascii="Arial Narrow" w:hAnsi="Arial Narrow" w:cs="Arial"/>
          <w:b w:val="0"/>
          <w:color w:val="5F5F5F"/>
          <w:kern w:val="28"/>
          <w:sz w:val="20"/>
          <w:szCs w:val="20"/>
        </w:rPr>
        <w:t>2023</w:t>
      </w:r>
      <w:r w:rsidR="00041D56" w:rsidRPr="005C343A">
        <w:rPr>
          <w:rFonts w:ascii="Arial Narrow" w:hAnsi="Arial Narrow" w:cs="Arial"/>
          <w:b w:val="0"/>
          <w:color w:val="5F5F5F"/>
          <w:kern w:val="28"/>
          <w:sz w:val="20"/>
          <w:szCs w:val="20"/>
        </w:rPr>
        <w:t>, contributi alla variazione in punti percentuali e vari</w:t>
      </w:r>
      <w:r w:rsidR="00041D56">
        <w:rPr>
          <w:rFonts w:ascii="Arial Narrow" w:hAnsi="Arial Narrow" w:cs="Arial"/>
          <w:b w:val="0"/>
          <w:color w:val="5F5F5F"/>
          <w:kern w:val="28"/>
          <w:sz w:val="20"/>
          <w:szCs w:val="20"/>
        </w:rPr>
        <w:t>azioni</w:t>
      </w:r>
      <w:r w:rsidR="00041D56" w:rsidRPr="005C343A">
        <w:rPr>
          <w:rFonts w:ascii="Arial Narrow" w:hAnsi="Arial Narrow" w:cs="Arial"/>
          <w:b w:val="0"/>
          <w:color w:val="5F5F5F"/>
          <w:kern w:val="28"/>
          <w:sz w:val="20"/>
          <w:szCs w:val="20"/>
        </w:rPr>
        <w:t xml:space="preserve"> percentuali tendenziali</w:t>
      </w:r>
      <w:r w:rsidR="00041D56">
        <w:rPr>
          <w:rFonts w:ascii="Arial Narrow" w:hAnsi="Arial Narrow" w:cs="Arial"/>
          <w:b w:val="0"/>
          <w:color w:val="5F5F5F"/>
          <w:kern w:val="28"/>
          <w:sz w:val="20"/>
          <w:szCs w:val="20"/>
        </w:rPr>
        <w:t xml:space="preserve"> </w:t>
      </w:r>
      <w:r w:rsidR="00041D56" w:rsidRPr="00E35121">
        <w:rPr>
          <w:rFonts w:ascii="Arial Narrow" w:hAnsi="Arial Narrow" w:cs="Arial"/>
          <w:b w:val="0"/>
          <w:bCs/>
          <w:color w:val="5F5F5F"/>
          <w:kern w:val="28"/>
          <w:sz w:val="20"/>
          <w:szCs w:val="22"/>
        </w:rPr>
        <w:t>(a)</w:t>
      </w:r>
    </w:p>
    <w:p w14:paraId="1AA0BE18" w14:textId="03010D25" w:rsidR="009C775F" w:rsidRDefault="009840DA" w:rsidP="00041D56">
      <w:pPr>
        <w:pStyle w:val="Corpodeltesto1"/>
        <w:spacing w:after="120"/>
        <w:jc w:val="left"/>
        <w:rPr>
          <w:rFonts w:ascii="Arial Narrow" w:hAnsi="Arial Narrow" w:cs="Arial"/>
          <w:b w:val="0"/>
          <w:bCs/>
          <w:color w:val="5F5F5F"/>
          <w:kern w:val="28"/>
          <w:sz w:val="20"/>
          <w:szCs w:val="22"/>
        </w:rPr>
      </w:pPr>
      <w:r>
        <w:rPr>
          <w:noProof/>
        </w:rPr>
        <w:drawing>
          <wp:inline distT="0" distB="0" distL="0" distR="0" wp14:anchorId="5A61EABA" wp14:editId="6A654C70">
            <wp:extent cx="6660000" cy="2160000"/>
            <wp:effectExtent l="0" t="0" r="7620" b="0"/>
            <wp:docPr id="1"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D4F160E" w14:textId="77777777" w:rsidR="00C22E24" w:rsidRDefault="00C0323B" w:rsidP="00C22E24">
      <w:pPr>
        <w:spacing w:before="60"/>
        <w:jc w:val="both"/>
        <w:rPr>
          <w:rFonts w:ascii="Arial Narrow" w:hAnsi="Arial Narrow" w:cs="Calibri"/>
          <w:sz w:val="15"/>
          <w:szCs w:val="15"/>
        </w:rPr>
      </w:pPr>
      <w:r w:rsidRPr="009F2C56">
        <w:rPr>
          <w:rFonts w:ascii="Arial Narrow" w:hAnsi="Arial Narrow" w:cs="Calibri"/>
          <w:sz w:val="15"/>
          <w:szCs w:val="15"/>
        </w:rPr>
        <w:t xml:space="preserve">(a) </w:t>
      </w:r>
      <w:r w:rsidRPr="00C97A46">
        <w:rPr>
          <w:rFonts w:ascii="Arial Narrow" w:hAnsi="Arial Narrow" w:cs="Calibri"/>
          <w:sz w:val="15"/>
          <w:szCs w:val="15"/>
        </w:rPr>
        <w:t>Limitatamente ai paesi la cui quota sull</w:t>
      </w:r>
      <w:r w:rsidR="00B67619">
        <w:rPr>
          <w:rFonts w:ascii="Arial Narrow" w:hAnsi="Arial Narrow" w:cs="Calibri"/>
          <w:sz w:val="15"/>
          <w:szCs w:val="15"/>
        </w:rPr>
        <w:t>’export (import)</w:t>
      </w:r>
      <w:r w:rsidR="001E77DD">
        <w:rPr>
          <w:rFonts w:ascii="Arial Narrow" w:hAnsi="Arial Narrow" w:cs="Calibri"/>
          <w:sz w:val="15"/>
          <w:szCs w:val="15"/>
        </w:rPr>
        <w:t xml:space="preserve"> per l’anno 202</w:t>
      </w:r>
      <w:r w:rsidR="00030313">
        <w:rPr>
          <w:rFonts w:ascii="Arial Narrow" w:hAnsi="Arial Narrow" w:cs="Calibri"/>
          <w:sz w:val="15"/>
          <w:szCs w:val="15"/>
        </w:rPr>
        <w:t>2</w:t>
      </w:r>
      <w:r w:rsidRPr="00C97A46">
        <w:rPr>
          <w:rFonts w:ascii="Arial Narrow" w:hAnsi="Arial Narrow" w:cs="Calibri"/>
          <w:sz w:val="15"/>
          <w:szCs w:val="15"/>
        </w:rPr>
        <w:t xml:space="preserve"> è superiore all’1%.</w:t>
      </w:r>
    </w:p>
    <w:p w14:paraId="2E0DC2B2" w14:textId="77777777" w:rsidR="00C0323B" w:rsidRDefault="00C0323B" w:rsidP="00E74CD4">
      <w:pPr>
        <w:spacing w:before="60"/>
        <w:jc w:val="both"/>
        <w:rPr>
          <w:rFonts w:ascii="Arial Narrow" w:hAnsi="Arial Narrow" w:cs="Calibri"/>
          <w:sz w:val="15"/>
          <w:szCs w:val="15"/>
        </w:rPr>
      </w:pPr>
    </w:p>
    <w:p w14:paraId="60F30110" w14:textId="77777777" w:rsidR="008D59B2" w:rsidRPr="008D59B2" w:rsidRDefault="008D59B2" w:rsidP="008D59B2">
      <w:pPr>
        <w:spacing w:after="120"/>
        <w:jc w:val="both"/>
        <w:rPr>
          <w:rFonts w:ascii="Arial" w:hAnsi="Arial"/>
          <w:sz w:val="21"/>
          <w:szCs w:val="21"/>
        </w:rPr>
      </w:pPr>
    </w:p>
    <w:p w14:paraId="657CB590" w14:textId="77777777" w:rsidR="00833A77" w:rsidRPr="00055CB6" w:rsidRDefault="00525F9A" w:rsidP="00E84E4F">
      <w:pPr>
        <w:pStyle w:val="001TitoloBolocco"/>
        <w:spacing w:after="120" w:line="240" w:lineRule="auto"/>
      </w:pPr>
      <w:r w:rsidRPr="00055CB6">
        <w:rPr>
          <w:bCs w:val="0"/>
          <w:caps w:val="0"/>
        </w:rPr>
        <w:t>A</w:t>
      </w:r>
      <w:r w:rsidR="00885870" w:rsidRPr="00055CB6">
        <w:rPr>
          <w:bCs w:val="0"/>
          <w:caps w:val="0"/>
        </w:rPr>
        <w:t>NALISI PER PRODOTTO E PAESE</w:t>
      </w:r>
    </w:p>
    <w:p w14:paraId="7C4E494C" w14:textId="449E602E" w:rsidR="00DE12CB" w:rsidRPr="0035781B" w:rsidRDefault="00DE12CB" w:rsidP="00DE12CB">
      <w:pPr>
        <w:pStyle w:val="Corpotesto1"/>
        <w:spacing w:after="120"/>
        <w:rPr>
          <w:rFonts w:ascii="Arial" w:hAnsi="Arial"/>
          <w:b w:val="0"/>
          <w:sz w:val="21"/>
          <w:szCs w:val="21"/>
          <w:lang w:val="it-IT" w:eastAsia="it-IT"/>
        </w:rPr>
      </w:pPr>
      <w:r w:rsidRPr="0035781B">
        <w:rPr>
          <w:rFonts w:ascii="Arial" w:hAnsi="Arial"/>
          <w:b w:val="0"/>
          <w:sz w:val="21"/>
          <w:szCs w:val="21"/>
          <w:lang w:val="it-IT" w:eastAsia="it-IT"/>
        </w:rPr>
        <w:t>Sulla base delle elaborazioni allegate al presente comunicato nel file “Grafici aggiuntivi co</w:t>
      </w:r>
      <w:r w:rsidR="00462336" w:rsidRPr="0035781B">
        <w:rPr>
          <w:rFonts w:ascii="Arial" w:hAnsi="Arial"/>
          <w:b w:val="0"/>
          <w:sz w:val="21"/>
          <w:szCs w:val="21"/>
          <w:lang w:val="it-IT" w:eastAsia="it-IT"/>
        </w:rPr>
        <w:t xml:space="preserve">mmercio estero”, risulta che </w:t>
      </w:r>
      <w:r w:rsidR="007C0425">
        <w:rPr>
          <w:rFonts w:ascii="Arial" w:hAnsi="Arial"/>
          <w:b w:val="0"/>
          <w:sz w:val="21"/>
          <w:szCs w:val="21"/>
          <w:lang w:val="it-IT" w:eastAsia="it-IT"/>
        </w:rPr>
        <w:t>l</w:t>
      </w:r>
      <w:r w:rsidR="00F54D53">
        <w:rPr>
          <w:rFonts w:ascii="Arial" w:hAnsi="Arial"/>
          <w:b w:val="0"/>
          <w:sz w:val="21"/>
          <w:szCs w:val="21"/>
          <w:lang w:val="it-IT" w:eastAsia="it-IT"/>
        </w:rPr>
        <w:t xml:space="preserve">’aumento </w:t>
      </w:r>
      <w:r w:rsidRPr="0035781B">
        <w:rPr>
          <w:rFonts w:ascii="Arial" w:hAnsi="Arial"/>
          <w:b w:val="0"/>
          <w:sz w:val="21"/>
          <w:szCs w:val="21"/>
          <w:lang w:val="it-IT" w:eastAsia="it-IT"/>
        </w:rPr>
        <w:t>tendenzi</w:t>
      </w:r>
      <w:r w:rsidR="00462336" w:rsidRPr="0035781B">
        <w:rPr>
          <w:rFonts w:ascii="Arial" w:hAnsi="Arial"/>
          <w:b w:val="0"/>
          <w:sz w:val="21"/>
          <w:szCs w:val="21"/>
          <w:lang w:val="it-IT" w:eastAsia="it-IT"/>
        </w:rPr>
        <w:t>ale dell’export è spiegat</w:t>
      </w:r>
      <w:r w:rsidR="007C0425">
        <w:rPr>
          <w:rFonts w:ascii="Arial" w:hAnsi="Arial"/>
          <w:b w:val="0"/>
          <w:sz w:val="21"/>
          <w:szCs w:val="21"/>
          <w:lang w:val="it-IT" w:eastAsia="it-IT"/>
        </w:rPr>
        <w:t>a</w:t>
      </w:r>
      <w:r w:rsidR="00462336" w:rsidRPr="0035781B">
        <w:rPr>
          <w:rFonts w:ascii="Arial" w:hAnsi="Arial"/>
          <w:b w:val="0"/>
          <w:sz w:val="21"/>
          <w:szCs w:val="21"/>
          <w:lang w:val="it-IT" w:eastAsia="it-IT"/>
        </w:rPr>
        <w:t xml:space="preserve"> </w:t>
      </w:r>
      <w:r w:rsidR="003967AC">
        <w:rPr>
          <w:rFonts w:ascii="Arial" w:hAnsi="Arial"/>
          <w:b w:val="0"/>
          <w:sz w:val="21"/>
          <w:szCs w:val="21"/>
          <w:lang w:val="it-IT" w:eastAsia="it-IT"/>
        </w:rPr>
        <w:t xml:space="preserve">per </w:t>
      </w:r>
      <w:r w:rsidR="007C0425">
        <w:rPr>
          <w:rFonts w:ascii="Arial" w:hAnsi="Arial"/>
          <w:b w:val="0"/>
          <w:sz w:val="21"/>
          <w:szCs w:val="21"/>
          <w:lang w:val="it-IT" w:eastAsia="it-IT"/>
        </w:rPr>
        <w:t>un punto percentuale</w:t>
      </w:r>
      <w:r w:rsidR="003967AC">
        <w:rPr>
          <w:rFonts w:ascii="Arial" w:hAnsi="Arial"/>
          <w:b w:val="0"/>
          <w:sz w:val="21"/>
          <w:szCs w:val="21"/>
          <w:lang w:val="it-IT" w:eastAsia="it-IT"/>
        </w:rPr>
        <w:t xml:space="preserve"> </w:t>
      </w:r>
      <w:r w:rsidR="007C0425">
        <w:rPr>
          <w:rFonts w:ascii="Arial" w:hAnsi="Arial"/>
          <w:b w:val="0"/>
          <w:sz w:val="21"/>
          <w:szCs w:val="21"/>
          <w:lang w:val="it-IT" w:eastAsia="it-IT"/>
        </w:rPr>
        <w:t>dalle m</w:t>
      </w:r>
      <w:r w:rsidR="00F54D53">
        <w:rPr>
          <w:rFonts w:ascii="Arial" w:hAnsi="Arial"/>
          <w:b w:val="0"/>
          <w:sz w:val="21"/>
          <w:szCs w:val="21"/>
          <w:lang w:val="it-IT" w:eastAsia="it-IT"/>
        </w:rPr>
        <w:t xml:space="preserve">aggiori </w:t>
      </w:r>
      <w:r w:rsidR="007C0425">
        <w:rPr>
          <w:rFonts w:ascii="Arial" w:hAnsi="Arial"/>
          <w:b w:val="0"/>
          <w:sz w:val="21"/>
          <w:szCs w:val="21"/>
          <w:lang w:val="it-IT" w:eastAsia="it-IT"/>
        </w:rPr>
        <w:t xml:space="preserve">vendite di </w:t>
      </w:r>
      <w:r w:rsidR="00F54D53">
        <w:rPr>
          <w:rFonts w:ascii="Arial" w:hAnsi="Arial"/>
          <w:b w:val="0"/>
          <w:sz w:val="21"/>
          <w:szCs w:val="21"/>
          <w:lang w:val="it-IT" w:eastAsia="it-IT"/>
        </w:rPr>
        <w:t>mezzi di trasporto, autoveicoli esclusi</w:t>
      </w:r>
      <w:r w:rsidR="00226A36">
        <w:rPr>
          <w:rFonts w:ascii="Arial" w:hAnsi="Arial"/>
          <w:b w:val="0"/>
          <w:sz w:val="21"/>
          <w:szCs w:val="21"/>
          <w:lang w:val="it-IT" w:eastAsia="it-IT"/>
        </w:rPr>
        <w:t xml:space="preserve"> verso i paesi OPEC.</w:t>
      </w:r>
      <w:r w:rsidR="00DB38AC" w:rsidRPr="00921351">
        <w:rPr>
          <w:rFonts w:ascii="Arial" w:hAnsi="Arial"/>
          <w:b w:val="0"/>
          <w:sz w:val="21"/>
          <w:szCs w:val="21"/>
          <w:lang w:val="it-IT" w:eastAsia="it-IT"/>
        </w:rPr>
        <w:t xml:space="preserve"> Un ulteriore contributo </w:t>
      </w:r>
      <w:r w:rsidR="0009086B">
        <w:rPr>
          <w:rFonts w:ascii="Arial" w:hAnsi="Arial"/>
          <w:b w:val="0"/>
          <w:sz w:val="21"/>
          <w:szCs w:val="21"/>
          <w:lang w:val="it-IT" w:eastAsia="it-IT"/>
        </w:rPr>
        <w:t>di</w:t>
      </w:r>
      <w:r w:rsidR="00226A36">
        <w:rPr>
          <w:rFonts w:ascii="Arial" w:hAnsi="Arial"/>
          <w:b w:val="0"/>
          <w:sz w:val="21"/>
          <w:szCs w:val="21"/>
          <w:lang w:val="it-IT" w:eastAsia="it-IT"/>
        </w:rPr>
        <w:t xml:space="preserve"> 0,9 punti deriva dall’incremento </w:t>
      </w:r>
      <w:r w:rsidR="007C0425">
        <w:rPr>
          <w:rFonts w:ascii="Arial" w:hAnsi="Arial"/>
          <w:b w:val="0"/>
          <w:sz w:val="21"/>
          <w:szCs w:val="21"/>
          <w:lang w:val="it-IT" w:eastAsia="it-IT"/>
        </w:rPr>
        <w:t xml:space="preserve">dell’export di </w:t>
      </w:r>
      <w:r w:rsidR="00226A36">
        <w:rPr>
          <w:rFonts w:ascii="Arial" w:hAnsi="Arial"/>
          <w:b w:val="0"/>
          <w:sz w:val="21"/>
          <w:szCs w:val="21"/>
          <w:lang w:val="it-IT" w:eastAsia="it-IT"/>
        </w:rPr>
        <w:t>articoli farmaceutici, chimico-medicali e botanici verso Svizzera e Regno Unito.</w:t>
      </w:r>
      <w:r w:rsidR="00071A4B">
        <w:rPr>
          <w:rFonts w:ascii="Arial" w:hAnsi="Arial"/>
          <w:b w:val="0"/>
          <w:sz w:val="21"/>
          <w:szCs w:val="21"/>
          <w:lang w:val="it-IT" w:eastAsia="it-IT"/>
        </w:rPr>
        <w:t xml:space="preserve"> </w:t>
      </w:r>
      <w:r w:rsidRPr="0035781B">
        <w:rPr>
          <w:rFonts w:ascii="Arial" w:hAnsi="Arial"/>
          <w:b w:val="0"/>
          <w:sz w:val="21"/>
          <w:szCs w:val="21"/>
          <w:lang w:val="it-IT" w:eastAsia="it-IT"/>
        </w:rPr>
        <w:t xml:space="preserve">All’opposto, </w:t>
      </w:r>
      <w:r w:rsidR="0009086B">
        <w:rPr>
          <w:rFonts w:ascii="Arial" w:hAnsi="Arial"/>
          <w:b w:val="0"/>
          <w:sz w:val="21"/>
          <w:szCs w:val="21"/>
          <w:lang w:val="it-IT" w:eastAsia="it-IT"/>
        </w:rPr>
        <w:t>l</w:t>
      </w:r>
      <w:r w:rsidR="00226A36">
        <w:rPr>
          <w:rFonts w:ascii="Arial" w:hAnsi="Arial"/>
          <w:b w:val="0"/>
          <w:sz w:val="21"/>
          <w:szCs w:val="21"/>
          <w:lang w:val="it-IT" w:eastAsia="it-IT"/>
        </w:rPr>
        <w:t xml:space="preserve">a riduzione </w:t>
      </w:r>
      <w:r w:rsidR="0009086B">
        <w:rPr>
          <w:rFonts w:ascii="Arial" w:hAnsi="Arial"/>
          <w:b w:val="0"/>
          <w:sz w:val="21"/>
          <w:szCs w:val="21"/>
          <w:lang w:val="it-IT" w:eastAsia="it-IT"/>
        </w:rPr>
        <w:t xml:space="preserve">delle </w:t>
      </w:r>
      <w:r w:rsidR="00C11D29">
        <w:rPr>
          <w:rFonts w:ascii="Arial" w:hAnsi="Arial"/>
          <w:b w:val="0"/>
          <w:sz w:val="21"/>
          <w:szCs w:val="21"/>
          <w:lang w:val="it-IT" w:eastAsia="it-IT"/>
        </w:rPr>
        <w:t xml:space="preserve">vendite di </w:t>
      </w:r>
      <w:r w:rsidR="00226A36">
        <w:rPr>
          <w:rFonts w:ascii="Arial" w:hAnsi="Arial"/>
          <w:b w:val="0"/>
          <w:sz w:val="21"/>
          <w:szCs w:val="21"/>
          <w:lang w:val="it-IT" w:eastAsia="it-IT"/>
        </w:rPr>
        <w:t xml:space="preserve">metalli di base e prodotti in metallo, esclusi macchine e impianti verso Germania e Turchia apporta un contributo negativo di 0,7 </w:t>
      </w:r>
      <w:r w:rsidR="00DB38AC">
        <w:rPr>
          <w:rFonts w:ascii="Arial" w:hAnsi="Arial"/>
          <w:b w:val="0"/>
          <w:sz w:val="21"/>
          <w:szCs w:val="21"/>
          <w:lang w:val="it-IT" w:eastAsia="it-IT"/>
        </w:rPr>
        <w:t>punti percentuali.</w:t>
      </w:r>
    </w:p>
    <w:p w14:paraId="625EEFB4" w14:textId="38CB48B9" w:rsidR="0075218A" w:rsidRDefault="00464426" w:rsidP="00DE12CB">
      <w:pPr>
        <w:pStyle w:val="Corpotesto1"/>
        <w:spacing w:after="120"/>
        <w:rPr>
          <w:rFonts w:ascii="Arial" w:hAnsi="Arial"/>
          <w:b w:val="0"/>
          <w:sz w:val="21"/>
          <w:szCs w:val="21"/>
          <w:lang w:val="it-IT" w:eastAsia="it-IT"/>
        </w:rPr>
      </w:pPr>
      <w:r>
        <w:rPr>
          <w:rFonts w:ascii="Arial" w:hAnsi="Arial"/>
          <w:b w:val="0"/>
          <w:sz w:val="21"/>
          <w:szCs w:val="21"/>
          <w:lang w:val="it-IT" w:eastAsia="it-IT"/>
        </w:rPr>
        <w:t xml:space="preserve">La </w:t>
      </w:r>
      <w:r w:rsidR="00A25F09">
        <w:rPr>
          <w:rFonts w:ascii="Arial" w:hAnsi="Arial"/>
          <w:b w:val="0"/>
          <w:sz w:val="21"/>
          <w:szCs w:val="21"/>
          <w:lang w:val="it-IT" w:eastAsia="it-IT"/>
        </w:rPr>
        <w:t xml:space="preserve">contrazione </w:t>
      </w:r>
      <w:r w:rsidR="00A008B4">
        <w:rPr>
          <w:rFonts w:ascii="Arial" w:hAnsi="Arial"/>
          <w:b w:val="0"/>
          <w:sz w:val="21"/>
          <w:szCs w:val="21"/>
          <w:lang w:val="it-IT" w:eastAsia="it-IT"/>
        </w:rPr>
        <w:t xml:space="preserve">degli acquisti </w:t>
      </w:r>
      <w:r w:rsidR="0099202C">
        <w:rPr>
          <w:rFonts w:ascii="Arial" w:hAnsi="Arial"/>
          <w:b w:val="0"/>
          <w:sz w:val="21"/>
          <w:szCs w:val="21"/>
          <w:lang w:val="it-IT" w:eastAsia="it-IT"/>
        </w:rPr>
        <w:t>di</w:t>
      </w:r>
      <w:r w:rsidR="00D73F64">
        <w:rPr>
          <w:rFonts w:ascii="Arial" w:hAnsi="Arial"/>
          <w:b w:val="0"/>
          <w:sz w:val="21"/>
          <w:szCs w:val="21"/>
          <w:lang w:val="it-IT" w:eastAsia="it-IT"/>
        </w:rPr>
        <w:t xml:space="preserve"> gas naturale da paesi OPEC e </w:t>
      </w:r>
      <w:r w:rsidR="00226A36">
        <w:rPr>
          <w:rFonts w:ascii="Arial" w:hAnsi="Arial"/>
          <w:b w:val="0"/>
          <w:sz w:val="21"/>
          <w:szCs w:val="21"/>
          <w:lang w:val="it-IT" w:eastAsia="it-IT"/>
        </w:rPr>
        <w:t xml:space="preserve">Stati Uniti </w:t>
      </w:r>
      <w:r w:rsidR="00A008B4">
        <w:rPr>
          <w:rFonts w:ascii="Arial" w:hAnsi="Arial"/>
          <w:b w:val="0"/>
          <w:sz w:val="21"/>
          <w:szCs w:val="21"/>
          <w:lang w:val="it-IT" w:eastAsia="it-IT"/>
        </w:rPr>
        <w:t xml:space="preserve">spiega per </w:t>
      </w:r>
      <w:r w:rsidR="00226A36">
        <w:rPr>
          <w:rFonts w:ascii="Arial" w:hAnsi="Arial"/>
          <w:b w:val="0"/>
          <w:sz w:val="21"/>
          <w:szCs w:val="21"/>
          <w:lang w:val="it-IT" w:eastAsia="it-IT"/>
        </w:rPr>
        <w:t>1,7</w:t>
      </w:r>
      <w:r w:rsidR="00D20204">
        <w:rPr>
          <w:rFonts w:ascii="Arial" w:hAnsi="Arial"/>
          <w:b w:val="0"/>
          <w:sz w:val="21"/>
          <w:szCs w:val="21"/>
          <w:lang w:val="it-IT" w:eastAsia="it-IT"/>
        </w:rPr>
        <w:t xml:space="preserve"> </w:t>
      </w:r>
      <w:r w:rsidR="00A25F09">
        <w:rPr>
          <w:rFonts w:ascii="Arial" w:hAnsi="Arial"/>
          <w:b w:val="0"/>
          <w:sz w:val="21"/>
          <w:szCs w:val="21"/>
          <w:lang w:val="it-IT" w:eastAsia="it-IT"/>
        </w:rPr>
        <w:t xml:space="preserve">punti percentuali la </w:t>
      </w:r>
      <w:r>
        <w:rPr>
          <w:rFonts w:ascii="Arial" w:hAnsi="Arial"/>
          <w:b w:val="0"/>
          <w:sz w:val="21"/>
          <w:szCs w:val="21"/>
          <w:lang w:val="it-IT" w:eastAsia="it-IT"/>
        </w:rPr>
        <w:t>flessione</w:t>
      </w:r>
      <w:r w:rsidR="009A3050">
        <w:rPr>
          <w:rFonts w:ascii="Arial" w:hAnsi="Arial"/>
          <w:b w:val="0"/>
          <w:sz w:val="21"/>
          <w:szCs w:val="21"/>
          <w:lang w:val="it-IT" w:eastAsia="it-IT"/>
        </w:rPr>
        <w:t xml:space="preserve"> </w:t>
      </w:r>
      <w:r w:rsidR="00A25F09">
        <w:rPr>
          <w:rFonts w:ascii="Arial" w:hAnsi="Arial"/>
          <w:b w:val="0"/>
          <w:sz w:val="21"/>
          <w:szCs w:val="21"/>
          <w:lang w:val="it-IT" w:eastAsia="it-IT"/>
        </w:rPr>
        <w:t xml:space="preserve">tendenziale dell’import. La riduzione </w:t>
      </w:r>
      <w:r w:rsidR="009A3050">
        <w:rPr>
          <w:rFonts w:ascii="Arial" w:hAnsi="Arial"/>
          <w:b w:val="0"/>
          <w:sz w:val="21"/>
          <w:szCs w:val="21"/>
          <w:lang w:val="it-IT" w:eastAsia="it-IT"/>
        </w:rPr>
        <w:t xml:space="preserve">delle importazioni di </w:t>
      </w:r>
      <w:r w:rsidR="00226A36">
        <w:rPr>
          <w:rFonts w:ascii="Arial" w:hAnsi="Arial"/>
          <w:b w:val="0"/>
          <w:sz w:val="21"/>
          <w:szCs w:val="21"/>
          <w:lang w:val="it-IT" w:eastAsia="it-IT"/>
        </w:rPr>
        <w:t xml:space="preserve">petrolio greggio e di coke e prodotti petroliferi raffinati dalla Russia </w:t>
      </w:r>
      <w:r w:rsidR="00A25F09">
        <w:rPr>
          <w:rFonts w:ascii="Arial" w:hAnsi="Arial"/>
          <w:b w:val="0"/>
          <w:sz w:val="21"/>
          <w:szCs w:val="21"/>
          <w:lang w:val="it-IT" w:eastAsia="it-IT"/>
        </w:rPr>
        <w:t xml:space="preserve">fornisce un ulteriore contributo negativo di </w:t>
      </w:r>
      <w:r w:rsidR="00226A36">
        <w:rPr>
          <w:rFonts w:ascii="Arial" w:hAnsi="Arial"/>
          <w:b w:val="0"/>
          <w:sz w:val="21"/>
          <w:szCs w:val="21"/>
          <w:lang w:val="it-IT" w:eastAsia="it-IT"/>
        </w:rPr>
        <w:t>1,6</w:t>
      </w:r>
      <w:r w:rsidR="0029019A">
        <w:rPr>
          <w:rFonts w:ascii="Arial" w:hAnsi="Arial"/>
          <w:b w:val="0"/>
          <w:sz w:val="21"/>
          <w:szCs w:val="21"/>
          <w:lang w:val="it-IT" w:eastAsia="it-IT"/>
        </w:rPr>
        <w:t xml:space="preserve"> punti</w:t>
      </w:r>
      <w:r w:rsidR="0029019A" w:rsidRPr="0029019A">
        <w:rPr>
          <w:rFonts w:ascii="Arial" w:hAnsi="Arial"/>
          <w:b w:val="0"/>
          <w:sz w:val="21"/>
          <w:szCs w:val="21"/>
          <w:lang w:val="it-IT" w:eastAsia="it-IT"/>
        </w:rPr>
        <w:t>.</w:t>
      </w:r>
      <w:r>
        <w:rPr>
          <w:rFonts w:ascii="Arial" w:hAnsi="Arial"/>
          <w:b w:val="0"/>
          <w:sz w:val="21"/>
          <w:szCs w:val="21"/>
          <w:lang w:val="it-IT" w:eastAsia="it-IT"/>
        </w:rPr>
        <w:t xml:space="preserve"> Per contro, l’aumento </w:t>
      </w:r>
      <w:r w:rsidR="0009086B">
        <w:rPr>
          <w:rFonts w:ascii="Arial" w:hAnsi="Arial"/>
          <w:b w:val="0"/>
          <w:sz w:val="21"/>
          <w:szCs w:val="21"/>
          <w:lang w:val="it-IT" w:eastAsia="it-IT"/>
        </w:rPr>
        <w:t>degli acquisti di</w:t>
      </w:r>
      <w:r w:rsidR="00226A36">
        <w:rPr>
          <w:rFonts w:ascii="Arial" w:hAnsi="Arial"/>
          <w:b w:val="0"/>
          <w:sz w:val="21"/>
          <w:szCs w:val="21"/>
          <w:lang w:val="it-IT" w:eastAsia="it-IT"/>
        </w:rPr>
        <w:t xml:space="preserve"> petrolio greggio da Stati Uniti e paesi OPEC </w:t>
      </w:r>
      <w:r w:rsidR="0009086B">
        <w:rPr>
          <w:rFonts w:ascii="Arial" w:hAnsi="Arial"/>
          <w:b w:val="0"/>
          <w:sz w:val="21"/>
          <w:szCs w:val="21"/>
          <w:lang w:val="it-IT" w:eastAsia="it-IT"/>
        </w:rPr>
        <w:t xml:space="preserve">apporta un contributo positivo </w:t>
      </w:r>
      <w:r w:rsidR="00226A36">
        <w:rPr>
          <w:rFonts w:ascii="Arial" w:hAnsi="Arial"/>
          <w:b w:val="0"/>
          <w:sz w:val="21"/>
          <w:szCs w:val="21"/>
          <w:lang w:val="it-IT" w:eastAsia="it-IT"/>
        </w:rPr>
        <w:t xml:space="preserve">di 0,9 </w:t>
      </w:r>
      <w:r w:rsidR="0009086B">
        <w:rPr>
          <w:rFonts w:ascii="Arial" w:hAnsi="Arial"/>
          <w:b w:val="0"/>
          <w:sz w:val="21"/>
          <w:szCs w:val="21"/>
          <w:lang w:val="it-IT" w:eastAsia="it-IT"/>
        </w:rPr>
        <w:t>punti percentuali</w:t>
      </w:r>
      <w:r w:rsidR="00226A36">
        <w:rPr>
          <w:rFonts w:ascii="Arial" w:hAnsi="Arial"/>
          <w:b w:val="0"/>
          <w:sz w:val="21"/>
          <w:szCs w:val="21"/>
          <w:lang w:val="it-IT" w:eastAsia="it-IT"/>
        </w:rPr>
        <w:t>; un ulteriore contributo positivo di 0,7 punti deriva dai maggiori acquisti di autoveicoli da Germania e Francia.</w:t>
      </w:r>
    </w:p>
    <w:p w14:paraId="6F1EB969" w14:textId="77777777" w:rsidR="0075218A" w:rsidRDefault="0075218A" w:rsidP="00B83BC7">
      <w:pPr>
        <w:pStyle w:val="Corpotesto1"/>
        <w:rPr>
          <w:rFonts w:ascii="Arial" w:hAnsi="Arial"/>
          <w:b w:val="0"/>
          <w:sz w:val="21"/>
          <w:szCs w:val="21"/>
          <w:lang w:val="it-IT" w:eastAsia="it-IT"/>
        </w:rPr>
      </w:pPr>
    </w:p>
    <w:p w14:paraId="08BBD600" w14:textId="77777777" w:rsidR="00AA206D" w:rsidRPr="00F458B0" w:rsidRDefault="00AA206D" w:rsidP="00B83BC7">
      <w:pPr>
        <w:pStyle w:val="Corpotesto1"/>
        <w:rPr>
          <w:rFonts w:ascii="Arial" w:hAnsi="Arial"/>
          <w:b w:val="0"/>
          <w:sz w:val="14"/>
          <w:szCs w:val="21"/>
          <w:lang w:val="it-IT" w:eastAsia="it-IT"/>
        </w:rPr>
      </w:pPr>
    </w:p>
    <w:p w14:paraId="290D845C" w14:textId="77777777" w:rsidR="00833A77" w:rsidRPr="00D078CE" w:rsidRDefault="002B3BA3" w:rsidP="00D422DA">
      <w:pPr>
        <w:pStyle w:val="001TitoloBolocco"/>
        <w:spacing w:after="100" w:line="240" w:lineRule="auto"/>
      </w:pPr>
      <w:r>
        <w:lastRenderedPageBreak/>
        <w:t>VALORI MEDI UNITA</w:t>
      </w:r>
      <w:r w:rsidR="006F2133">
        <w:t>RI E VOLUMI ALL’EXPORT E ALL’IMPORT</w:t>
      </w:r>
    </w:p>
    <w:p w14:paraId="069B8668" w14:textId="4592BA1F" w:rsidR="006F2133" w:rsidRDefault="006F2133" w:rsidP="006F2133">
      <w:pPr>
        <w:pStyle w:val="Corpodeltesto1"/>
        <w:spacing w:after="120"/>
        <w:jc w:val="left"/>
        <w:rPr>
          <w:rFonts w:ascii="Arial Narrow" w:hAnsi="Arial Narrow" w:cs="Arial"/>
          <w:b w:val="0"/>
          <w:color w:val="5F5F5F"/>
          <w:kern w:val="28"/>
          <w:sz w:val="20"/>
          <w:szCs w:val="20"/>
        </w:rPr>
      </w:pPr>
      <w:r w:rsidRPr="006F2133">
        <w:rPr>
          <w:rFonts w:ascii="Arial Narrow" w:hAnsi="Arial Narrow" w:cs="Arial"/>
          <w:color w:val="E42618"/>
          <w:kern w:val="28"/>
          <w:sz w:val="22"/>
          <w:szCs w:val="22"/>
        </w:rPr>
        <w:t xml:space="preserve">FIGURA </w:t>
      </w:r>
      <w:r w:rsidR="00B145A1">
        <w:rPr>
          <w:rFonts w:ascii="Arial Narrow" w:hAnsi="Arial Narrow" w:cs="Arial"/>
          <w:color w:val="E42618"/>
          <w:kern w:val="28"/>
          <w:sz w:val="22"/>
          <w:szCs w:val="22"/>
        </w:rPr>
        <w:t>10</w:t>
      </w:r>
      <w:r w:rsidRPr="006F2133">
        <w:rPr>
          <w:rFonts w:ascii="Arial Narrow" w:hAnsi="Arial Narrow" w:cs="Arial"/>
          <w:color w:val="E42618"/>
          <w:kern w:val="28"/>
          <w:sz w:val="22"/>
          <w:szCs w:val="22"/>
        </w:rPr>
        <w:t xml:space="preserve">. </w:t>
      </w:r>
      <w:r w:rsidRPr="006F2133">
        <w:rPr>
          <w:rFonts w:ascii="Arial Narrow" w:hAnsi="Arial Narrow" w:cs="Arial"/>
          <w:color w:val="5F5F5F"/>
          <w:kern w:val="28"/>
          <w:sz w:val="22"/>
          <w:szCs w:val="22"/>
        </w:rPr>
        <w:t>VALORI MEDI UNITARI E VOLUMI</w:t>
      </w:r>
      <w:r w:rsidR="00147CB5">
        <w:rPr>
          <w:rFonts w:ascii="Arial Narrow" w:hAnsi="Arial Narrow" w:cs="Arial"/>
          <w:color w:val="5F5F5F"/>
          <w:kern w:val="28"/>
          <w:sz w:val="22"/>
          <w:szCs w:val="22"/>
        </w:rPr>
        <w:t xml:space="preserve"> </w:t>
      </w:r>
      <w:r>
        <w:rPr>
          <w:rFonts w:ascii="Arial Narrow" w:hAnsi="Arial Narrow" w:cs="Arial"/>
          <w:b w:val="0"/>
          <w:bCs/>
          <w:sz w:val="19"/>
          <w:szCs w:val="19"/>
        </w:rPr>
        <w:br/>
      </w:r>
      <w:r w:rsidR="00403189" w:rsidRPr="00367843">
        <w:rPr>
          <w:rFonts w:ascii="Arial Narrow" w:hAnsi="Arial Narrow" w:cs="Arial"/>
          <w:b w:val="0"/>
          <w:color w:val="5F5F5F"/>
          <w:kern w:val="28"/>
          <w:sz w:val="20"/>
          <w:szCs w:val="20"/>
        </w:rPr>
        <w:t>Gennaio 201</w:t>
      </w:r>
      <w:r w:rsidR="00030313">
        <w:rPr>
          <w:rFonts w:ascii="Arial Narrow" w:hAnsi="Arial Narrow" w:cs="Arial"/>
          <w:b w:val="0"/>
          <w:color w:val="5F5F5F"/>
          <w:kern w:val="28"/>
          <w:sz w:val="20"/>
          <w:szCs w:val="20"/>
        </w:rPr>
        <w:t>9</w:t>
      </w:r>
      <w:r w:rsidR="00784638">
        <w:rPr>
          <w:rFonts w:ascii="Arial Narrow" w:hAnsi="Arial Narrow" w:cs="Arial"/>
          <w:b w:val="0"/>
          <w:color w:val="5F5F5F"/>
          <w:kern w:val="28"/>
          <w:sz w:val="20"/>
          <w:szCs w:val="20"/>
        </w:rPr>
        <w:t xml:space="preserve"> </w:t>
      </w:r>
      <w:r w:rsidR="00024474">
        <w:rPr>
          <w:rFonts w:ascii="Arial Narrow" w:hAnsi="Arial Narrow" w:cs="Arial"/>
          <w:b w:val="0"/>
          <w:color w:val="5F5F5F"/>
          <w:kern w:val="28"/>
          <w:sz w:val="20"/>
          <w:szCs w:val="20"/>
        </w:rPr>
        <w:t>–</w:t>
      </w:r>
      <w:r w:rsidR="00EA029A" w:rsidRPr="00EA029A">
        <w:t xml:space="preserve"> </w:t>
      </w:r>
      <w:r w:rsidR="00E52CA6">
        <w:rPr>
          <w:rFonts w:ascii="Arial Narrow" w:hAnsi="Arial Narrow" w:cs="Arial"/>
          <w:b w:val="0"/>
          <w:color w:val="5F5F5F"/>
          <w:kern w:val="28"/>
          <w:sz w:val="20"/>
          <w:szCs w:val="20"/>
        </w:rPr>
        <w:t>ottobre</w:t>
      </w:r>
      <w:r w:rsidR="00EA029A" w:rsidRPr="00EA029A">
        <w:rPr>
          <w:rFonts w:ascii="Arial Narrow" w:hAnsi="Arial Narrow" w:cs="Arial"/>
          <w:b w:val="0"/>
          <w:color w:val="5F5F5F"/>
          <w:kern w:val="28"/>
          <w:sz w:val="20"/>
          <w:szCs w:val="20"/>
        </w:rPr>
        <w:t xml:space="preserve"> </w:t>
      </w:r>
      <w:r w:rsidR="00030313">
        <w:rPr>
          <w:rFonts w:ascii="Arial Narrow" w:hAnsi="Arial Narrow" w:cs="Arial"/>
          <w:b w:val="0"/>
          <w:color w:val="5F5F5F"/>
          <w:kern w:val="28"/>
          <w:sz w:val="20"/>
          <w:szCs w:val="20"/>
        </w:rPr>
        <w:t>2023</w:t>
      </w:r>
      <w:r w:rsidR="00403189" w:rsidRPr="00367843">
        <w:rPr>
          <w:rFonts w:ascii="Arial Narrow" w:hAnsi="Arial Narrow" w:cs="Arial"/>
          <w:b w:val="0"/>
          <w:color w:val="5F5F5F"/>
          <w:kern w:val="28"/>
          <w:sz w:val="20"/>
          <w:szCs w:val="20"/>
        </w:rPr>
        <w:t xml:space="preserve">, variazioni percentuali </w:t>
      </w:r>
      <w:r w:rsidR="00147CB5" w:rsidRPr="00367843">
        <w:rPr>
          <w:rFonts w:ascii="Arial Narrow" w:hAnsi="Arial Narrow" w:cs="Arial"/>
          <w:b w:val="0"/>
          <w:color w:val="5F5F5F"/>
          <w:kern w:val="28"/>
          <w:sz w:val="20"/>
          <w:szCs w:val="20"/>
        </w:rPr>
        <w:t xml:space="preserve">tendenziali </w:t>
      </w:r>
      <w:r w:rsidR="00403189" w:rsidRPr="00367843">
        <w:rPr>
          <w:rFonts w:ascii="Arial Narrow" w:hAnsi="Arial Narrow" w:cs="Arial"/>
          <w:b w:val="0"/>
          <w:color w:val="5F5F5F"/>
          <w:kern w:val="28"/>
          <w:sz w:val="20"/>
          <w:szCs w:val="20"/>
        </w:rPr>
        <w:t>(</w:t>
      </w:r>
      <w:r w:rsidR="00B145A1" w:rsidRPr="00367843">
        <w:rPr>
          <w:rFonts w:ascii="Arial Narrow" w:hAnsi="Arial Narrow" w:cs="Arial"/>
          <w:b w:val="0"/>
          <w:color w:val="5F5F5F"/>
          <w:kern w:val="28"/>
          <w:sz w:val="20"/>
          <w:szCs w:val="20"/>
        </w:rPr>
        <w:t>base 2015</w:t>
      </w:r>
      <w:r w:rsidRPr="00367843">
        <w:rPr>
          <w:rFonts w:ascii="Arial Narrow" w:hAnsi="Arial Narrow" w:cs="Arial"/>
          <w:b w:val="0"/>
          <w:color w:val="5F5F5F"/>
          <w:kern w:val="28"/>
          <w:sz w:val="20"/>
          <w:szCs w:val="20"/>
        </w:rPr>
        <w:t>=100</w:t>
      </w:r>
      <w:r w:rsidR="00403189" w:rsidRPr="00367843">
        <w:rPr>
          <w:rFonts w:ascii="Arial Narrow" w:hAnsi="Arial Narrow" w:cs="Arial"/>
          <w:b w:val="0"/>
          <w:color w:val="5F5F5F"/>
          <w:kern w:val="28"/>
          <w:sz w:val="20"/>
          <w:szCs w:val="20"/>
        </w:rPr>
        <w:t>)</w:t>
      </w:r>
    </w:p>
    <w:p w14:paraId="177FF41D" w14:textId="0F8F3187" w:rsidR="00403189" w:rsidRDefault="00F458B0" w:rsidP="00975B97">
      <w:pPr>
        <w:pStyle w:val="Corpodeltesto1"/>
        <w:spacing w:after="160"/>
        <w:jc w:val="left"/>
        <w:rPr>
          <w:rFonts w:ascii="Arial Narrow" w:hAnsi="Arial Narrow" w:cs="Arial"/>
          <w:b w:val="0"/>
          <w:color w:val="5F5F5F"/>
          <w:kern w:val="28"/>
          <w:sz w:val="20"/>
          <w:szCs w:val="20"/>
        </w:rPr>
      </w:pPr>
      <w:r>
        <w:rPr>
          <w:noProof/>
        </w:rPr>
        <w:drawing>
          <wp:inline distT="0" distB="0" distL="0" distR="0" wp14:anchorId="036BB7ED" wp14:editId="3A46B33D">
            <wp:extent cx="3168000" cy="2088000"/>
            <wp:effectExtent l="0" t="0" r="0" b="7620"/>
            <wp:docPr id="34" name="Gra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noProof/>
        </w:rPr>
        <w:drawing>
          <wp:inline distT="0" distB="0" distL="0" distR="0" wp14:anchorId="62E31E8C" wp14:editId="6105BE93">
            <wp:extent cx="3150000" cy="2088000"/>
            <wp:effectExtent l="0" t="0" r="0" b="7620"/>
            <wp:docPr id="35" name="Gra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2C4B615" w14:textId="11C7B22C" w:rsidR="00740689" w:rsidRPr="007C052D" w:rsidRDefault="004133BF" w:rsidP="00740689">
      <w:pPr>
        <w:pStyle w:val="Corpotesto1"/>
        <w:spacing w:before="40" w:after="140"/>
        <w:rPr>
          <w:rFonts w:ascii="Arial" w:hAnsi="Arial"/>
          <w:b w:val="0"/>
          <w:kern w:val="28"/>
          <w:sz w:val="21"/>
          <w:szCs w:val="21"/>
          <w:lang w:val="it-IT" w:eastAsia="it-IT"/>
        </w:rPr>
      </w:pPr>
      <w:r w:rsidRPr="0035781B">
        <w:rPr>
          <w:rFonts w:ascii="Arial" w:hAnsi="Arial"/>
          <w:b w:val="0"/>
          <w:kern w:val="28"/>
          <w:sz w:val="21"/>
          <w:szCs w:val="21"/>
          <w:lang w:val="it-IT" w:eastAsia="it-IT"/>
        </w:rPr>
        <w:t>A</w:t>
      </w:r>
      <w:r w:rsidR="004164AB">
        <w:rPr>
          <w:rFonts w:ascii="Arial" w:hAnsi="Arial"/>
          <w:b w:val="0"/>
          <w:kern w:val="28"/>
          <w:sz w:val="21"/>
          <w:szCs w:val="21"/>
          <w:lang w:val="it-IT" w:eastAsia="it-IT"/>
        </w:rPr>
        <w:t xml:space="preserve"> </w:t>
      </w:r>
      <w:r w:rsidR="00226A36">
        <w:rPr>
          <w:rFonts w:ascii="Arial" w:hAnsi="Arial"/>
          <w:b w:val="0"/>
          <w:kern w:val="28"/>
          <w:sz w:val="21"/>
          <w:szCs w:val="21"/>
          <w:lang w:val="it-IT" w:eastAsia="it-IT"/>
        </w:rPr>
        <w:t xml:space="preserve">ottobre </w:t>
      </w:r>
      <w:r w:rsidR="000724FA">
        <w:rPr>
          <w:rFonts w:ascii="Arial" w:hAnsi="Arial"/>
          <w:b w:val="0"/>
          <w:kern w:val="28"/>
          <w:sz w:val="21"/>
          <w:szCs w:val="21"/>
          <w:lang w:val="it-IT" w:eastAsia="it-IT"/>
        </w:rPr>
        <w:t>2023</w:t>
      </w:r>
      <w:r w:rsidRPr="0035781B">
        <w:rPr>
          <w:rFonts w:ascii="Arial" w:hAnsi="Arial"/>
          <w:b w:val="0"/>
          <w:kern w:val="28"/>
          <w:sz w:val="21"/>
          <w:szCs w:val="21"/>
          <w:lang w:val="it-IT" w:eastAsia="it-IT"/>
        </w:rPr>
        <w:t xml:space="preserve">, </w:t>
      </w:r>
      <w:r w:rsidR="000D527A">
        <w:rPr>
          <w:rFonts w:ascii="Arial" w:hAnsi="Arial"/>
          <w:b w:val="0"/>
          <w:kern w:val="28"/>
          <w:sz w:val="21"/>
          <w:szCs w:val="21"/>
          <w:lang w:val="it-IT" w:eastAsia="it-IT"/>
        </w:rPr>
        <w:t xml:space="preserve">si rileva una </w:t>
      </w:r>
      <w:r w:rsidR="004164AB">
        <w:rPr>
          <w:rFonts w:ascii="Arial" w:hAnsi="Arial"/>
          <w:b w:val="0"/>
          <w:kern w:val="28"/>
          <w:sz w:val="21"/>
          <w:szCs w:val="21"/>
          <w:lang w:val="it-IT" w:eastAsia="it-IT"/>
        </w:rPr>
        <w:t>crescita</w:t>
      </w:r>
      <w:r w:rsidR="000D527A">
        <w:rPr>
          <w:rFonts w:ascii="Arial" w:hAnsi="Arial"/>
          <w:b w:val="0"/>
          <w:kern w:val="28"/>
          <w:sz w:val="21"/>
          <w:szCs w:val="21"/>
          <w:lang w:val="it-IT" w:eastAsia="it-IT"/>
        </w:rPr>
        <w:t xml:space="preserve"> su base annua dei</w:t>
      </w:r>
      <w:r w:rsidR="000724FA">
        <w:rPr>
          <w:rFonts w:ascii="Arial" w:hAnsi="Arial"/>
          <w:b w:val="0"/>
          <w:kern w:val="28"/>
          <w:sz w:val="21"/>
          <w:szCs w:val="21"/>
          <w:lang w:val="it-IT" w:eastAsia="it-IT"/>
        </w:rPr>
        <w:t xml:space="preserve"> valori medi unitari</w:t>
      </w:r>
      <w:r w:rsidR="00D73F64">
        <w:rPr>
          <w:rFonts w:ascii="Arial" w:hAnsi="Arial"/>
          <w:b w:val="0"/>
          <w:kern w:val="28"/>
          <w:sz w:val="21"/>
          <w:szCs w:val="21"/>
          <w:lang w:val="it-IT" w:eastAsia="it-IT"/>
        </w:rPr>
        <w:t xml:space="preserve"> </w:t>
      </w:r>
      <w:r w:rsidR="00961B57">
        <w:rPr>
          <w:rFonts w:ascii="Arial" w:hAnsi="Arial"/>
          <w:b w:val="0"/>
          <w:kern w:val="28"/>
          <w:sz w:val="21"/>
          <w:szCs w:val="21"/>
          <w:lang w:val="it-IT" w:eastAsia="it-IT"/>
        </w:rPr>
        <w:t>a</w:t>
      </w:r>
      <w:r w:rsidR="00194667" w:rsidRPr="0035781B">
        <w:rPr>
          <w:rFonts w:ascii="Arial" w:hAnsi="Arial"/>
          <w:b w:val="0"/>
          <w:kern w:val="28"/>
          <w:sz w:val="21"/>
          <w:szCs w:val="21"/>
          <w:lang w:val="it-IT" w:eastAsia="it-IT"/>
        </w:rPr>
        <w:t>ll’export (</w:t>
      </w:r>
      <w:r w:rsidR="004164AB">
        <w:rPr>
          <w:rFonts w:ascii="Arial" w:hAnsi="Arial"/>
          <w:b w:val="0"/>
          <w:kern w:val="28"/>
          <w:sz w:val="21"/>
          <w:szCs w:val="21"/>
          <w:lang w:val="it-IT" w:eastAsia="it-IT"/>
        </w:rPr>
        <w:t>+</w:t>
      </w:r>
      <w:r w:rsidR="005B7FC3">
        <w:rPr>
          <w:rFonts w:ascii="Arial" w:hAnsi="Arial"/>
          <w:b w:val="0"/>
          <w:kern w:val="28"/>
          <w:sz w:val="21"/>
          <w:szCs w:val="21"/>
          <w:lang w:val="it-IT" w:eastAsia="it-IT"/>
        </w:rPr>
        <w:t>3</w:t>
      </w:r>
      <w:r w:rsidR="004164AB">
        <w:rPr>
          <w:rFonts w:ascii="Arial" w:hAnsi="Arial"/>
          <w:b w:val="0"/>
          <w:kern w:val="28"/>
          <w:sz w:val="21"/>
          <w:szCs w:val="21"/>
          <w:lang w:val="it-IT" w:eastAsia="it-IT"/>
        </w:rPr>
        <w:t>,3</w:t>
      </w:r>
      <w:r w:rsidR="0071048F">
        <w:rPr>
          <w:rFonts w:ascii="Arial" w:hAnsi="Arial"/>
          <w:b w:val="0"/>
          <w:kern w:val="28"/>
          <w:sz w:val="21"/>
          <w:szCs w:val="21"/>
          <w:lang w:val="it-IT" w:eastAsia="it-IT"/>
        </w:rPr>
        <w:t>%</w:t>
      </w:r>
      <w:r w:rsidR="000724FA">
        <w:rPr>
          <w:rFonts w:ascii="Arial" w:hAnsi="Arial"/>
          <w:b w:val="0"/>
          <w:kern w:val="28"/>
          <w:sz w:val="21"/>
          <w:szCs w:val="21"/>
          <w:lang w:val="it-IT" w:eastAsia="it-IT"/>
        </w:rPr>
        <w:t xml:space="preserve">) </w:t>
      </w:r>
      <w:r w:rsidR="004164AB">
        <w:rPr>
          <w:rFonts w:ascii="Arial" w:hAnsi="Arial"/>
          <w:b w:val="0"/>
          <w:kern w:val="28"/>
          <w:sz w:val="21"/>
          <w:szCs w:val="21"/>
          <w:lang w:val="it-IT" w:eastAsia="it-IT"/>
        </w:rPr>
        <w:t>e una flessione</w:t>
      </w:r>
      <w:r w:rsidR="00A331EE">
        <w:rPr>
          <w:rFonts w:ascii="Arial" w:hAnsi="Arial"/>
          <w:b w:val="0"/>
          <w:kern w:val="28"/>
          <w:sz w:val="21"/>
          <w:szCs w:val="21"/>
          <w:lang w:val="it-IT" w:eastAsia="it-IT"/>
        </w:rPr>
        <w:t xml:space="preserve"> ampia di quelli</w:t>
      </w:r>
      <w:r w:rsidR="00D73F64">
        <w:rPr>
          <w:rFonts w:ascii="Arial" w:hAnsi="Arial"/>
          <w:b w:val="0"/>
          <w:kern w:val="28"/>
          <w:sz w:val="21"/>
          <w:szCs w:val="21"/>
          <w:lang w:val="it-IT" w:eastAsia="it-IT"/>
        </w:rPr>
        <w:t xml:space="preserve"> </w:t>
      </w:r>
      <w:r w:rsidR="00961B57">
        <w:rPr>
          <w:rFonts w:ascii="Arial" w:hAnsi="Arial"/>
          <w:b w:val="0"/>
          <w:kern w:val="28"/>
          <w:sz w:val="21"/>
          <w:szCs w:val="21"/>
          <w:lang w:val="it-IT" w:eastAsia="it-IT"/>
        </w:rPr>
        <w:t>all’import</w:t>
      </w:r>
      <w:r w:rsidR="00194667" w:rsidRPr="0035781B">
        <w:rPr>
          <w:rFonts w:ascii="Arial" w:hAnsi="Arial"/>
          <w:b w:val="0"/>
          <w:kern w:val="28"/>
          <w:sz w:val="21"/>
          <w:szCs w:val="21"/>
          <w:lang w:val="it-IT" w:eastAsia="it-IT"/>
        </w:rPr>
        <w:t xml:space="preserve"> (</w:t>
      </w:r>
      <w:r w:rsidR="00961B57">
        <w:rPr>
          <w:rFonts w:ascii="Arial" w:hAnsi="Arial"/>
          <w:b w:val="0"/>
          <w:kern w:val="28"/>
          <w:sz w:val="21"/>
          <w:szCs w:val="21"/>
          <w:lang w:val="it-IT" w:eastAsia="it-IT"/>
        </w:rPr>
        <w:t>-</w:t>
      </w:r>
      <w:r w:rsidR="00A05D83">
        <w:rPr>
          <w:rFonts w:ascii="Arial" w:hAnsi="Arial"/>
          <w:b w:val="0"/>
          <w:kern w:val="28"/>
          <w:sz w:val="21"/>
          <w:szCs w:val="21"/>
          <w:lang w:val="it-IT" w:eastAsia="it-IT"/>
        </w:rPr>
        <w:t>1</w:t>
      </w:r>
      <w:r w:rsidR="005B7FC3">
        <w:rPr>
          <w:rFonts w:ascii="Arial" w:hAnsi="Arial"/>
          <w:b w:val="0"/>
          <w:kern w:val="28"/>
          <w:sz w:val="21"/>
          <w:szCs w:val="21"/>
          <w:lang w:val="it-IT" w:eastAsia="it-IT"/>
        </w:rPr>
        <w:t>1,5</w:t>
      </w:r>
      <w:r w:rsidR="00252584" w:rsidRPr="0035781B">
        <w:rPr>
          <w:rFonts w:ascii="Arial" w:hAnsi="Arial"/>
          <w:b w:val="0"/>
          <w:kern w:val="28"/>
          <w:sz w:val="21"/>
          <w:szCs w:val="21"/>
          <w:lang w:val="it-IT" w:eastAsia="it-IT"/>
        </w:rPr>
        <w:t>%</w:t>
      </w:r>
      <w:r w:rsidRPr="0035781B">
        <w:rPr>
          <w:rFonts w:ascii="Arial" w:hAnsi="Arial"/>
          <w:b w:val="0"/>
          <w:kern w:val="28"/>
          <w:sz w:val="21"/>
          <w:szCs w:val="21"/>
          <w:lang w:val="it-IT" w:eastAsia="it-IT"/>
        </w:rPr>
        <w:t xml:space="preserve">). </w:t>
      </w:r>
      <w:r w:rsidR="005B5B2F">
        <w:rPr>
          <w:rFonts w:ascii="Arial" w:hAnsi="Arial"/>
          <w:b w:val="0"/>
          <w:kern w:val="28"/>
          <w:sz w:val="21"/>
          <w:szCs w:val="21"/>
          <w:lang w:val="it-IT" w:eastAsia="it-IT"/>
        </w:rPr>
        <w:t xml:space="preserve">I </w:t>
      </w:r>
      <w:r w:rsidR="005056B9">
        <w:rPr>
          <w:rFonts w:ascii="Arial" w:hAnsi="Arial"/>
          <w:b w:val="0"/>
          <w:kern w:val="28"/>
          <w:sz w:val="21"/>
          <w:szCs w:val="21"/>
          <w:lang w:val="it-IT" w:eastAsia="it-IT"/>
        </w:rPr>
        <w:t xml:space="preserve">volumi scambiati si riducono </w:t>
      </w:r>
      <w:r w:rsidR="005B7FC3">
        <w:rPr>
          <w:rFonts w:ascii="Arial" w:hAnsi="Arial"/>
          <w:b w:val="0"/>
          <w:kern w:val="28"/>
          <w:sz w:val="21"/>
          <w:szCs w:val="21"/>
          <w:lang w:val="it-IT" w:eastAsia="it-IT"/>
        </w:rPr>
        <w:t xml:space="preserve">lievemente </w:t>
      </w:r>
      <w:r w:rsidR="00D73F64">
        <w:rPr>
          <w:rFonts w:ascii="Arial" w:hAnsi="Arial"/>
          <w:b w:val="0"/>
          <w:kern w:val="28"/>
          <w:sz w:val="21"/>
          <w:szCs w:val="21"/>
          <w:lang w:val="it-IT" w:eastAsia="it-IT"/>
        </w:rPr>
        <w:t xml:space="preserve">per </w:t>
      </w:r>
      <w:r w:rsidR="00961B57">
        <w:rPr>
          <w:rFonts w:ascii="Arial" w:hAnsi="Arial"/>
          <w:b w:val="0"/>
          <w:kern w:val="28"/>
          <w:sz w:val="21"/>
          <w:szCs w:val="21"/>
          <w:lang w:val="it-IT" w:eastAsia="it-IT"/>
        </w:rPr>
        <w:t>le esportazioni (</w:t>
      </w:r>
      <w:r w:rsidR="005056B9">
        <w:rPr>
          <w:rFonts w:ascii="Arial" w:hAnsi="Arial"/>
          <w:b w:val="0"/>
          <w:kern w:val="28"/>
          <w:sz w:val="21"/>
          <w:szCs w:val="21"/>
          <w:lang w:val="it-IT" w:eastAsia="it-IT"/>
        </w:rPr>
        <w:t>-</w:t>
      </w:r>
      <w:r w:rsidR="006A50F0">
        <w:rPr>
          <w:rFonts w:ascii="Arial" w:hAnsi="Arial"/>
          <w:b w:val="0"/>
          <w:kern w:val="28"/>
          <w:sz w:val="21"/>
          <w:szCs w:val="21"/>
          <w:lang w:val="it-IT" w:eastAsia="it-IT"/>
        </w:rPr>
        <w:t>0,4</w:t>
      </w:r>
      <w:r w:rsidR="00A331EE">
        <w:rPr>
          <w:rFonts w:ascii="Arial" w:hAnsi="Arial"/>
          <w:b w:val="0"/>
          <w:kern w:val="28"/>
          <w:sz w:val="21"/>
          <w:szCs w:val="21"/>
          <w:lang w:val="it-IT" w:eastAsia="it-IT"/>
        </w:rPr>
        <w:t>%)</w:t>
      </w:r>
      <w:r w:rsidR="005B7FC3">
        <w:rPr>
          <w:rFonts w:ascii="Arial" w:hAnsi="Arial"/>
          <w:b w:val="0"/>
          <w:kern w:val="28"/>
          <w:sz w:val="21"/>
          <w:szCs w:val="21"/>
          <w:lang w:val="it-IT" w:eastAsia="it-IT"/>
        </w:rPr>
        <w:t xml:space="preserve">, mentre crescono </w:t>
      </w:r>
      <w:r w:rsidR="003C082C">
        <w:rPr>
          <w:rFonts w:ascii="Arial" w:hAnsi="Arial"/>
          <w:b w:val="0"/>
          <w:kern w:val="28"/>
          <w:sz w:val="21"/>
          <w:szCs w:val="21"/>
          <w:lang w:val="it-IT" w:eastAsia="it-IT"/>
        </w:rPr>
        <w:t xml:space="preserve">per </w:t>
      </w:r>
      <w:r w:rsidR="00E45750">
        <w:rPr>
          <w:rFonts w:ascii="Arial" w:hAnsi="Arial"/>
          <w:b w:val="0"/>
          <w:kern w:val="28"/>
          <w:sz w:val="21"/>
          <w:szCs w:val="21"/>
          <w:lang w:val="it-IT" w:eastAsia="it-IT"/>
        </w:rPr>
        <w:t>le importazioni</w:t>
      </w:r>
      <w:r w:rsidR="00961B57">
        <w:rPr>
          <w:rFonts w:ascii="Arial" w:hAnsi="Arial"/>
          <w:b w:val="0"/>
          <w:kern w:val="28"/>
          <w:sz w:val="21"/>
          <w:szCs w:val="21"/>
          <w:lang w:val="it-IT" w:eastAsia="it-IT"/>
        </w:rPr>
        <w:t xml:space="preserve"> (</w:t>
      </w:r>
      <w:r w:rsidR="005B7FC3">
        <w:rPr>
          <w:rFonts w:ascii="Arial" w:hAnsi="Arial"/>
          <w:b w:val="0"/>
          <w:kern w:val="28"/>
          <w:sz w:val="21"/>
          <w:szCs w:val="21"/>
          <w:lang w:val="it-IT" w:eastAsia="it-IT"/>
        </w:rPr>
        <w:t>+2,6%</w:t>
      </w:r>
      <w:r w:rsidR="00961B57">
        <w:rPr>
          <w:rFonts w:ascii="Arial" w:hAnsi="Arial"/>
          <w:b w:val="0"/>
          <w:kern w:val="28"/>
          <w:sz w:val="21"/>
          <w:szCs w:val="21"/>
          <w:lang w:val="it-IT" w:eastAsia="it-IT"/>
        </w:rPr>
        <w:t>)</w:t>
      </w:r>
      <w:r w:rsidR="00D65709" w:rsidRPr="0035781B">
        <w:rPr>
          <w:rFonts w:ascii="Arial" w:hAnsi="Arial"/>
          <w:b w:val="0"/>
          <w:kern w:val="28"/>
          <w:sz w:val="21"/>
          <w:szCs w:val="21"/>
          <w:lang w:val="it-IT" w:eastAsia="it-IT"/>
        </w:rPr>
        <w:t>.</w:t>
      </w:r>
    </w:p>
    <w:p w14:paraId="6F8A0A49" w14:textId="2F09E5D6" w:rsidR="00A03714" w:rsidRPr="006304A5" w:rsidRDefault="00A03714" w:rsidP="009308ED">
      <w:pPr>
        <w:pStyle w:val="Corpodeltesto1"/>
        <w:spacing w:after="100"/>
        <w:jc w:val="left"/>
        <w:rPr>
          <w:rFonts w:ascii="Arial Narrow" w:hAnsi="Arial Narrow" w:cs="Arial"/>
          <w:b w:val="0"/>
          <w:bCs/>
          <w:sz w:val="19"/>
          <w:szCs w:val="19"/>
        </w:rPr>
      </w:pPr>
      <w:r w:rsidRPr="007C052D">
        <w:rPr>
          <w:rFonts w:ascii="Arial Narrow" w:hAnsi="Arial Narrow" w:cs="Arial"/>
          <w:color w:val="E42618"/>
          <w:kern w:val="28"/>
          <w:sz w:val="22"/>
          <w:szCs w:val="22"/>
        </w:rPr>
        <w:t xml:space="preserve">PROSPETTO 3. </w:t>
      </w:r>
      <w:r w:rsidRPr="007C052D">
        <w:rPr>
          <w:rFonts w:ascii="Arial Narrow" w:hAnsi="Arial Narrow" w:cs="Arial"/>
          <w:color w:val="5F5F5F"/>
          <w:kern w:val="28"/>
          <w:sz w:val="22"/>
          <w:szCs w:val="22"/>
        </w:rPr>
        <w:t>VALORI MEDI UNITARI E VOLUMI PER AREA UE</w:t>
      </w:r>
      <w:r w:rsidR="00C90F76" w:rsidRPr="007C052D">
        <w:rPr>
          <w:rFonts w:ascii="Arial Narrow" w:hAnsi="Arial Narrow" w:cs="Arial"/>
          <w:color w:val="5F5F5F"/>
          <w:kern w:val="28"/>
          <w:sz w:val="22"/>
          <w:szCs w:val="22"/>
        </w:rPr>
        <w:t>27</w:t>
      </w:r>
      <w:r w:rsidRPr="007C052D">
        <w:rPr>
          <w:rFonts w:ascii="Arial Narrow" w:hAnsi="Arial Narrow" w:cs="Arial"/>
          <w:color w:val="5F5F5F"/>
          <w:kern w:val="28"/>
          <w:sz w:val="22"/>
          <w:szCs w:val="22"/>
        </w:rPr>
        <w:t>, EXTRA UE</w:t>
      </w:r>
      <w:r w:rsidR="00C90F76" w:rsidRPr="007C052D">
        <w:rPr>
          <w:rFonts w:ascii="Arial Narrow" w:hAnsi="Arial Narrow" w:cs="Arial"/>
          <w:color w:val="5F5F5F"/>
          <w:kern w:val="28"/>
          <w:sz w:val="22"/>
          <w:szCs w:val="22"/>
        </w:rPr>
        <w:t>27</w:t>
      </w:r>
      <w:r w:rsidRPr="007C052D">
        <w:rPr>
          <w:rFonts w:ascii="Arial Narrow" w:hAnsi="Arial Narrow" w:cs="Arial"/>
          <w:color w:val="5F5F5F"/>
          <w:kern w:val="28"/>
          <w:sz w:val="22"/>
          <w:szCs w:val="22"/>
        </w:rPr>
        <w:t xml:space="preserve"> E MONDO</w:t>
      </w:r>
      <w:r w:rsidRPr="007C052D">
        <w:rPr>
          <w:rFonts w:ascii="Arial Narrow" w:hAnsi="Arial Narrow" w:cs="Arial Narrow"/>
          <w:color w:val="5F5F5F"/>
          <w:sz w:val="20"/>
        </w:rPr>
        <w:br/>
      </w:r>
      <w:r w:rsidR="00E52CA6" w:rsidRPr="00E52CA6">
        <w:rPr>
          <w:rFonts w:ascii="Arial Narrow" w:hAnsi="Arial Narrow" w:cs="Arial"/>
          <w:b w:val="0"/>
          <w:color w:val="5F5F5F"/>
          <w:kern w:val="28"/>
          <w:sz w:val="20"/>
          <w:szCs w:val="20"/>
        </w:rPr>
        <w:t xml:space="preserve">Ottobre </w:t>
      </w:r>
      <w:r w:rsidR="00030313">
        <w:rPr>
          <w:rFonts w:ascii="Arial Narrow" w:hAnsi="Arial Narrow" w:cs="Arial"/>
          <w:b w:val="0"/>
          <w:color w:val="5F5F5F"/>
          <w:kern w:val="28"/>
          <w:sz w:val="20"/>
          <w:szCs w:val="20"/>
        </w:rPr>
        <w:t>2023</w:t>
      </w:r>
      <w:r w:rsidRPr="007C052D">
        <w:rPr>
          <w:rFonts w:ascii="Arial Narrow" w:hAnsi="Arial Narrow" w:cs="Arial"/>
          <w:b w:val="0"/>
          <w:color w:val="5F5F5F"/>
          <w:kern w:val="28"/>
          <w:sz w:val="20"/>
          <w:szCs w:val="20"/>
        </w:rPr>
        <w:t xml:space="preserve">, </w:t>
      </w:r>
      <w:r w:rsidR="00C03605" w:rsidRPr="007C052D">
        <w:rPr>
          <w:rFonts w:ascii="Arial Narrow" w:hAnsi="Arial Narrow" w:cs="Arial"/>
          <w:b w:val="0"/>
          <w:color w:val="5F5F5F"/>
          <w:kern w:val="28"/>
          <w:sz w:val="20"/>
          <w:szCs w:val="20"/>
        </w:rPr>
        <w:t xml:space="preserve">variazioni percentuali </w:t>
      </w:r>
      <w:r w:rsidR="00147CB5" w:rsidRPr="007C052D">
        <w:rPr>
          <w:rFonts w:ascii="Arial Narrow" w:hAnsi="Arial Narrow" w:cs="Arial"/>
          <w:b w:val="0"/>
          <w:color w:val="5F5F5F"/>
          <w:kern w:val="28"/>
          <w:sz w:val="20"/>
          <w:szCs w:val="20"/>
        </w:rPr>
        <w:t xml:space="preserve">tendenziali </w:t>
      </w:r>
      <w:r w:rsidR="00C03605" w:rsidRPr="007C052D">
        <w:rPr>
          <w:rFonts w:ascii="Arial Narrow" w:hAnsi="Arial Narrow" w:cs="Arial"/>
          <w:b w:val="0"/>
          <w:color w:val="5F5F5F"/>
          <w:kern w:val="28"/>
          <w:sz w:val="20"/>
          <w:szCs w:val="20"/>
        </w:rPr>
        <w:t>(</w:t>
      </w:r>
      <w:r w:rsidR="00B145A1" w:rsidRPr="007C052D">
        <w:rPr>
          <w:rFonts w:ascii="Arial Narrow" w:hAnsi="Arial Narrow" w:cs="Arial"/>
          <w:b w:val="0"/>
          <w:color w:val="5F5F5F"/>
          <w:kern w:val="28"/>
          <w:sz w:val="20"/>
          <w:szCs w:val="20"/>
        </w:rPr>
        <w:t>base 2015</w:t>
      </w:r>
      <w:r w:rsidRPr="007C052D">
        <w:rPr>
          <w:rFonts w:ascii="Arial Narrow" w:hAnsi="Arial Narrow" w:cs="Arial"/>
          <w:b w:val="0"/>
          <w:color w:val="5F5F5F"/>
          <w:kern w:val="28"/>
          <w:sz w:val="20"/>
          <w:szCs w:val="20"/>
        </w:rPr>
        <w:t>=</w:t>
      </w:r>
      <w:r w:rsidRPr="00273960">
        <w:rPr>
          <w:rFonts w:ascii="Arial Narrow" w:hAnsi="Arial Narrow" w:cs="Arial"/>
          <w:b w:val="0"/>
          <w:color w:val="5F5F5F"/>
          <w:kern w:val="28"/>
          <w:sz w:val="20"/>
          <w:szCs w:val="20"/>
        </w:rPr>
        <w:t>100</w:t>
      </w:r>
      <w:r w:rsidR="00C03605" w:rsidRPr="00273960">
        <w:rPr>
          <w:rFonts w:ascii="Arial Narrow" w:hAnsi="Arial Narrow" w:cs="Arial"/>
          <w:b w:val="0"/>
          <w:color w:val="5F5F5F"/>
          <w:kern w:val="28"/>
          <w:sz w:val="20"/>
          <w:szCs w:val="20"/>
        </w:rPr>
        <w:t>)</w:t>
      </w:r>
    </w:p>
    <w:tbl>
      <w:tblPr>
        <w:tblW w:w="10206" w:type="dxa"/>
        <w:tblInd w:w="70" w:type="dxa"/>
        <w:tblLayout w:type="fixed"/>
        <w:tblCellMar>
          <w:left w:w="70" w:type="dxa"/>
          <w:right w:w="70" w:type="dxa"/>
        </w:tblCellMar>
        <w:tblLook w:val="0000" w:firstRow="0" w:lastRow="0" w:firstColumn="0" w:lastColumn="0" w:noHBand="0" w:noVBand="0"/>
      </w:tblPr>
      <w:tblGrid>
        <w:gridCol w:w="1647"/>
        <w:gridCol w:w="823"/>
        <w:gridCol w:w="1316"/>
        <w:gridCol w:w="823"/>
        <w:gridCol w:w="1317"/>
        <w:gridCol w:w="823"/>
        <w:gridCol w:w="1317"/>
        <w:gridCol w:w="823"/>
        <w:gridCol w:w="1317"/>
      </w:tblGrid>
      <w:tr w:rsidR="00582F91" w:rsidRPr="006304A5" w14:paraId="2DC8D533" w14:textId="77777777" w:rsidTr="00C75CFA">
        <w:trPr>
          <w:trHeight w:val="255"/>
        </w:trPr>
        <w:tc>
          <w:tcPr>
            <w:tcW w:w="1647" w:type="dxa"/>
            <w:vMerge w:val="restart"/>
            <w:tcBorders>
              <w:top w:val="single" w:sz="4" w:space="0" w:color="auto"/>
              <w:left w:val="nil"/>
              <w:right w:val="nil"/>
            </w:tcBorders>
            <w:noWrap/>
            <w:vAlign w:val="center"/>
          </w:tcPr>
          <w:p w14:paraId="1DB97760" w14:textId="77777777" w:rsidR="00582F91" w:rsidRDefault="00582F91" w:rsidP="00C75CFA">
            <w:pPr>
              <w:spacing w:before="40" w:after="20"/>
              <w:jc w:val="center"/>
              <w:rPr>
                <w:rFonts w:ascii="Arial Narrow" w:hAnsi="Arial Narrow" w:cs="Arial"/>
                <w:b/>
                <w:sz w:val="18"/>
                <w:szCs w:val="18"/>
              </w:rPr>
            </w:pPr>
            <w:r w:rsidRPr="006304A5">
              <w:rPr>
                <w:rFonts w:ascii="Arial Narrow" w:hAnsi="Arial Narrow" w:cs="Arial"/>
                <w:b/>
                <w:sz w:val="18"/>
                <w:szCs w:val="18"/>
              </w:rPr>
              <w:t xml:space="preserve">PRINCIPALI AREE </w:t>
            </w:r>
          </w:p>
          <w:p w14:paraId="6F25643B" w14:textId="77777777" w:rsidR="00582F91" w:rsidRPr="006304A5" w:rsidRDefault="00582F91" w:rsidP="00C75CFA">
            <w:pPr>
              <w:spacing w:before="40" w:after="20"/>
              <w:jc w:val="center"/>
              <w:rPr>
                <w:rFonts w:ascii="Arial Narrow" w:hAnsi="Arial Narrow" w:cs="Arial"/>
                <w:b/>
                <w:sz w:val="18"/>
                <w:szCs w:val="18"/>
              </w:rPr>
            </w:pPr>
            <w:r w:rsidRPr="006304A5">
              <w:rPr>
                <w:rFonts w:ascii="Arial Narrow" w:hAnsi="Arial Narrow" w:cs="Arial"/>
                <w:b/>
                <w:sz w:val="18"/>
                <w:szCs w:val="18"/>
              </w:rPr>
              <w:t>DI INTERSCAMBIO</w:t>
            </w:r>
          </w:p>
        </w:tc>
        <w:tc>
          <w:tcPr>
            <w:tcW w:w="4279" w:type="dxa"/>
            <w:gridSpan w:val="4"/>
            <w:tcBorders>
              <w:top w:val="single" w:sz="4" w:space="0" w:color="auto"/>
              <w:left w:val="nil"/>
              <w:bottom w:val="single" w:sz="4" w:space="0" w:color="auto"/>
              <w:right w:val="nil"/>
            </w:tcBorders>
            <w:shd w:val="clear" w:color="auto" w:fill="D9D9D9"/>
            <w:noWrap/>
            <w:vAlign w:val="center"/>
          </w:tcPr>
          <w:p w14:paraId="08831AC8" w14:textId="77777777" w:rsidR="00582F91" w:rsidRPr="006304A5" w:rsidRDefault="00582F91" w:rsidP="00C75CFA">
            <w:pPr>
              <w:spacing w:before="40" w:after="20"/>
              <w:jc w:val="center"/>
              <w:rPr>
                <w:rFonts w:ascii="Arial Narrow" w:hAnsi="Arial Narrow"/>
                <w:b/>
                <w:bCs/>
                <w:sz w:val="18"/>
                <w:szCs w:val="18"/>
              </w:rPr>
            </w:pPr>
            <w:r w:rsidRPr="006304A5">
              <w:rPr>
                <w:rFonts w:ascii="Arial Narrow" w:hAnsi="Arial Narrow" w:cs="Arial"/>
                <w:b/>
                <w:bCs/>
                <w:sz w:val="18"/>
                <w:szCs w:val="18"/>
              </w:rPr>
              <w:t>VALORI MEDI UNITARI</w:t>
            </w:r>
          </w:p>
        </w:tc>
        <w:tc>
          <w:tcPr>
            <w:tcW w:w="4280" w:type="dxa"/>
            <w:gridSpan w:val="4"/>
            <w:tcBorders>
              <w:top w:val="single" w:sz="4" w:space="0" w:color="auto"/>
              <w:left w:val="nil"/>
              <w:bottom w:val="single" w:sz="4" w:space="0" w:color="auto"/>
              <w:right w:val="nil"/>
            </w:tcBorders>
            <w:shd w:val="clear" w:color="auto" w:fill="auto"/>
            <w:noWrap/>
            <w:vAlign w:val="center"/>
          </w:tcPr>
          <w:p w14:paraId="28A71B23" w14:textId="77777777" w:rsidR="00582F91" w:rsidRPr="006304A5" w:rsidRDefault="00582F91" w:rsidP="00C75CFA">
            <w:pPr>
              <w:spacing w:before="40" w:after="20"/>
              <w:jc w:val="center"/>
              <w:rPr>
                <w:rFonts w:ascii="Arial Narrow" w:hAnsi="Arial Narrow"/>
                <w:b/>
                <w:bCs/>
                <w:sz w:val="18"/>
                <w:szCs w:val="18"/>
              </w:rPr>
            </w:pPr>
            <w:r w:rsidRPr="006304A5">
              <w:rPr>
                <w:rFonts w:ascii="Arial Narrow" w:hAnsi="Arial Narrow" w:cs="Arial"/>
                <w:b/>
                <w:bCs/>
                <w:sz w:val="18"/>
                <w:szCs w:val="18"/>
              </w:rPr>
              <w:t>VOLUMI</w:t>
            </w:r>
          </w:p>
        </w:tc>
      </w:tr>
      <w:tr w:rsidR="00582F91" w:rsidRPr="006304A5" w14:paraId="0A7F1F46" w14:textId="77777777" w:rsidTr="00C75CFA">
        <w:trPr>
          <w:trHeight w:val="255"/>
        </w:trPr>
        <w:tc>
          <w:tcPr>
            <w:tcW w:w="1647" w:type="dxa"/>
            <w:vMerge/>
            <w:tcBorders>
              <w:left w:val="nil"/>
              <w:right w:val="nil"/>
            </w:tcBorders>
            <w:noWrap/>
            <w:vAlign w:val="bottom"/>
          </w:tcPr>
          <w:p w14:paraId="0CA7C3F2" w14:textId="77777777" w:rsidR="00582F91" w:rsidRPr="006304A5" w:rsidRDefault="00582F91" w:rsidP="00C75CFA">
            <w:pPr>
              <w:spacing w:before="40" w:after="20"/>
              <w:rPr>
                <w:rFonts w:ascii="Arial Narrow" w:hAnsi="Arial Narrow" w:cs="Arial"/>
                <w:sz w:val="18"/>
                <w:szCs w:val="18"/>
              </w:rPr>
            </w:pPr>
          </w:p>
        </w:tc>
        <w:tc>
          <w:tcPr>
            <w:tcW w:w="2139" w:type="dxa"/>
            <w:gridSpan w:val="2"/>
            <w:tcBorders>
              <w:top w:val="single" w:sz="4" w:space="0" w:color="auto"/>
              <w:left w:val="nil"/>
              <w:bottom w:val="single" w:sz="4" w:space="0" w:color="auto"/>
              <w:right w:val="nil"/>
            </w:tcBorders>
            <w:shd w:val="clear" w:color="auto" w:fill="D9D9D9"/>
            <w:vAlign w:val="center"/>
          </w:tcPr>
          <w:p w14:paraId="1B14DA28" w14:textId="77777777" w:rsidR="00582F91" w:rsidRPr="0063317A" w:rsidRDefault="00582F91" w:rsidP="00C75CFA">
            <w:pPr>
              <w:spacing w:before="40" w:after="20"/>
              <w:jc w:val="center"/>
              <w:rPr>
                <w:rFonts w:ascii="Arial Narrow" w:hAnsi="Arial Narrow" w:cs="Arial"/>
                <w:b/>
                <w:bCs/>
                <w:sz w:val="18"/>
                <w:szCs w:val="18"/>
              </w:rPr>
            </w:pPr>
            <w:r w:rsidRPr="0063317A">
              <w:rPr>
                <w:rFonts w:ascii="Arial Narrow" w:hAnsi="Arial Narrow" w:cs="Arial"/>
                <w:b/>
                <w:bCs/>
                <w:sz w:val="18"/>
                <w:szCs w:val="18"/>
              </w:rPr>
              <w:t>Esportazioni</w:t>
            </w:r>
          </w:p>
        </w:tc>
        <w:tc>
          <w:tcPr>
            <w:tcW w:w="2140" w:type="dxa"/>
            <w:gridSpan w:val="2"/>
            <w:tcBorders>
              <w:top w:val="single" w:sz="4" w:space="0" w:color="auto"/>
              <w:left w:val="nil"/>
              <w:bottom w:val="single" w:sz="4" w:space="0" w:color="auto"/>
              <w:right w:val="nil"/>
            </w:tcBorders>
            <w:vAlign w:val="center"/>
          </w:tcPr>
          <w:p w14:paraId="0A01EFB3" w14:textId="77777777" w:rsidR="00582F91" w:rsidRPr="0063317A" w:rsidRDefault="00582F91" w:rsidP="00C75CFA">
            <w:pPr>
              <w:spacing w:before="40" w:after="20"/>
              <w:jc w:val="center"/>
              <w:rPr>
                <w:rFonts w:ascii="Arial Narrow" w:hAnsi="Arial Narrow" w:cs="Arial"/>
                <w:b/>
                <w:bCs/>
                <w:sz w:val="18"/>
                <w:szCs w:val="18"/>
              </w:rPr>
            </w:pPr>
            <w:r w:rsidRPr="0063317A">
              <w:rPr>
                <w:rFonts w:ascii="Arial Narrow" w:hAnsi="Arial Narrow" w:cs="Arial"/>
                <w:b/>
                <w:bCs/>
                <w:sz w:val="18"/>
                <w:szCs w:val="18"/>
              </w:rPr>
              <w:t>Importazioni</w:t>
            </w:r>
          </w:p>
        </w:tc>
        <w:tc>
          <w:tcPr>
            <w:tcW w:w="2140" w:type="dxa"/>
            <w:gridSpan w:val="2"/>
            <w:tcBorders>
              <w:top w:val="single" w:sz="4" w:space="0" w:color="auto"/>
              <w:left w:val="nil"/>
              <w:bottom w:val="single" w:sz="4" w:space="0" w:color="auto"/>
              <w:right w:val="nil"/>
            </w:tcBorders>
            <w:shd w:val="clear" w:color="auto" w:fill="D9D9D9"/>
            <w:vAlign w:val="center"/>
          </w:tcPr>
          <w:p w14:paraId="07555E3A" w14:textId="77777777" w:rsidR="00582F91" w:rsidRPr="0063317A" w:rsidRDefault="00582F91" w:rsidP="00C75CFA">
            <w:pPr>
              <w:spacing w:before="40" w:after="20"/>
              <w:jc w:val="center"/>
              <w:rPr>
                <w:rFonts w:ascii="Arial Narrow" w:hAnsi="Arial Narrow" w:cs="Arial"/>
                <w:b/>
                <w:bCs/>
                <w:sz w:val="18"/>
                <w:szCs w:val="18"/>
              </w:rPr>
            </w:pPr>
            <w:r w:rsidRPr="0063317A">
              <w:rPr>
                <w:rFonts w:ascii="Arial Narrow" w:hAnsi="Arial Narrow" w:cs="Arial"/>
                <w:b/>
                <w:bCs/>
                <w:sz w:val="18"/>
                <w:szCs w:val="18"/>
              </w:rPr>
              <w:t>Esportazioni</w:t>
            </w:r>
          </w:p>
        </w:tc>
        <w:tc>
          <w:tcPr>
            <w:tcW w:w="2140" w:type="dxa"/>
            <w:gridSpan w:val="2"/>
            <w:tcBorders>
              <w:top w:val="single" w:sz="4" w:space="0" w:color="auto"/>
              <w:left w:val="nil"/>
              <w:bottom w:val="single" w:sz="4" w:space="0" w:color="auto"/>
              <w:right w:val="nil"/>
            </w:tcBorders>
            <w:vAlign w:val="center"/>
          </w:tcPr>
          <w:p w14:paraId="710C9363" w14:textId="77777777" w:rsidR="00582F91" w:rsidRPr="0063317A" w:rsidRDefault="00582F91" w:rsidP="00C75CFA">
            <w:pPr>
              <w:spacing w:before="40" w:after="20"/>
              <w:jc w:val="center"/>
              <w:rPr>
                <w:rFonts w:ascii="Arial Narrow" w:hAnsi="Arial Narrow" w:cs="Arial"/>
                <w:b/>
                <w:bCs/>
                <w:sz w:val="18"/>
                <w:szCs w:val="18"/>
              </w:rPr>
            </w:pPr>
            <w:r w:rsidRPr="0063317A">
              <w:rPr>
                <w:rFonts w:ascii="Arial Narrow" w:hAnsi="Arial Narrow" w:cs="Arial"/>
                <w:b/>
                <w:bCs/>
                <w:sz w:val="18"/>
                <w:szCs w:val="18"/>
              </w:rPr>
              <w:t>Importazioni</w:t>
            </w:r>
          </w:p>
        </w:tc>
      </w:tr>
      <w:tr w:rsidR="00582F91" w:rsidRPr="006304A5" w14:paraId="49F273D1" w14:textId="77777777" w:rsidTr="00C75CFA">
        <w:trPr>
          <w:trHeight w:val="255"/>
        </w:trPr>
        <w:tc>
          <w:tcPr>
            <w:tcW w:w="1647" w:type="dxa"/>
            <w:vMerge/>
            <w:tcBorders>
              <w:left w:val="nil"/>
              <w:right w:val="nil"/>
            </w:tcBorders>
            <w:noWrap/>
            <w:vAlign w:val="bottom"/>
          </w:tcPr>
          <w:p w14:paraId="49DF7FE5" w14:textId="77777777" w:rsidR="00582F91" w:rsidRPr="006304A5" w:rsidRDefault="00582F91" w:rsidP="00C75CFA">
            <w:pPr>
              <w:spacing w:before="40" w:after="20"/>
              <w:rPr>
                <w:rFonts w:ascii="Arial Narrow" w:hAnsi="Arial Narrow" w:cs="Arial"/>
                <w:sz w:val="18"/>
                <w:szCs w:val="18"/>
              </w:rPr>
            </w:pPr>
          </w:p>
        </w:tc>
        <w:tc>
          <w:tcPr>
            <w:tcW w:w="2139" w:type="dxa"/>
            <w:gridSpan w:val="2"/>
            <w:tcBorders>
              <w:top w:val="single" w:sz="4" w:space="0" w:color="auto"/>
              <w:left w:val="nil"/>
              <w:right w:val="nil"/>
            </w:tcBorders>
            <w:shd w:val="clear" w:color="auto" w:fill="auto"/>
            <w:vAlign w:val="center"/>
          </w:tcPr>
          <w:p w14:paraId="1E3A4843" w14:textId="77777777" w:rsidR="00582F91" w:rsidRPr="00C03605" w:rsidRDefault="00582F91" w:rsidP="00C75CFA">
            <w:pPr>
              <w:spacing w:before="40" w:after="20"/>
              <w:jc w:val="center"/>
              <w:rPr>
                <w:rFonts w:ascii="Arial Narrow" w:hAnsi="Arial Narrow"/>
                <w:sz w:val="18"/>
                <w:szCs w:val="18"/>
                <w:lang w:val="en-US"/>
              </w:rPr>
            </w:pPr>
            <w:r w:rsidRPr="00C90F76">
              <w:rPr>
                <w:rFonts w:ascii="Arial Narrow" w:hAnsi="Arial Narrow"/>
                <w:sz w:val="18"/>
                <w:szCs w:val="18"/>
              </w:rPr>
              <w:t xml:space="preserve">Variazioni </w:t>
            </w:r>
            <w:r w:rsidRPr="00C03605">
              <w:rPr>
                <w:rFonts w:ascii="Arial Narrow" w:hAnsi="Arial Narrow"/>
                <w:sz w:val="18"/>
                <w:szCs w:val="18"/>
                <w:lang w:val="en-US"/>
              </w:rPr>
              <w:t>tendenziali</w:t>
            </w:r>
          </w:p>
        </w:tc>
        <w:tc>
          <w:tcPr>
            <w:tcW w:w="2140" w:type="dxa"/>
            <w:gridSpan w:val="2"/>
            <w:tcBorders>
              <w:top w:val="single" w:sz="4" w:space="0" w:color="auto"/>
              <w:left w:val="nil"/>
              <w:right w:val="nil"/>
            </w:tcBorders>
            <w:shd w:val="clear" w:color="auto" w:fill="auto"/>
            <w:vAlign w:val="center"/>
          </w:tcPr>
          <w:p w14:paraId="3CF30489" w14:textId="77777777" w:rsidR="00582F91" w:rsidRPr="00C03605" w:rsidRDefault="00582F91" w:rsidP="00C75CFA">
            <w:pPr>
              <w:spacing w:before="40" w:after="20"/>
              <w:jc w:val="center"/>
              <w:rPr>
                <w:rFonts w:ascii="Arial Narrow" w:hAnsi="Arial Narrow"/>
                <w:sz w:val="18"/>
                <w:szCs w:val="18"/>
                <w:u w:val="single"/>
                <w:lang w:val="en-US"/>
              </w:rPr>
            </w:pPr>
            <w:r w:rsidRPr="00C03605">
              <w:rPr>
                <w:rFonts w:ascii="Arial Narrow" w:hAnsi="Arial Narrow"/>
                <w:sz w:val="18"/>
                <w:szCs w:val="18"/>
                <w:lang w:val="en-US"/>
              </w:rPr>
              <w:t>Variazioni tendenziali</w:t>
            </w:r>
          </w:p>
        </w:tc>
        <w:tc>
          <w:tcPr>
            <w:tcW w:w="2140" w:type="dxa"/>
            <w:gridSpan w:val="2"/>
            <w:tcBorders>
              <w:top w:val="single" w:sz="4" w:space="0" w:color="auto"/>
              <w:left w:val="nil"/>
              <w:right w:val="nil"/>
            </w:tcBorders>
            <w:shd w:val="clear" w:color="auto" w:fill="auto"/>
            <w:vAlign w:val="center"/>
          </w:tcPr>
          <w:p w14:paraId="5201DF93" w14:textId="77777777" w:rsidR="00582F91" w:rsidRPr="00C03605" w:rsidRDefault="00582F91" w:rsidP="00C75CFA">
            <w:pPr>
              <w:spacing w:before="40" w:after="20"/>
              <w:jc w:val="center"/>
              <w:rPr>
                <w:rFonts w:ascii="Arial Narrow" w:hAnsi="Arial Narrow"/>
                <w:sz w:val="18"/>
                <w:szCs w:val="18"/>
                <w:u w:val="single"/>
                <w:lang w:val="en-US"/>
              </w:rPr>
            </w:pPr>
            <w:r w:rsidRPr="00C03605">
              <w:rPr>
                <w:rFonts w:ascii="Arial Narrow" w:hAnsi="Arial Narrow"/>
                <w:sz w:val="18"/>
                <w:szCs w:val="18"/>
                <w:lang w:val="en-US"/>
              </w:rPr>
              <w:t>Variazioni tendenziali</w:t>
            </w:r>
          </w:p>
        </w:tc>
        <w:tc>
          <w:tcPr>
            <w:tcW w:w="2140" w:type="dxa"/>
            <w:gridSpan w:val="2"/>
            <w:tcBorders>
              <w:top w:val="single" w:sz="4" w:space="0" w:color="auto"/>
              <w:left w:val="nil"/>
              <w:right w:val="nil"/>
            </w:tcBorders>
            <w:shd w:val="clear" w:color="auto" w:fill="auto"/>
            <w:vAlign w:val="center"/>
          </w:tcPr>
          <w:p w14:paraId="2CEAE225" w14:textId="77777777" w:rsidR="00582F91" w:rsidRPr="00C03605" w:rsidRDefault="00582F91" w:rsidP="00C75CFA">
            <w:pPr>
              <w:spacing w:before="40" w:after="20"/>
              <w:jc w:val="center"/>
              <w:rPr>
                <w:rFonts w:ascii="Arial Narrow" w:hAnsi="Arial Narrow"/>
                <w:sz w:val="18"/>
                <w:szCs w:val="18"/>
                <w:u w:val="single"/>
                <w:lang w:val="en-US"/>
              </w:rPr>
            </w:pPr>
            <w:r w:rsidRPr="00C03605">
              <w:rPr>
                <w:rFonts w:ascii="Arial Narrow" w:hAnsi="Arial Narrow"/>
                <w:sz w:val="18"/>
                <w:szCs w:val="18"/>
                <w:lang w:val="en-US"/>
              </w:rPr>
              <w:t>Variazioni tendenziali</w:t>
            </w:r>
          </w:p>
        </w:tc>
      </w:tr>
      <w:tr w:rsidR="00E52CA6" w:rsidRPr="006304A5" w14:paraId="4C973D27" w14:textId="77777777" w:rsidTr="00C75CFA">
        <w:trPr>
          <w:trHeight w:val="255"/>
        </w:trPr>
        <w:tc>
          <w:tcPr>
            <w:tcW w:w="1647" w:type="dxa"/>
            <w:vMerge/>
            <w:tcBorders>
              <w:left w:val="nil"/>
              <w:right w:val="nil"/>
            </w:tcBorders>
            <w:noWrap/>
            <w:vAlign w:val="bottom"/>
          </w:tcPr>
          <w:p w14:paraId="7551F29D" w14:textId="77777777" w:rsidR="00E52CA6" w:rsidRPr="006304A5" w:rsidRDefault="00E52CA6" w:rsidP="00E52CA6">
            <w:pPr>
              <w:spacing w:before="40" w:after="20"/>
              <w:rPr>
                <w:rFonts w:ascii="Arial Narrow" w:hAnsi="Arial Narrow" w:cs="Arial"/>
                <w:sz w:val="18"/>
                <w:szCs w:val="18"/>
              </w:rPr>
            </w:pPr>
          </w:p>
        </w:tc>
        <w:tc>
          <w:tcPr>
            <w:tcW w:w="823" w:type="dxa"/>
            <w:tcBorders>
              <w:top w:val="single" w:sz="4" w:space="0" w:color="auto"/>
              <w:left w:val="nil"/>
              <w:right w:val="nil"/>
            </w:tcBorders>
            <w:shd w:val="clear" w:color="auto" w:fill="auto"/>
            <w:vAlign w:val="center"/>
          </w:tcPr>
          <w:p w14:paraId="108AAA93" w14:textId="77777777" w:rsidR="00E52CA6" w:rsidRPr="0069402A" w:rsidRDefault="00E52CA6" w:rsidP="00E52CA6">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 23</w:t>
            </w:r>
          </w:p>
          <w:p w14:paraId="0B1608FD" w14:textId="32BE857F" w:rsidR="00E52CA6" w:rsidRPr="003C7722" w:rsidRDefault="00E52CA6" w:rsidP="00E52CA6">
            <w:pPr>
              <w:spacing w:before="40" w:after="20"/>
              <w:jc w:val="center"/>
              <w:rPr>
                <w:rFonts w:ascii="Arial Narrow" w:hAnsi="Arial Narrow"/>
                <w:sz w:val="18"/>
                <w:szCs w:val="18"/>
                <w:lang w:val="en-US"/>
              </w:rPr>
            </w:pPr>
            <w:r>
              <w:rPr>
                <w:rFonts w:ascii="Arial Narrow" w:hAnsi="Arial Narrow"/>
                <w:sz w:val="18"/>
                <w:szCs w:val="18"/>
                <w:lang w:val="en-US"/>
              </w:rPr>
              <w:t>ott 22</w:t>
            </w:r>
          </w:p>
        </w:tc>
        <w:tc>
          <w:tcPr>
            <w:tcW w:w="1316" w:type="dxa"/>
            <w:tcBorders>
              <w:top w:val="single" w:sz="4" w:space="0" w:color="auto"/>
              <w:left w:val="nil"/>
              <w:right w:val="nil"/>
            </w:tcBorders>
            <w:shd w:val="clear" w:color="auto" w:fill="auto"/>
            <w:vAlign w:val="center"/>
          </w:tcPr>
          <w:p w14:paraId="6A1747F5" w14:textId="77777777" w:rsidR="00E52CA6" w:rsidRPr="0069402A" w:rsidRDefault="00E52CA6" w:rsidP="00E52CA6">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gen-ott 23</w:t>
            </w:r>
          </w:p>
          <w:p w14:paraId="6E26ADF9" w14:textId="1A307B51" w:rsidR="00E52CA6" w:rsidRPr="003C7722" w:rsidRDefault="00E52CA6" w:rsidP="00E52CA6">
            <w:pPr>
              <w:spacing w:before="40" w:after="20"/>
              <w:jc w:val="center"/>
              <w:rPr>
                <w:rFonts w:ascii="Arial Narrow" w:hAnsi="Arial Narrow"/>
                <w:sz w:val="18"/>
                <w:szCs w:val="18"/>
                <w:lang w:val="en-US"/>
              </w:rPr>
            </w:pPr>
            <w:r>
              <w:rPr>
                <w:rFonts w:ascii="Arial Narrow" w:hAnsi="Arial Narrow"/>
                <w:sz w:val="18"/>
                <w:szCs w:val="18"/>
                <w:lang w:val="en-US"/>
              </w:rPr>
              <w:t>gen-ott 22</w:t>
            </w:r>
          </w:p>
        </w:tc>
        <w:tc>
          <w:tcPr>
            <w:tcW w:w="823" w:type="dxa"/>
            <w:tcBorders>
              <w:top w:val="single" w:sz="4" w:space="0" w:color="auto"/>
              <w:left w:val="nil"/>
              <w:right w:val="nil"/>
            </w:tcBorders>
            <w:shd w:val="clear" w:color="auto" w:fill="auto"/>
            <w:vAlign w:val="center"/>
          </w:tcPr>
          <w:p w14:paraId="34F8B3D7" w14:textId="77777777" w:rsidR="00E52CA6" w:rsidRPr="0069402A" w:rsidRDefault="00E52CA6" w:rsidP="00E52CA6">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 23</w:t>
            </w:r>
          </w:p>
          <w:p w14:paraId="0FBD7D15" w14:textId="44181007" w:rsidR="00E52CA6" w:rsidRPr="003C7722" w:rsidRDefault="00E52CA6" w:rsidP="00E52CA6">
            <w:pPr>
              <w:spacing w:before="40" w:after="20"/>
              <w:jc w:val="center"/>
              <w:rPr>
                <w:rFonts w:ascii="Arial Narrow" w:hAnsi="Arial Narrow"/>
                <w:sz w:val="18"/>
                <w:szCs w:val="18"/>
                <w:lang w:val="en-US"/>
              </w:rPr>
            </w:pPr>
            <w:r>
              <w:rPr>
                <w:rFonts w:ascii="Arial Narrow" w:hAnsi="Arial Narrow"/>
                <w:sz w:val="18"/>
                <w:szCs w:val="18"/>
                <w:lang w:val="en-US"/>
              </w:rPr>
              <w:t>ott 22</w:t>
            </w:r>
          </w:p>
        </w:tc>
        <w:tc>
          <w:tcPr>
            <w:tcW w:w="1317" w:type="dxa"/>
            <w:tcBorders>
              <w:top w:val="single" w:sz="4" w:space="0" w:color="auto"/>
              <w:left w:val="nil"/>
              <w:right w:val="nil"/>
            </w:tcBorders>
            <w:shd w:val="clear" w:color="auto" w:fill="auto"/>
            <w:vAlign w:val="center"/>
          </w:tcPr>
          <w:p w14:paraId="2AFD93E5" w14:textId="77777777" w:rsidR="00E52CA6" w:rsidRPr="0069402A" w:rsidRDefault="00E52CA6" w:rsidP="00E52CA6">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gen-ott 23</w:t>
            </w:r>
          </w:p>
          <w:p w14:paraId="4CD40618" w14:textId="5D1F8032" w:rsidR="00E52CA6" w:rsidRPr="003C7722" w:rsidRDefault="00E52CA6" w:rsidP="00E52CA6">
            <w:pPr>
              <w:spacing w:before="40" w:after="20"/>
              <w:jc w:val="center"/>
              <w:rPr>
                <w:rFonts w:ascii="Arial Narrow" w:hAnsi="Arial Narrow"/>
                <w:sz w:val="18"/>
                <w:szCs w:val="18"/>
                <w:lang w:val="en-US"/>
              </w:rPr>
            </w:pPr>
            <w:r>
              <w:rPr>
                <w:rFonts w:ascii="Arial Narrow" w:hAnsi="Arial Narrow"/>
                <w:sz w:val="18"/>
                <w:szCs w:val="18"/>
                <w:lang w:val="en-US"/>
              </w:rPr>
              <w:t>gen-ott 22</w:t>
            </w:r>
          </w:p>
        </w:tc>
        <w:tc>
          <w:tcPr>
            <w:tcW w:w="823" w:type="dxa"/>
            <w:tcBorders>
              <w:top w:val="single" w:sz="4" w:space="0" w:color="auto"/>
              <w:left w:val="nil"/>
              <w:right w:val="nil"/>
            </w:tcBorders>
            <w:shd w:val="clear" w:color="auto" w:fill="auto"/>
            <w:vAlign w:val="center"/>
          </w:tcPr>
          <w:p w14:paraId="5AF814BD" w14:textId="77777777" w:rsidR="00E52CA6" w:rsidRPr="0069402A" w:rsidRDefault="00E52CA6" w:rsidP="00E52CA6">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 23</w:t>
            </w:r>
          </w:p>
          <w:p w14:paraId="36AC1716" w14:textId="7A407478" w:rsidR="00E52CA6" w:rsidRPr="003C7722" w:rsidRDefault="00E52CA6" w:rsidP="00E52CA6">
            <w:pPr>
              <w:spacing w:before="40" w:after="20"/>
              <w:jc w:val="center"/>
              <w:rPr>
                <w:rFonts w:ascii="Arial Narrow" w:hAnsi="Arial Narrow"/>
                <w:sz w:val="18"/>
                <w:szCs w:val="18"/>
                <w:lang w:val="en-US"/>
              </w:rPr>
            </w:pPr>
            <w:r>
              <w:rPr>
                <w:rFonts w:ascii="Arial Narrow" w:hAnsi="Arial Narrow"/>
                <w:sz w:val="18"/>
                <w:szCs w:val="18"/>
                <w:lang w:val="en-US"/>
              </w:rPr>
              <w:t>ott 22</w:t>
            </w:r>
          </w:p>
        </w:tc>
        <w:tc>
          <w:tcPr>
            <w:tcW w:w="1317" w:type="dxa"/>
            <w:tcBorders>
              <w:top w:val="single" w:sz="4" w:space="0" w:color="auto"/>
              <w:left w:val="nil"/>
              <w:right w:val="nil"/>
            </w:tcBorders>
            <w:shd w:val="clear" w:color="auto" w:fill="auto"/>
            <w:vAlign w:val="center"/>
          </w:tcPr>
          <w:p w14:paraId="298F4DA8" w14:textId="77777777" w:rsidR="00E52CA6" w:rsidRPr="0069402A" w:rsidRDefault="00E52CA6" w:rsidP="00E52CA6">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gen-ott 23</w:t>
            </w:r>
          </w:p>
          <w:p w14:paraId="780BC3C6" w14:textId="79A2E8B7" w:rsidR="00E52CA6" w:rsidRPr="003C7722" w:rsidRDefault="00E52CA6" w:rsidP="00E52CA6">
            <w:pPr>
              <w:spacing w:before="40" w:after="20"/>
              <w:jc w:val="center"/>
              <w:rPr>
                <w:rFonts w:ascii="Arial Narrow" w:hAnsi="Arial Narrow"/>
                <w:sz w:val="18"/>
                <w:szCs w:val="18"/>
                <w:lang w:val="en-US"/>
              </w:rPr>
            </w:pPr>
            <w:r>
              <w:rPr>
                <w:rFonts w:ascii="Arial Narrow" w:hAnsi="Arial Narrow"/>
                <w:sz w:val="18"/>
                <w:szCs w:val="18"/>
                <w:lang w:val="en-US"/>
              </w:rPr>
              <w:t>gen-ott 22</w:t>
            </w:r>
          </w:p>
        </w:tc>
        <w:tc>
          <w:tcPr>
            <w:tcW w:w="823" w:type="dxa"/>
            <w:tcBorders>
              <w:top w:val="single" w:sz="4" w:space="0" w:color="auto"/>
              <w:left w:val="nil"/>
              <w:right w:val="nil"/>
            </w:tcBorders>
            <w:shd w:val="clear" w:color="auto" w:fill="auto"/>
            <w:vAlign w:val="center"/>
          </w:tcPr>
          <w:p w14:paraId="0760CD80" w14:textId="77777777" w:rsidR="00E52CA6" w:rsidRPr="0069402A" w:rsidRDefault="00E52CA6" w:rsidP="00E52CA6">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 23</w:t>
            </w:r>
          </w:p>
          <w:p w14:paraId="39DAF438" w14:textId="27B84C71" w:rsidR="00E52CA6" w:rsidRPr="003C7722" w:rsidRDefault="00E52CA6" w:rsidP="00E52CA6">
            <w:pPr>
              <w:spacing w:before="40" w:after="20"/>
              <w:jc w:val="center"/>
              <w:rPr>
                <w:rFonts w:ascii="Arial Narrow" w:hAnsi="Arial Narrow"/>
                <w:sz w:val="18"/>
                <w:szCs w:val="18"/>
                <w:lang w:val="en-US"/>
              </w:rPr>
            </w:pPr>
            <w:r>
              <w:rPr>
                <w:rFonts w:ascii="Arial Narrow" w:hAnsi="Arial Narrow"/>
                <w:sz w:val="18"/>
                <w:szCs w:val="18"/>
                <w:lang w:val="en-US"/>
              </w:rPr>
              <w:t>ott 22</w:t>
            </w:r>
          </w:p>
        </w:tc>
        <w:tc>
          <w:tcPr>
            <w:tcW w:w="1317" w:type="dxa"/>
            <w:tcBorders>
              <w:top w:val="single" w:sz="4" w:space="0" w:color="auto"/>
              <w:left w:val="nil"/>
              <w:right w:val="nil"/>
            </w:tcBorders>
            <w:shd w:val="clear" w:color="auto" w:fill="auto"/>
            <w:vAlign w:val="center"/>
          </w:tcPr>
          <w:p w14:paraId="51E84E60" w14:textId="77777777" w:rsidR="00E52CA6" w:rsidRPr="0069402A" w:rsidRDefault="00E52CA6" w:rsidP="00E52CA6">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gen-ott 23</w:t>
            </w:r>
          </w:p>
          <w:p w14:paraId="3909EB5E" w14:textId="58138B25" w:rsidR="00E52CA6" w:rsidRPr="003C7722" w:rsidRDefault="00E52CA6" w:rsidP="00E52CA6">
            <w:pPr>
              <w:spacing w:before="40" w:after="20"/>
              <w:jc w:val="center"/>
              <w:rPr>
                <w:rFonts w:ascii="Arial Narrow" w:hAnsi="Arial Narrow"/>
                <w:sz w:val="18"/>
                <w:szCs w:val="18"/>
                <w:lang w:val="en-US"/>
              </w:rPr>
            </w:pPr>
            <w:r>
              <w:rPr>
                <w:rFonts w:ascii="Arial Narrow" w:hAnsi="Arial Narrow"/>
                <w:sz w:val="18"/>
                <w:szCs w:val="18"/>
                <w:lang w:val="en-US"/>
              </w:rPr>
              <w:t>gen-ott 22</w:t>
            </w:r>
          </w:p>
        </w:tc>
      </w:tr>
      <w:tr w:rsidR="00F458B0" w:rsidRPr="008C0651" w14:paraId="6D447BB0" w14:textId="77777777" w:rsidTr="00F458B0">
        <w:trPr>
          <w:trHeight w:val="255"/>
        </w:trPr>
        <w:tc>
          <w:tcPr>
            <w:tcW w:w="1647" w:type="dxa"/>
            <w:tcBorders>
              <w:top w:val="single" w:sz="4" w:space="0" w:color="auto"/>
              <w:left w:val="nil"/>
              <w:bottom w:val="single" w:sz="4" w:space="0" w:color="auto"/>
            </w:tcBorders>
            <w:noWrap/>
            <w:vAlign w:val="bottom"/>
          </w:tcPr>
          <w:p w14:paraId="6111F05C" w14:textId="77777777" w:rsidR="00F458B0" w:rsidRPr="007C052D" w:rsidRDefault="00F458B0" w:rsidP="00F458B0">
            <w:pPr>
              <w:spacing w:before="40" w:after="20"/>
              <w:rPr>
                <w:rFonts w:ascii="Arial Narrow" w:hAnsi="Arial Narrow" w:cs="Arial"/>
                <w:sz w:val="18"/>
                <w:szCs w:val="18"/>
              </w:rPr>
            </w:pPr>
            <w:r w:rsidRPr="007C052D">
              <w:rPr>
                <w:rFonts w:ascii="Arial Narrow" w:hAnsi="Arial Narrow" w:cs="Arial"/>
                <w:sz w:val="18"/>
                <w:szCs w:val="18"/>
              </w:rPr>
              <w:t>Paesi Ue27</w:t>
            </w:r>
          </w:p>
        </w:tc>
        <w:tc>
          <w:tcPr>
            <w:tcW w:w="823" w:type="dxa"/>
            <w:tcBorders>
              <w:top w:val="single" w:sz="4" w:space="0" w:color="auto"/>
              <w:bottom w:val="single" w:sz="4" w:space="0" w:color="auto"/>
            </w:tcBorders>
            <w:shd w:val="clear" w:color="auto" w:fill="D9D9D9"/>
            <w:vAlign w:val="center"/>
          </w:tcPr>
          <w:p w14:paraId="083EE88B" w14:textId="7B153121" w:rsidR="00F458B0" w:rsidRDefault="00F458B0" w:rsidP="00F458B0">
            <w:pPr>
              <w:jc w:val="center"/>
              <w:rPr>
                <w:rFonts w:ascii="Arial Narrow" w:hAnsi="Arial Narrow"/>
                <w:sz w:val="18"/>
                <w:szCs w:val="18"/>
              </w:rPr>
            </w:pPr>
            <w:r>
              <w:rPr>
                <w:rFonts w:ascii="Arial Narrow" w:hAnsi="Arial Narrow"/>
                <w:sz w:val="18"/>
                <w:szCs w:val="18"/>
              </w:rPr>
              <w:t>+1,4</w:t>
            </w:r>
          </w:p>
        </w:tc>
        <w:tc>
          <w:tcPr>
            <w:tcW w:w="1316" w:type="dxa"/>
            <w:tcBorders>
              <w:top w:val="single" w:sz="4" w:space="0" w:color="auto"/>
              <w:bottom w:val="single" w:sz="4" w:space="0" w:color="auto"/>
            </w:tcBorders>
            <w:shd w:val="clear" w:color="auto" w:fill="D9D9D9"/>
            <w:vAlign w:val="center"/>
          </w:tcPr>
          <w:p w14:paraId="706BDE48" w14:textId="7418D82A" w:rsidR="00F458B0" w:rsidRDefault="00F458B0" w:rsidP="00F458B0">
            <w:pPr>
              <w:jc w:val="center"/>
              <w:rPr>
                <w:rFonts w:ascii="Arial Narrow" w:hAnsi="Arial Narrow"/>
                <w:sz w:val="18"/>
                <w:szCs w:val="18"/>
              </w:rPr>
            </w:pPr>
            <w:r>
              <w:rPr>
                <w:rFonts w:ascii="Arial Narrow" w:hAnsi="Arial Narrow"/>
                <w:sz w:val="18"/>
                <w:szCs w:val="18"/>
              </w:rPr>
              <w:t>+4,7</w:t>
            </w:r>
          </w:p>
        </w:tc>
        <w:tc>
          <w:tcPr>
            <w:tcW w:w="823" w:type="dxa"/>
            <w:tcBorders>
              <w:top w:val="single" w:sz="4" w:space="0" w:color="auto"/>
              <w:bottom w:val="single" w:sz="4" w:space="0" w:color="auto"/>
            </w:tcBorders>
            <w:vAlign w:val="center"/>
          </w:tcPr>
          <w:p w14:paraId="753B5C6D" w14:textId="75F44F56" w:rsidR="00F458B0" w:rsidRDefault="00F458B0" w:rsidP="00F458B0">
            <w:pPr>
              <w:jc w:val="center"/>
              <w:rPr>
                <w:rFonts w:ascii="Arial Narrow" w:hAnsi="Arial Narrow"/>
                <w:sz w:val="18"/>
                <w:szCs w:val="18"/>
              </w:rPr>
            </w:pPr>
            <w:r>
              <w:rPr>
                <w:rFonts w:ascii="Arial Narrow" w:hAnsi="Arial Narrow"/>
                <w:sz w:val="18"/>
                <w:szCs w:val="18"/>
              </w:rPr>
              <w:t>+1,4</w:t>
            </w:r>
          </w:p>
        </w:tc>
        <w:tc>
          <w:tcPr>
            <w:tcW w:w="1317" w:type="dxa"/>
            <w:tcBorders>
              <w:top w:val="single" w:sz="4" w:space="0" w:color="auto"/>
              <w:bottom w:val="single" w:sz="4" w:space="0" w:color="auto"/>
            </w:tcBorders>
            <w:vAlign w:val="center"/>
          </w:tcPr>
          <w:p w14:paraId="0155AD93" w14:textId="335193B8" w:rsidR="00F458B0" w:rsidRDefault="00F458B0" w:rsidP="00F458B0">
            <w:pPr>
              <w:jc w:val="center"/>
              <w:rPr>
                <w:rFonts w:ascii="Arial Narrow" w:hAnsi="Arial Narrow"/>
                <w:sz w:val="18"/>
                <w:szCs w:val="18"/>
              </w:rPr>
            </w:pPr>
            <w:r>
              <w:rPr>
                <w:rFonts w:ascii="Arial Narrow" w:hAnsi="Arial Narrow"/>
                <w:sz w:val="18"/>
                <w:szCs w:val="18"/>
              </w:rPr>
              <w:t>+1,2</w:t>
            </w:r>
          </w:p>
        </w:tc>
        <w:tc>
          <w:tcPr>
            <w:tcW w:w="823" w:type="dxa"/>
            <w:tcBorders>
              <w:top w:val="single" w:sz="4" w:space="0" w:color="auto"/>
              <w:bottom w:val="single" w:sz="4" w:space="0" w:color="auto"/>
            </w:tcBorders>
            <w:shd w:val="clear" w:color="auto" w:fill="D9D9D9"/>
            <w:vAlign w:val="center"/>
          </w:tcPr>
          <w:p w14:paraId="4EF08A23" w14:textId="2988DCB9" w:rsidR="00F458B0" w:rsidRDefault="00F458B0" w:rsidP="00F458B0">
            <w:pPr>
              <w:jc w:val="center"/>
              <w:rPr>
                <w:rFonts w:ascii="Arial Narrow" w:hAnsi="Arial Narrow"/>
                <w:sz w:val="18"/>
                <w:szCs w:val="18"/>
              </w:rPr>
            </w:pPr>
            <w:r>
              <w:rPr>
                <w:rFonts w:ascii="Arial Narrow" w:hAnsi="Arial Narrow"/>
                <w:sz w:val="18"/>
                <w:szCs w:val="18"/>
              </w:rPr>
              <w:t>-3,9</w:t>
            </w:r>
          </w:p>
        </w:tc>
        <w:tc>
          <w:tcPr>
            <w:tcW w:w="1317" w:type="dxa"/>
            <w:tcBorders>
              <w:top w:val="single" w:sz="4" w:space="0" w:color="auto"/>
              <w:bottom w:val="single" w:sz="4" w:space="0" w:color="auto"/>
            </w:tcBorders>
            <w:shd w:val="clear" w:color="auto" w:fill="D9D9D9"/>
            <w:vAlign w:val="center"/>
          </w:tcPr>
          <w:p w14:paraId="7CF04138" w14:textId="47B5B598" w:rsidR="00F458B0" w:rsidRDefault="00F458B0" w:rsidP="00F458B0">
            <w:pPr>
              <w:jc w:val="center"/>
              <w:rPr>
                <w:rFonts w:ascii="Arial Narrow" w:hAnsi="Arial Narrow"/>
                <w:sz w:val="18"/>
                <w:szCs w:val="18"/>
              </w:rPr>
            </w:pPr>
            <w:r>
              <w:rPr>
                <w:rFonts w:ascii="Arial Narrow" w:hAnsi="Arial Narrow"/>
                <w:sz w:val="18"/>
                <w:szCs w:val="18"/>
              </w:rPr>
              <w:t>-5,9</w:t>
            </w:r>
          </w:p>
        </w:tc>
        <w:tc>
          <w:tcPr>
            <w:tcW w:w="823" w:type="dxa"/>
            <w:tcBorders>
              <w:top w:val="single" w:sz="4" w:space="0" w:color="auto"/>
              <w:bottom w:val="single" w:sz="4" w:space="0" w:color="auto"/>
            </w:tcBorders>
            <w:vAlign w:val="center"/>
          </w:tcPr>
          <w:p w14:paraId="28030B37" w14:textId="40975D99" w:rsidR="00F458B0" w:rsidRDefault="00F458B0" w:rsidP="00F458B0">
            <w:pPr>
              <w:jc w:val="center"/>
              <w:rPr>
                <w:rFonts w:ascii="Arial Narrow" w:hAnsi="Arial Narrow"/>
                <w:sz w:val="18"/>
                <w:szCs w:val="18"/>
              </w:rPr>
            </w:pPr>
            <w:r>
              <w:rPr>
                <w:rFonts w:ascii="Arial Narrow" w:hAnsi="Arial Narrow"/>
                <w:sz w:val="18"/>
                <w:szCs w:val="18"/>
              </w:rPr>
              <w:t>-1,7</w:t>
            </w:r>
          </w:p>
        </w:tc>
        <w:tc>
          <w:tcPr>
            <w:tcW w:w="1317" w:type="dxa"/>
            <w:tcBorders>
              <w:top w:val="single" w:sz="4" w:space="0" w:color="auto"/>
              <w:bottom w:val="single" w:sz="4" w:space="0" w:color="auto"/>
            </w:tcBorders>
            <w:vAlign w:val="center"/>
          </w:tcPr>
          <w:p w14:paraId="17D1F8DA" w14:textId="201BD16D" w:rsidR="00F458B0" w:rsidRDefault="00F458B0" w:rsidP="00F458B0">
            <w:pPr>
              <w:jc w:val="center"/>
              <w:rPr>
                <w:rFonts w:ascii="Arial Narrow" w:hAnsi="Arial Narrow"/>
                <w:sz w:val="18"/>
                <w:szCs w:val="18"/>
              </w:rPr>
            </w:pPr>
            <w:r>
              <w:rPr>
                <w:rFonts w:ascii="Arial Narrow" w:hAnsi="Arial Narrow"/>
                <w:sz w:val="18"/>
                <w:szCs w:val="18"/>
              </w:rPr>
              <w:t>-0,9</w:t>
            </w:r>
          </w:p>
        </w:tc>
      </w:tr>
      <w:tr w:rsidR="00F458B0" w:rsidRPr="008C0651" w14:paraId="356ED9AC" w14:textId="77777777" w:rsidTr="00F458B0">
        <w:trPr>
          <w:trHeight w:val="255"/>
        </w:trPr>
        <w:tc>
          <w:tcPr>
            <w:tcW w:w="1647" w:type="dxa"/>
            <w:tcBorders>
              <w:top w:val="single" w:sz="4" w:space="0" w:color="auto"/>
              <w:left w:val="nil"/>
              <w:bottom w:val="single" w:sz="4" w:space="0" w:color="auto"/>
            </w:tcBorders>
            <w:noWrap/>
            <w:vAlign w:val="bottom"/>
          </w:tcPr>
          <w:p w14:paraId="774A0D7D" w14:textId="77777777" w:rsidR="00F458B0" w:rsidRPr="007C052D" w:rsidRDefault="00F458B0" w:rsidP="00F458B0">
            <w:pPr>
              <w:spacing w:before="40" w:after="20"/>
              <w:rPr>
                <w:rFonts w:ascii="Arial Narrow" w:hAnsi="Arial Narrow" w:cs="Arial"/>
                <w:sz w:val="18"/>
                <w:szCs w:val="18"/>
              </w:rPr>
            </w:pPr>
            <w:r w:rsidRPr="007C052D">
              <w:rPr>
                <w:rFonts w:ascii="Arial Narrow" w:hAnsi="Arial Narrow" w:cs="Arial"/>
                <w:sz w:val="18"/>
                <w:szCs w:val="18"/>
              </w:rPr>
              <w:t>Paesi extra Ue27</w:t>
            </w:r>
          </w:p>
        </w:tc>
        <w:tc>
          <w:tcPr>
            <w:tcW w:w="823" w:type="dxa"/>
            <w:tcBorders>
              <w:top w:val="single" w:sz="4" w:space="0" w:color="auto"/>
              <w:bottom w:val="single" w:sz="4" w:space="0" w:color="auto"/>
            </w:tcBorders>
            <w:shd w:val="clear" w:color="auto" w:fill="D9D9D9"/>
            <w:vAlign w:val="center"/>
          </w:tcPr>
          <w:p w14:paraId="6EF46CAB" w14:textId="747D2CE5" w:rsidR="00F458B0" w:rsidRDefault="00F458B0" w:rsidP="00F458B0">
            <w:pPr>
              <w:jc w:val="center"/>
              <w:rPr>
                <w:rFonts w:ascii="Arial Narrow" w:hAnsi="Arial Narrow"/>
                <w:sz w:val="18"/>
                <w:szCs w:val="18"/>
              </w:rPr>
            </w:pPr>
            <w:r>
              <w:rPr>
                <w:rFonts w:ascii="Arial Narrow" w:hAnsi="Arial Narrow"/>
                <w:sz w:val="18"/>
                <w:szCs w:val="18"/>
              </w:rPr>
              <w:t>+5,4</w:t>
            </w:r>
          </w:p>
        </w:tc>
        <w:tc>
          <w:tcPr>
            <w:tcW w:w="1316" w:type="dxa"/>
            <w:tcBorders>
              <w:top w:val="single" w:sz="4" w:space="0" w:color="auto"/>
              <w:bottom w:val="single" w:sz="4" w:space="0" w:color="auto"/>
            </w:tcBorders>
            <w:shd w:val="clear" w:color="auto" w:fill="D9D9D9"/>
            <w:vAlign w:val="center"/>
          </w:tcPr>
          <w:p w14:paraId="31F9CA7E" w14:textId="3515ED70" w:rsidR="00F458B0" w:rsidRDefault="00F458B0" w:rsidP="00F458B0">
            <w:pPr>
              <w:jc w:val="center"/>
              <w:rPr>
                <w:rFonts w:ascii="Arial Narrow" w:hAnsi="Arial Narrow"/>
                <w:sz w:val="18"/>
                <w:szCs w:val="18"/>
              </w:rPr>
            </w:pPr>
            <w:r>
              <w:rPr>
                <w:rFonts w:ascii="Arial Narrow" w:hAnsi="Arial Narrow"/>
                <w:sz w:val="18"/>
                <w:szCs w:val="18"/>
              </w:rPr>
              <w:t>+7,3</w:t>
            </w:r>
          </w:p>
        </w:tc>
        <w:tc>
          <w:tcPr>
            <w:tcW w:w="823" w:type="dxa"/>
            <w:tcBorders>
              <w:top w:val="single" w:sz="4" w:space="0" w:color="auto"/>
              <w:bottom w:val="single" w:sz="4" w:space="0" w:color="auto"/>
            </w:tcBorders>
            <w:vAlign w:val="center"/>
          </w:tcPr>
          <w:p w14:paraId="56DA0CAD" w14:textId="0D1B1BF8" w:rsidR="00F458B0" w:rsidRDefault="00F458B0" w:rsidP="00F458B0">
            <w:pPr>
              <w:jc w:val="center"/>
              <w:rPr>
                <w:rFonts w:ascii="Arial Narrow" w:hAnsi="Arial Narrow"/>
                <w:sz w:val="18"/>
                <w:szCs w:val="18"/>
              </w:rPr>
            </w:pPr>
            <w:r>
              <w:rPr>
                <w:rFonts w:ascii="Arial Narrow" w:hAnsi="Arial Narrow"/>
                <w:sz w:val="18"/>
                <w:szCs w:val="18"/>
              </w:rPr>
              <w:t>-22,4</w:t>
            </w:r>
          </w:p>
        </w:tc>
        <w:tc>
          <w:tcPr>
            <w:tcW w:w="1317" w:type="dxa"/>
            <w:tcBorders>
              <w:top w:val="single" w:sz="4" w:space="0" w:color="auto"/>
              <w:bottom w:val="single" w:sz="4" w:space="0" w:color="auto"/>
            </w:tcBorders>
            <w:vAlign w:val="center"/>
          </w:tcPr>
          <w:p w14:paraId="06253EF0" w14:textId="55691D18" w:rsidR="00F458B0" w:rsidRDefault="00F458B0" w:rsidP="00F458B0">
            <w:pPr>
              <w:jc w:val="center"/>
              <w:rPr>
                <w:rFonts w:ascii="Arial Narrow" w:hAnsi="Arial Narrow"/>
                <w:sz w:val="18"/>
                <w:szCs w:val="18"/>
              </w:rPr>
            </w:pPr>
            <w:r>
              <w:rPr>
                <w:rFonts w:ascii="Arial Narrow" w:hAnsi="Arial Narrow"/>
                <w:sz w:val="18"/>
                <w:szCs w:val="18"/>
              </w:rPr>
              <w:t>-17,3</w:t>
            </w:r>
          </w:p>
        </w:tc>
        <w:tc>
          <w:tcPr>
            <w:tcW w:w="823" w:type="dxa"/>
            <w:tcBorders>
              <w:top w:val="single" w:sz="4" w:space="0" w:color="auto"/>
              <w:bottom w:val="single" w:sz="4" w:space="0" w:color="auto"/>
            </w:tcBorders>
            <w:shd w:val="clear" w:color="auto" w:fill="D9D9D9"/>
            <w:vAlign w:val="center"/>
          </w:tcPr>
          <w:p w14:paraId="5DEC3ADA" w14:textId="2ED004EC" w:rsidR="00F458B0" w:rsidRDefault="00F458B0" w:rsidP="00F458B0">
            <w:pPr>
              <w:jc w:val="center"/>
              <w:rPr>
                <w:rFonts w:ascii="Arial Narrow" w:hAnsi="Arial Narrow"/>
                <w:sz w:val="18"/>
                <w:szCs w:val="18"/>
              </w:rPr>
            </w:pPr>
            <w:r>
              <w:rPr>
                <w:rFonts w:ascii="Arial Narrow" w:hAnsi="Arial Narrow"/>
                <w:sz w:val="18"/>
                <w:szCs w:val="18"/>
              </w:rPr>
              <w:t>+3,8</w:t>
            </w:r>
          </w:p>
        </w:tc>
        <w:tc>
          <w:tcPr>
            <w:tcW w:w="1317" w:type="dxa"/>
            <w:tcBorders>
              <w:top w:val="single" w:sz="4" w:space="0" w:color="auto"/>
              <w:bottom w:val="single" w:sz="4" w:space="0" w:color="auto"/>
            </w:tcBorders>
            <w:shd w:val="clear" w:color="auto" w:fill="D9D9D9"/>
            <w:vAlign w:val="center"/>
          </w:tcPr>
          <w:p w14:paraId="4A9AA9D7" w14:textId="73B35C99" w:rsidR="00F458B0" w:rsidRDefault="00F458B0" w:rsidP="00F458B0">
            <w:pPr>
              <w:jc w:val="center"/>
              <w:rPr>
                <w:rFonts w:ascii="Arial Narrow" w:hAnsi="Arial Narrow"/>
                <w:sz w:val="18"/>
                <w:szCs w:val="18"/>
              </w:rPr>
            </w:pPr>
            <w:r>
              <w:rPr>
                <w:rFonts w:ascii="Arial Narrow" w:hAnsi="Arial Narrow"/>
                <w:sz w:val="18"/>
                <w:szCs w:val="18"/>
              </w:rPr>
              <w:t>-2,8</w:t>
            </w:r>
          </w:p>
        </w:tc>
        <w:tc>
          <w:tcPr>
            <w:tcW w:w="823" w:type="dxa"/>
            <w:tcBorders>
              <w:top w:val="single" w:sz="4" w:space="0" w:color="auto"/>
              <w:bottom w:val="single" w:sz="4" w:space="0" w:color="auto"/>
            </w:tcBorders>
            <w:vAlign w:val="center"/>
          </w:tcPr>
          <w:p w14:paraId="2A72857B" w14:textId="31B55652" w:rsidR="00F458B0" w:rsidRDefault="00F458B0" w:rsidP="00F458B0">
            <w:pPr>
              <w:jc w:val="center"/>
              <w:rPr>
                <w:rFonts w:ascii="Arial Narrow" w:hAnsi="Arial Narrow"/>
                <w:sz w:val="18"/>
                <w:szCs w:val="18"/>
              </w:rPr>
            </w:pPr>
            <w:r>
              <w:rPr>
                <w:rFonts w:ascii="Arial Narrow" w:hAnsi="Arial Narrow"/>
                <w:sz w:val="18"/>
                <w:szCs w:val="18"/>
              </w:rPr>
              <w:t>+4,9</w:t>
            </w:r>
          </w:p>
        </w:tc>
        <w:tc>
          <w:tcPr>
            <w:tcW w:w="1317" w:type="dxa"/>
            <w:tcBorders>
              <w:top w:val="single" w:sz="4" w:space="0" w:color="auto"/>
              <w:bottom w:val="single" w:sz="4" w:space="0" w:color="auto"/>
            </w:tcBorders>
            <w:vAlign w:val="center"/>
          </w:tcPr>
          <w:p w14:paraId="06779A80" w14:textId="3FE15476" w:rsidR="00F458B0" w:rsidRDefault="00F458B0" w:rsidP="00F458B0">
            <w:pPr>
              <w:jc w:val="center"/>
              <w:rPr>
                <w:rFonts w:ascii="Arial Narrow" w:hAnsi="Arial Narrow"/>
                <w:sz w:val="18"/>
                <w:szCs w:val="18"/>
              </w:rPr>
            </w:pPr>
            <w:r>
              <w:rPr>
                <w:rFonts w:ascii="Arial Narrow" w:hAnsi="Arial Narrow"/>
                <w:sz w:val="18"/>
                <w:szCs w:val="18"/>
              </w:rPr>
              <w:t>-3,7</w:t>
            </w:r>
          </w:p>
        </w:tc>
      </w:tr>
      <w:tr w:rsidR="00F458B0" w:rsidRPr="00F458B0" w14:paraId="7B0CA3C3" w14:textId="77777777" w:rsidTr="00F458B0">
        <w:trPr>
          <w:trHeight w:val="255"/>
        </w:trPr>
        <w:tc>
          <w:tcPr>
            <w:tcW w:w="1647" w:type="dxa"/>
            <w:tcBorders>
              <w:top w:val="single" w:sz="4" w:space="0" w:color="auto"/>
              <w:left w:val="nil"/>
              <w:bottom w:val="single" w:sz="4" w:space="0" w:color="auto"/>
            </w:tcBorders>
            <w:shd w:val="clear" w:color="auto" w:fill="FF0000"/>
            <w:noWrap/>
            <w:vAlign w:val="bottom"/>
          </w:tcPr>
          <w:p w14:paraId="78A165A9" w14:textId="77777777" w:rsidR="00F458B0" w:rsidRPr="00F458B0" w:rsidRDefault="00F458B0" w:rsidP="00F458B0">
            <w:pPr>
              <w:spacing w:before="40" w:after="20"/>
              <w:rPr>
                <w:rFonts w:ascii="Arial Narrow" w:hAnsi="Arial Narrow" w:cs="Arial"/>
                <w:b/>
                <w:color w:val="FFFFFF" w:themeColor="background1"/>
                <w:sz w:val="18"/>
                <w:szCs w:val="18"/>
              </w:rPr>
            </w:pPr>
            <w:r w:rsidRPr="00F458B0">
              <w:rPr>
                <w:rFonts w:ascii="Arial Narrow" w:hAnsi="Arial Narrow" w:cs="Arial"/>
                <w:b/>
                <w:color w:val="FFFFFF" w:themeColor="background1"/>
                <w:sz w:val="18"/>
                <w:szCs w:val="18"/>
              </w:rPr>
              <w:t>Mondo</w:t>
            </w:r>
          </w:p>
        </w:tc>
        <w:tc>
          <w:tcPr>
            <w:tcW w:w="823" w:type="dxa"/>
            <w:tcBorders>
              <w:top w:val="single" w:sz="4" w:space="0" w:color="auto"/>
              <w:bottom w:val="single" w:sz="4" w:space="0" w:color="auto"/>
            </w:tcBorders>
            <w:shd w:val="clear" w:color="auto" w:fill="FF0000"/>
            <w:vAlign w:val="center"/>
          </w:tcPr>
          <w:p w14:paraId="62C5FDDA" w14:textId="2EA0136F" w:rsidR="00F458B0" w:rsidRPr="00F458B0" w:rsidRDefault="00F458B0" w:rsidP="00F458B0">
            <w:pPr>
              <w:jc w:val="center"/>
              <w:rPr>
                <w:rFonts w:ascii="Arial Narrow" w:hAnsi="Arial Narrow"/>
                <w:b/>
                <w:color w:val="FFFFFF" w:themeColor="background1"/>
                <w:sz w:val="18"/>
                <w:szCs w:val="18"/>
              </w:rPr>
            </w:pPr>
            <w:r w:rsidRPr="00F458B0">
              <w:rPr>
                <w:rFonts w:ascii="Arial Narrow" w:hAnsi="Arial Narrow"/>
                <w:b/>
                <w:color w:val="FFFFFF" w:themeColor="background1"/>
                <w:sz w:val="18"/>
                <w:szCs w:val="18"/>
              </w:rPr>
              <w:t>+3,3</w:t>
            </w:r>
          </w:p>
        </w:tc>
        <w:tc>
          <w:tcPr>
            <w:tcW w:w="1316" w:type="dxa"/>
            <w:tcBorders>
              <w:top w:val="single" w:sz="4" w:space="0" w:color="auto"/>
              <w:bottom w:val="single" w:sz="4" w:space="0" w:color="auto"/>
            </w:tcBorders>
            <w:shd w:val="clear" w:color="auto" w:fill="FF0000"/>
            <w:vAlign w:val="center"/>
          </w:tcPr>
          <w:p w14:paraId="60A87EF7" w14:textId="486EDBE4" w:rsidR="00F458B0" w:rsidRPr="00F458B0" w:rsidRDefault="00F458B0" w:rsidP="00F458B0">
            <w:pPr>
              <w:jc w:val="center"/>
              <w:rPr>
                <w:rFonts w:ascii="Arial Narrow" w:hAnsi="Arial Narrow"/>
                <w:b/>
                <w:color w:val="FFFFFF" w:themeColor="background1"/>
                <w:sz w:val="18"/>
                <w:szCs w:val="18"/>
              </w:rPr>
            </w:pPr>
            <w:r w:rsidRPr="00F458B0">
              <w:rPr>
                <w:rFonts w:ascii="Arial Narrow" w:hAnsi="Arial Narrow"/>
                <w:b/>
                <w:color w:val="FFFFFF" w:themeColor="background1"/>
                <w:sz w:val="18"/>
                <w:szCs w:val="18"/>
              </w:rPr>
              <w:t>+5,9</w:t>
            </w:r>
          </w:p>
        </w:tc>
        <w:tc>
          <w:tcPr>
            <w:tcW w:w="823" w:type="dxa"/>
            <w:tcBorders>
              <w:top w:val="single" w:sz="4" w:space="0" w:color="auto"/>
              <w:bottom w:val="single" w:sz="4" w:space="0" w:color="auto"/>
            </w:tcBorders>
            <w:shd w:val="clear" w:color="auto" w:fill="FF0000"/>
            <w:vAlign w:val="center"/>
          </w:tcPr>
          <w:p w14:paraId="3B1BC3B7" w14:textId="12972CC5" w:rsidR="00F458B0" w:rsidRPr="00F458B0" w:rsidRDefault="00F458B0" w:rsidP="00F458B0">
            <w:pPr>
              <w:jc w:val="center"/>
              <w:rPr>
                <w:rFonts w:ascii="Arial Narrow" w:hAnsi="Arial Narrow"/>
                <w:b/>
                <w:color w:val="FFFFFF" w:themeColor="background1"/>
                <w:sz w:val="18"/>
                <w:szCs w:val="18"/>
              </w:rPr>
            </w:pPr>
            <w:r w:rsidRPr="00F458B0">
              <w:rPr>
                <w:rFonts w:ascii="Arial Narrow" w:hAnsi="Arial Narrow"/>
                <w:b/>
                <w:color w:val="FFFFFF" w:themeColor="background1"/>
                <w:sz w:val="18"/>
                <w:szCs w:val="18"/>
              </w:rPr>
              <w:t>-11,5</w:t>
            </w:r>
          </w:p>
        </w:tc>
        <w:tc>
          <w:tcPr>
            <w:tcW w:w="1317" w:type="dxa"/>
            <w:tcBorders>
              <w:top w:val="single" w:sz="4" w:space="0" w:color="auto"/>
              <w:bottom w:val="single" w:sz="4" w:space="0" w:color="auto"/>
            </w:tcBorders>
            <w:shd w:val="clear" w:color="auto" w:fill="FF0000"/>
            <w:vAlign w:val="center"/>
          </w:tcPr>
          <w:p w14:paraId="3330123B" w14:textId="4605D8CC" w:rsidR="00F458B0" w:rsidRPr="00F458B0" w:rsidRDefault="00F458B0" w:rsidP="00F458B0">
            <w:pPr>
              <w:jc w:val="center"/>
              <w:rPr>
                <w:rFonts w:ascii="Arial Narrow" w:hAnsi="Arial Narrow"/>
                <w:b/>
                <w:color w:val="FFFFFF" w:themeColor="background1"/>
                <w:sz w:val="18"/>
                <w:szCs w:val="18"/>
              </w:rPr>
            </w:pPr>
            <w:r w:rsidRPr="00F458B0">
              <w:rPr>
                <w:rFonts w:ascii="Arial Narrow" w:hAnsi="Arial Narrow"/>
                <w:b/>
                <w:color w:val="FFFFFF" w:themeColor="background1"/>
                <w:sz w:val="18"/>
                <w:szCs w:val="18"/>
              </w:rPr>
              <w:t>-8,7</w:t>
            </w:r>
          </w:p>
        </w:tc>
        <w:tc>
          <w:tcPr>
            <w:tcW w:w="823" w:type="dxa"/>
            <w:tcBorders>
              <w:top w:val="single" w:sz="4" w:space="0" w:color="auto"/>
              <w:bottom w:val="single" w:sz="4" w:space="0" w:color="auto"/>
            </w:tcBorders>
            <w:shd w:val="clear" w:color="auto" w:fill="FF0000"/>
            <w:vAlign w:val="center"/>
          </w:tcPr>
          <w:p w14:paraId="5638379A" w14:textId="5F748C9C" w:rsidR="00F458B0" w:rsidRPr="00F458B0" w:rsidRDefault="00F458B0" w:rsidP="00F458B0">
            <w:pPr>
              <w:jc w:val="center"/>
              <w:rPr>
                <w:rFonts w:ascii="Arial Narrow" w:hAnsi="Arial Narrow"/>
                <w:b/>
                <w:color w:val="FFFFFF" w:themeColor="background1"/>
                <w:sz w:val="18"/>
                <w:szCs w:val="18"/>
              </w:rPr>
            </w:pPr>
            <w:r w:rsidRPr="00F458B0">
              <w:rPr>
                <w:rFonts w:ascii="Arial Narrow" w:hAnsi="Arial Narrow"/>
                <w:b/>
                <w:color w:val="FFFFFF" w:themeColor="background1"/>
                <w:sz w:val="18"/>
                <w:szCs w:val="18"/>
              </w:rPr>
              <w:t>-0,4</w:t>
            </w:r>
          </w:p>
        </w:tc>
        <w:tc>
          <w:tcPr>
            <w:tcW w:w="1317" w:type="dxa"/>
            <w:tcBorders>
              <w:top w:val="single" w:sz="4" w:space="0" w:color="auto"/>
              <w:bottom w:val="single" w:sz="4" w:space="0" w:color="auto"/>
            </w:tcBorders>
            <w:shd w:val="clear" w:color="auto" w:fill="FF0000"/>
            <w:vAlign w:val="center"/>
          </w:tcPr>
          <w:p w14:paraId="45B9E470" w14:textId="4DEDE148" w:rsidR="00F458B0" w:rsidRPr="00F458B0" w:rsidRDefault="00F458B0" w:rsidP="00F458B0">
            <w:pPr>
              <w:jc w:val="center"/>
              <w:rPr>
                <w:rFonts w:ascii="Arial Narrow" w:hAnsi="Arial Narrow"/>
                <w:b/>
                <w:color w:val="FFFFFF" w:themeColor="background1"/>
                <w:sz w:val="18"/>
                <w:szCs w:val="18"/>
              </w:rPr>
            </w:pPr>
            <w:r w:rsidRPr="00F458B0">
              <w:rPr>
                <w:rFonts w:ascii="Arial Narrow" w:hAnsi="Arial Narrow"/>
                <w:b/>
                <w:color w:val="FFFFFF" w:themeColor="background1"/>
                <w:sz w:val="18"/>
                <w:szCs w:val="18"/>
              </w:rPr>
              <w:t>-4,4</w:t>
            </w:r>
          </w:p>
        </w:tc>
        <w:tc>
          <w:tcPr>
            <w:tcW w:w="823" w:type="dxa"/>
            <w:tcBorders>
              <w:top w:val="single" w:sz="4" w:space="0" w:color="auto"/>
              <w:bottom w:val="single" w:sz="4" w:space="0" w:color="auto"/>
            </w:tcBorders>
            <w:shd w:val="clear" w:color="auto" w:fill="FF0000"/>
            <w:vAlign w:val="center"/>
          </w:tcPr>
          <w:p w14:paraId="077D8032" w14:textId="23A43F63" w:rsidR="00F458B0" w:rsidRPr="00F458B0" w:rsidRDefault="00F458B0" w:rsidP="00F458B0">
            <w:pPr>
              <w:jc w:val="center"/>
              <w:rPr>
                <w:rFonts w:ascii="Arial Narrow" w:hAnsi="Arial Narrow"/>
                <w:b/>
                <w:color w:val="FFFFFF" w:themeColor="background1"/>
                <w:sz w:val="18"/>
                <w:szCs w:val="18"/>
              </w:rPr>
            </w:pPr>
            <w:r w:rsidRPr="00F458B0">
              <w:rPr>
                <w:rFonts w:ascii="Arial Narrow" w:hAnsi="Arial Narrow"/>
                <w:b/>
                <w:color w:val="FFFFFF" w:themeColor="background1"/>
                <w:sz w:val="18"/>
                <w:szCs w:val="18"/>
              </w:rPr>
              <w:t>+2,6</w:t>
            </w:r>
          </w:p>
        </w:tc>
        <w:tc>
          <w:tcPr>
            <w:tcW w:w="1317" w:type="dxa"/>
            <w:tcBorders>
              <w:top w:val="single" w:sz="4" w:space="0" w:color="auto"/>
              <w:bottom w:val="single" w:sz="4" w:space="0" w:color="auto"/>
            </w:tcBorders>
            <w:shd w:val="clear" w:color="auto" w:fill="FF0000"/>
            <w:vAlign w:val="center"/>
          </w:tcPr>
          <w:p w14:paraId="74ABBA07" w14:textId="4D3CF692" w:rsidR="00F458B0" w:rsidRPr="00F458B0" w:rsidRDefault="00F458B0" w:rsidP="00F458B0">
            <w:pPr>
              <w:jc w:val="center"/>
              <w:rPr>
                <w:rFonts w:ascii="Arial Narrow" w:hAnsi="Arial Narrow"/>
                <w:b/>
                <w:color w:val="FFFFFF" w:themeColor="background1"/>
                <w:sz w:val="18"/>
                <w:szCs w:val="18"/>
              </w:rPr>
            </w:pPr>
            <w:r w:rsidRPr="00F458B0">
              <w:rPr>
                <w:rFonts w:ascii="Arial Narrow" w:hAnsi="Arial Narrow"/>
                <w:b/>
                <w:color w:val="FFFFFF" w:themeColor="background1"/>
                <w:sz w:val="18"/>
                <w:szCs w:val="18"/>
              </w:rPr>
              <w:t>-1,3</w:t>
            </w:r>
          </w:p>
        </w:tc>
      </w:tr>
    </w:tbl>
    <w:p w14:paraId="2EF36E8C" w14:textId="77777777" w:rsidR="00A03714" w:rsidRPr="00F458B0" w:rsidRDefault="00A03714" w:rsidP="00A03714">
      <w:pPr>
        <w:pStyle w:val="Corpodeltesto1"/>
        <w:spacing w:after="60"/>
        <w:jc w:val="left"/>
        <w:rPr>
          <w:rFonts w:ascii="Arial Narrow" w:hAnsi="Arial Narrow" w:cs="Arial Narrow"/>
          <w:color w:val="5F5F5F"/>
          <w:sz w:val="2"/>
          <w:szCs w:val="8"/>
        </w:rPr>
      </w:pPr>
    </w:p>
    <w:p w14:paraId="4BE4AA54" w14:textId="77777777" w:rsidR="00147CB5" w:rsidRDefault="00A03714" w:rsidP="00A127A9">
      <w:pPr>
        <w:pStyle w:val="Corpodeltesto1"/>
        <w:spacing w:before="120"/>
        <w:rPr>
          <w:rFonts w:ascii="Arial Narrow" w:hAnsi="Arial Narrow" w:cs="Arial"/>
          <w:b w:val="0"/>
          <w:bCs/>
          <w:sz w:val="19"/>
          <w:szCs w:val="19"/>
        </w:rPr>
      </w:pPr>
      <w:r w:rsidRPr="00A03714">
        <w:rPr>
          <w:rFonts w:ascii="Arial Narrow" w:hAnsi="Arial Narrow" w:cs="Arial"/>
          <w:color w:val="E42618"/>
          <w:kern w:val="28"/>
          <w:sz w:val="22"/>
          <w:szCs w:val="22"/>
        </w:rPr>
        <w:t xml:space="preserve">PROSPETTO </w:t>
      </w:r>
      <w:r>
        <w:rPr>
          <w:rFonts w:ascii="Arial Narrow" w:hAnsi="Arial Narrow" w:cs="Arial"/>
          <w:color w:val="E42618"/>
          <w:kern w:val="28"/>
          <w:sz w:val="22"/>
          <w:szCs w:val="22"/>
        </w:rPr>
        <w:t>4</w:t>
      </w:r>
      <w:r w:rsidRPr="00A03714">
        <w:rPr>
          <w:rFonts w:ascii="Arial Narrow" w:hAnsi="Arial Narrow" w:cs="Arial"/>
          <w:color w:val="E42618"/>
          <w:kern w:val="28"/>
          <w:sz w:val="22"/>
          <w:szCs w:val="22"/>
        </w:rPr>
        <w:t>.</w:t>
      </w:r>
      <w:r w:rsidRPr="006304A5">
        <w:rPr>
          <w:rFonts w:ascii="Arial Narrow" w:hAnsi="Arial Narrow" w:cs="Arial Narrow"/>
          <w:color w:val="5F5F5F"/>
          <w:sz w:val="20"/>
        </w:rPr>
        <w:t xml:space="preserve"> </w:t>
      </w:r>
      <w:r w:rsidRPr="00147CB5">
        <w:rPr>
          <w:rFonts w:ascii="Arial Narrow" w:hAnsi="Arial Narrow" w:cs="Arial"/>
          <w:color w:val="5F5F5F"/>
          <w:kern w:val="28"/>
          <w:sz w:val="22"/>
          <w:szCs w:val="22"/>
        </w:rPr>
        <w:t>VALORI MEDI UNITARI E VOLUMI SECONDO I RAGGRUPPAMENTI PRINCIPALI</w:t>
      </w:r>
      <w:r w:rsidR="00C03605" w:rsidRPr="00147CB5">
        <w:rPr>
          <w:rFonts w:ascii="Arial Narrow" w:hAnsi="Arial Narrow" w:cs="Arial"/>
          <w:color w:val="5F5F5F"/>
          <w:kern w:val="28"/>
          <w:sz w:val="22"/>
          <w:szCs w:val="22"/>
        </w:rPr>
        <w:t xml:space="preserve"> </w:t>
      </w:r>
      <w:r w:rsidRPr="00147CB5">
        <w:rPr>
          <w:rFonts w:ascii="Arial Narrow" w:hAnsi="Arial Narrow" w:cs="Arial"/>
          <w:color w:val="5F5F5F"/>
          <w:kern w:val="28"/>
          <w:sz w:val="22"/>
          <w:szCs w:val="22"/>
        </w:rPr>
        <w:t>DI INDUSTRIE</w:t>
      </w:r>
    </w:p>
    <w:p w14:paraId="1E673E92" w14:textId="1C49528B" w:rsidR="00537BEB" w:rsidRPr="006304A5" w:rsidRDefault="00E52CA6" w:rsidP="009308ED">
      <w:pPr>
        <w:pStyle w:val="Corpodeltesto1"/>
        <w:spacing w:after="100"/>
        <w:jc w:val="left"/>
        <w:rPr>
          <w:rFonts w:ascii="Arial Narrow" w:hAnsi="Arial Narrow" w:cs="Arial"/>
          <w:b w:val="0"/>
          <w:bCs/>
          <w:sz w:val="19"/>
          <w:szCs w:val="19"/>
        </w:rPr>
      </w:pPr>
      <w:r w:rsidRPr="00E52CA6">
        <w:rPr>
          <w:rFonts w:ascii="Arial Narrow" w:hAnsi="Arial Narrow" w:cs="Arial"/>
          <w:b w:val="0"/>
          <w:color w:val="5F5F5F"/>
          <w:kern w:val="28"/>
          <w:sz w:val="20"/>
          <w:szCs w:val="20"/>
        </w:rPr>
        <w:t xml:space="preserve">Ottobre </w:t>
      </w:r>
      <w:r w:rsidR="00030313">
        <w:rPr>
          <w:rFonts w:ascii="Arial Narrow" w:hAnsi="Arial Narrow" w:cs="Arial"/>
          <w:b w:val="0"/>
          <w:color w:val="5F5F5F"/>
          <w:kern w:val="28"/>
          <w:sz w:val="20"/>
          <w:szCs w:val="20"/>
        </w:rPr>
        <w:t>2023</w:t>
      </w:r>
      <w:r w:rsidR="00537BEB" w:rsidRPr="003705A2">
        <w:rPr>
          <w:rFonts w:ascii="Arial Narrow" w:hAnsi="Arial Narrow" w:cs="Arial"/>
          <w:b w:val="0"/>
          <w:color w:val="5F5F5F"/>
          <w:kern w:val="28"/>
          <w:sz w:val="20"/>
          <w:szCs w:val="20"/>
        </w:rPr>
        <w:t>, variazioni percentuali tendenziali (base 2015=100)</w:t>
      </w:r>
    </w:p>
    <w:tbl>
      <w:tblPr>
        <w:tblW w:w="10206" w:type="dxa"/>
        <w:tblInd w:w="70" w:type="dxa"/>
        <w:tblLayout w:type="fixed"/>
        <w:tblCellMar>
          <w:left w:w="70" w:type="dxa"/>
          <w:right w:w="70" w:type="dxa"/>
        </w:tblCellMar>
        <w:tblLook w:val="0000" w:firstRow="0" w:lastRow="0" w:firstColumn="0" w:lastColumn="0" w:noHBand="0" w:noVBand="0"/>
      </w:tblPr>
      <w:tblGrid>
        <w:gridCol w:w="1647"/>
        <w:gridCol w:w="823"/>
        <w:gridCol w:w="1316"/>
        <w:gridCol w:w="823"/>
        <w:gridCol w:w="1317"/>
        <w:gridCol w:w="823"/>
        <w:gridCol w:w="1317"/>
        <w:gridCol w:w="823"/>
        <w:gridCol w:w="1317"/>
      </w:tblGrid>
      <w:tr w:rsidR="00582F91" w:rsidRPr="00B076CD" w14:paraId="31202937" w14:textId="77777777" w:rsidTr="00C75CFA">
        <w:trPr>
          <w:trHeight w:val="255"/>
        </w:trPr>
        <w:tc>
          <w:tcPr>
            <w:tcW w:w="1647" w:type="dxa"/>
            <w:vMerge w:val="restart"/>
            <w:tcBorders>
              <w:top w:val="single" w:sz="4" w:space="0" w:color="auto"/>
              <w:left w:val="nil"/>
              <w:right w:val="nil"/>
            </w:tcBorders>
            <w:shd w:val="clear" w:color="auto" w:fill="FFFFFF"/>
            <w:vAlign w:val="center"/>
          </w:tcPr>
          <w:p w14:paraId="79D829A6" w14:textId="77777777" w:rsidR="00582F91" w:rsidRPr="00B076CD" w:rsidRDefault="00582F91" w:rsidP="00C75CFA">
            <w:pPr>
              <w:spacing w:before="40" w:after="20"/>
              <w:rPr>
                <w:rFonts w:ascii="Arial Narrow" w:hAnsi="Arial Narrow" w:cs="Arial"/>
                <w:sz w:val="18"/>
                <w:szCs w:val="18"/>
              </w:rPr>
            </w:pPr>
            <w:r w:rsidRPr="00B076CD">
              <w:rPr>
                <w:rFonts w:ascii="Arial Narrow" w:hAnsi="Arial Narrow" w:cs="Arial"/>
                <w:b/>
                <w:sz w:val="18"/>
                <w:szCs w:val="18"/>
              </w:rPr>
              <w:t>RAGGRUPPAMENTI PRINCIPALI DI INDUSTRIE</w:t>
            </w:r>
          </w:p>
        </w:tc>
        <w:tc>
          <w:tcPr>
            <w:tcW w:w="4279" w:type="dxa"/>
            <w:gridSpan w:val="4"/>
            <w:tcBorders>
              <w:top w:val="single" w:sz="4" w:space="0" w:color="auto"/>
              <w:left w:val="nil"/>
              <w:right w:val="nil"/>
            </w:tcBorders>
            <w:shd w:val="clear" w:color="auto" w:fill="D9D9D9"/>
            <w:vAlign w:val="center"/>
          </w:tcPr>
          <w:p w14:paraId="74C2B180" w14:textId="77777777" w:rsidR="00582F91" w:rsidRPr="00B076CD" w:rsidRDefault="00582F91" w:rsidP="00C75CFA">
            <w:pPr>
              <w:spacing w:before="40" w:after="20"/>
              <w:jc w:val="center"/>
              <w:rPr>
                <w:rFonts w:ascii="Arial Narrow" w:hAnsi="Arial Narrow" w:cs="Arial"/>
                <w:b/>
                <w:bCs/>
                <w:color w:val="000000"/>
                <w:sz w:val="18"/>
                <w:szCs w:val="18"/>
              </w:rPr>
            </w:pPr>
            <w:r w:rsidRPr="00B076CD">
              <w:rPr>
                <w:rFonts w:ascii="Arial Narrow" w:hAnsi="Arial Narrow" w:cs="Arial"/>
                <w:b/>
                <w:bCs/>
                <w:color w:val="000000"/>
                <w:sz w:val="18"/>
                <w:szCs w:val="18"/>
              </w:rPr>
              <w:t>VALORI MEDI UNITARI</w:t>
            </w:r>
          </w:p>
        </w:tc>
        <w:tc>
          <w:tcPr>
            <w:tcW w:w="4280" w:type="dxa"/>
            <w:gridSpan w:val="4"/>
            <w:tcBorders>
              <w:top w:val="single" w:sz="4" w:space="0" w:color="auto"/>
              <w:left w:val="nil"/>
              <w:right w:val="nil"/>
            </w:tcBorders>
            <w:shd w:val="clear" w:color="auto" w:fill="auto"/>
            <w:vAlign w:val="center"/>
          </w:tcPr>
          <w:p w14:paraId="6C20606D" w14:textId="77777777" w:rsidR="00582F91" w:rsidRPr="00B076CD" w:rsidRDefault="00582F91" w:rsidP="00C75CFA">
            <w:pPr>
              <w:spacing w:before="40" w:after="20"/>
              <w:jc w:val="center"/>
              <w:rPr>
                <w:rFonts w:ascii="Arial Narrow" w:hAnsi="Arial Narrow" w:cs="Arial"/>
                <w:b/>
                <w:bCs/>
                <w:color w:val="000000"/>
                <w:sz w:val="18"/>
                <w:szCs w:val="18"/>
              </w:rPr>
            </w:pPr>
            <w:r w:rsidRPr="00B076CD">
              <w:rPr>
                <w:rFonts w:ascii="Arial Narrow" w:hAnsi="Arial Narrow" w:cs="Arial"/>
                <w:b/>
                <w:bCs/>
                <w:color w:val="000000"/>
                <w:sz w:val="18"/>
                <w:szCs w:val="18"/>
              </w:rPr>
              <w:t>VOLUMI</w:t>
            </w:r>
          </w:p>
        </w:tc>
      </w:tr>
      <w:tr w:rsidR="00582F91" w:rsidRPr="00B076CD" w14:paraId="643E6C1D" w14:textId="77777777" w:rsidTr="00C75CFA">
        <w:trPr>
          <w:trHeight w:val="255"/>
        </w:trPr>
        <w:tc>
          <w:tcPr>
            <w:tcW w:w="1647" w:type="dxa"/>
            <w:vMerge/>
            <w:tcBorders>
              <w:left w:val="nil"/>
              <w:right w:val="nil"/>
            </w:tcBorders>
            <w:shd w:val="clear" w:color="auto" w:fill="FFFFFF"/>
            <w:vAlign w:val="center"/>
          </w:tcPr>
          <w:p w14:paraId="39D9E0F2" w14:textId="77777777" w:rsidR="00582F91" w:rsidRPr="00B076CD" w:rsidRDefault="00582F91" w:rsidP="00C75CFA">
            <w:pPr>
              <w:spacing w:before="40" w:after="20"/>
              <w:rPr>
                <w:rFonts w:ascii="Arial Narrow" w:hAnsi="Arial Narrow" w:cs="Arial"/>
                <w:sz w:val="18"/>
                <w:szCs w:val="18"/>
              </w:rPr>
            </w:pPr>
          </w:p>
        </w:tc>
        <w:tc>
          <w:tcPr>
            <w:tcW w:w="2139" w:type="dxa"/>
            <w:gridSpan w:val="2"/>
            <w:tcBorders>
              <w:top w:val="single" w:sz="4" w:space="0" w:color="auto"/>
              <w:left w:val="nil"/>
              <w:bottom w:val="single" w:sz="4" w:space="0" w:color="auto"/>
            </w:tcBorders>
            <w:shd w:val="clear" w:color="auto" w:fill="D9D9D9"/>
            <w:vAlign w:val="center"/>
          </w:tcPr>
          <w:p w14:paraId="76978611" w14:textId="77777777" w:rsidR="00582F91" w:rsidRPr="0063317A" w:rsidRDefault="00582F91" w:rsidP="00C75CFA">
            <w:pPr>
              <w:spacing w:before="40" w:after="20"/>
              <w:jc w:val="center"/>
              <w:rPr>
                <w:rFonts w:ascii="Arial Narrow" w:hAnsi="Arial Narrow" w:cs="Arial"/>
                <w:b/>
                <w:color w:val="000000"/>
                <w:sz w:val="18"/>
                <w:szCs w:val="18"/>
              </w:rPr>
            </w:pPr>
            <w:r w:rsidRPr="0063317A">
              <w:rPr>
                <w:rFonts w:ascii="Arial Narrow" w:hAnsi="Arial Narrow" w:cs="Arial"/>
                <w:b/>
                <w:color w:val="000000"/>
                <w:sz w:val="18"/>
                <w:szCs w:val="18"/>
              </w:rPr>
              <w:t>Esportazioni</w:t>
            </w:r>
          </w:p>
        </w:tc>
        <w:tc>
          <w:tcPr>
            <w:tcW w:w="2140" w:type="dxa"/>
            <w:gridSpan w:val="2"/>
            <w:tcBorders>
              <w:top w:val="single" w:sz="4" w:space="0" w:color="auto"/>
              <w:bottom w:val="single" w:sz="4" w:space="0" w:color="auto"/>
            </w:tcBorders>
            <w:vAlign w:val="center"/>
          </w:tcPr>
          <w:p w14:paraId="2DFF386E" w14:textId="77777777" w:rsidR="00582F91" w:rsidRPr="0063317A" w:rsidRDefault="00582F91" w:rsidP="00C75CFA">
            <w:pPr>
              <w:spacing w:before="40" w:after="20"/>
              <w:jc w:val="center"/>
              <w:rPr>
                <w:rFonts w:ascii="Arial Narrow" w:hAnsi="Arial Narrow" w:cs="Arial"/>
                <w:b/>
                <w:color w:val="000000"/>
                <w:sz w:val="18"/>
                <w:szCs w:val="18"/>
              </w:rPr>
            </w:pPr>
            <w:r w:rsidRPr="0063317A">
              <w:rPr>
                <w:rFonts w:ascii="Arial Narrow" w:hAnsi="Arial Narrow" w:cs="Arial"/>
                <w:b/>
                <w:color w:val="000000"/>
                <w:sz w:val="18"/>
                <w:szCs w:val="18"/>
              </w:rPr>
              <w:t>Importazioni</w:t>
            </w:r>
          </w:p>
        </w:tc>
        <w:tc>
          <w:tcPr>
            <w:tcW w:w="2140" w:type="dxa"/>
            <w:gridSpan w:val="2"/>
            <w:tcBorders>
              <w:top w:val="single" w:sz="4" w:space="0" w:color="auto"/>
              <w:bottom w:val="single" w:sz="4" w:space="0" w:color="auto"/>
            </w:tcBorders>
            <w:shd w:val="clear" w:color="auto" w:fill="D9D9D9"/>
            <w:vAlign w:val="center"/>
          </w:tcPr>
          <w:p w14:paraId="3324B059" w14:textId="77777777" w:rsidR="00582F91" w:rsidRPr="0063317A" w:rsidRDefault="00582F91" w:rsidP="00C75CFA">
            <w:pPr>
              <w:spacing w:before="40" w:after="20"/>
              <w:jc w:val="center"/>
              <w:rPr>
                <w:rFonts w:ascii="Arial Narrow" w:hAnsi="Arial Narrow" w:cs="Arial"/>
                <w:b/>
                <w:color w:val="000000"/>
                <w:sz w:val="18"/>
                <w:szCs w:val="18"/>
              </w:rPr>
            </w:pPr>
            <w:r w:rsidRPr="0063317A">
              <w:rPr>
                <w:rFonts w:ascii="Arial Narrow" w:hAnsi="Arial Narrow" w:cs="Arial"/>
                <w:b/>
                <w:color w:val="000000"/>
                <w:sz w:val="18"/>
                <w:szCs w:val="18"/>
              </w:rPr>
              <w:t>Esportazioni</w:t>
            </w:r>
          </w:p>
        </w:tc>
        <w:tc>
          <w:tcPr>
            <w:tcW w:w="2140" w:type="dxa"/>
            <w:gridSpan w:val="2"/>
            <w:tcBorders>
              <w:top w:val="single" w:sz="4" w:space="0" w:color="auto"/>
              <w:left w:val="nil"/>
              <w:bottom w:val="single" w:sz="4" w:space="0" w:color="auto"/>
              <w:right w:val="nil"/>
            </w:tcBorders>
            <w:vAlign w:val="center"/>
          </w:tcPr>
          <w:p w14:paraId="218E1EC0" w14:textId="77777777" w:rsidR="00582F91" w:rsidRPr="0063317A" w:rsidRDefault="00582F91" w:rsidP="00C75CFA">
            <w:pPr>
              <w:spacing w:before="40" w:after="20"/>
              <w:jc w:val="center"/>
              <w:rPr>
                <w:rFonts w:ascii="Arial Narrow" w:hAnsi="Arial Narrow" w:cs="Arial"/>
                <w:b/>
                <w:color w:val="000000"/>
                <w:sz w:val="18"/>
                <w:szCs w:val="18"/>
              </w:rPr>
            </w:pPr>
            <w:r w:rsidRPr="0063317A">
              <w:rPr>
                <w:rFonts w:ascii="Arial Narrow" w:hAnsi="Arial Narrow" w:cs="Arial"/>
                <w:b/>
                <w:color w:val="000000"/>
                <w:sz w:val="18"/>
                <w:szCs w:val="18"/>
              </w:rPr>
              <w:t>Importazioni</w:t>
            </w:r>
          </w:p>
        </w:tc>
      </w:tr>
      <w:tr w:rsidR="00582F91" w:rsidRPr="00B076CD" w14:paraId="065F6F6D" w14:textId="77777777" w:rsidTr="00C75CFA">
        <w:trPr>
          <w:trHeight w:val="255"/>
        </w:trPr>
        <w:tc>
          <w:tcPr>
            <w:tcW w:w="1647" w:type="dxa"/>
            <w:vMerge/>
            <w:tcBorders>
              <w:left w:val="nil"/>
              <w:right w:val="nil"/>
            </w:tcBorders>
            <w:shd w:val="clear" w:color="auto" w:fill="FFFFFF"/>
            <w:vAlign w:val="center"/>
          </w:tcPr>
          <w:p w14:paraId="49C66F7F" w14:textId="77777777" w:rsidR="00582F91" w:rsidRPr="00B076CD" w:rsidRDefault="00582F91" w:rsidP="00C75CFA">
            <w:pPr>
              <w:spacing w:before="40" w:after="20"/>
              <w:rPr>
                <w:rFonts w:ascii="Arial Narrow" w:hAnsi="Arial Narrow" w:cs="Arial"/>
                <w:sz w:val="18"/>
                <w:szCs w:val="18"/>
              </w:rPr>
            </w:pPr>
          </w:p>
        </w:tc>
        <w:tc>
          <w:tcPr>
            <w:tcW w:w="2139" w:type="dxa"/>
            <w:gridSpan w:val="2"/>
            <w:tcBorders>
              <w:top w:val="single" w:sz="4" w:space="0" w:color="auto"/>
              <w:left w:val="nil"/>
              <w:bottom w:val="single" w:sz="4" w:space="0" w:color="auto"/>
            </w:tcBorders>
            <w:shd w:val="clear" w:color="auto" w:fill="D9D9D9"/>
            <w:vAlign w:val="center"/>
          </w:tcPr>
          <w:p w14:paraId="5CB0489B" w14:textId="77777777" w:rsidR="00582F91" w:rsidRPr="00C03605" w:rsidRDefault="00582F91" w:rsidP="00C75CFA">
            <w:pPr>
              <w:spacing w:before="40" w:after="20"/>
              <w:jc w:val="center"/>
              <w:rPr>
                <w:rFonts w:ascii="Arial Narrow" w:hAnsi="Arial Narrow" w:cs="Arial"/>
                <w:b/>
                <w:color w:val="000000"/>
                <w:sz w:val="18"/>
                <w:szCs w:val="18"/>
              </w:rPr>
            </w:pPr>
            <w:r w:rsidRPr="00C03605">
              <w:rPr>
                <w:rFonts w:ascii="Arial Narrow" w:hAnsi="Arial Narrow"/>
                <w:sz w:val="18"/>
                <w:szCs w:val="18"/>
                <w:lang w:val="en-US"/>
              </w:rPr>
              <w:t>Variazioni tendenziali</w:t>
            </w:r>
          </w:p>
        </w:tc>
        <w:tc>
          <w:tcPr>
            <w:tcW w:w="2140" w:type="dxa"/>
            <w:gridSpan w:val="2"/>
            <w:tcBorders>
              <w:top w:val="single" w:sz="4" w:space="0" w:color="auto"/>
              <w:bottom w:val="single" w:sz="4" w:space="0" w:color="auto"/>
            </w:tcBorders>
            <w:vAlign w:val="center"/>
          </w:tcPr>
          <w:p w14:paraId="71DE4A9B" w14:textId="77777777" w:rsidR="00582F91" w:rsidRPr="00C03605" w:rsidRDefault="00582F91" w:rsidP="00C75CFA">
            <w:pPr>
              <w:spacing w:before="40" w:after="20"/>
              <w:jc w:val="center"/>
              <w:rPr>
                <w:rFonts w:ascii="Arial Narrow" w:hAnsi="Arial Narrow"/>
                <w:sz w:val="18"/>
                <w:szCs w:val="18"/>
                <w:lang w:val="en-US"/>
              </w:rPr>
            </w:pPr>
            <w:r w:rsidRPr="00C03605">
              <w:rPr>
                <w:rFonts w:ascii="Arial Narrow" w:hAnsi="Arial Narrow"/>
                <w:sz w:val="18"/>
                <w:szCs w:val="18"/>
                <w:lang w:val="en-US"/>
              </w:rPr>
              <w:t>Variazioni tendenziali</w:t>
            </w:r>
          </w:p>
        </w:tc>
        <w:tc>
          <w:tcPr>
            <w:tcW w:w="2140" w:type="dxa"/>
            <w:gridSpan w:val="2"/>
            <w:tcBorders>
              <w:top w:val="single" w:sz="4" w:space="0" w:color="auto"/>
              <w:bottom w:val="single" w:sz="4" w:space="0" w:color="auto"/>
            </w:tcBorders>
            <w:shd w:val="clear" w:color="auto" w:fill="D9D9D9"/>
            <w:vAlign w:val="center"/>
          </w:tcPr>
          <w:p w14:paraId="77E11683" w14:textId="77777777" w:rsidR="00582F91" w:rsidRPr="00C03605" w:rsidRDefault="00582F91" w:rsidP="00C75CFA">
            <w:pPr>
              <w:spacing w:before="40" w:after="20"/>
              <w:jc w:val="center"/>
              <w:rPr>
                <w:rFonts w:ascii="Arial Narrow" w:hAnsi="Arial Narrow"/>
                <w:sz w:val="18"/>
                <w:szCs w:val="18"/>
                <w:lang w:val="en-US"/>
              </w:rPr>
            </w:pPr>
            <w:r w:rsidRPr="00C03605">
              <w:rPr>
                <w:rFonts w:ascii="Arial Narrow" w:hAnsi="Arial Narrow"/>
                <w:sz w:val="18"/>
                <w:szCs w:val="18"/>
                <w:lang w:val="en-US"/>
              </w:rPr>
              <w:t>Variazioni tendenziali</w:t>
            </w:r>
          </w:p>
        </w:tc>
        <w:tc>
          <w:tcPr>
            <w:tcW w:w="2140" w:type="dxa"/>
            <w:gridSpan w:val="2"/>
            <w:tcBorders>
              <w:top w:val="single" w:sz="4" w:space="0" w:color="auto"/>
              <w:left w:val="nil"/>
              <w:bottom w:val="single" w:sz="4" w:space="0" w:color="auto"/>
              <w:right w:val="nil"/>
            </w:tcBorders>
            <w:vAlign w:val="center"/>
          </w:tcPr>
          <w:p w14:paraId="1129A9B0" w14:textId="77777777" w:rsidR="00582F91" w:rsidRPr="00C03605" w:rsidRDefault="00582F91" w:rsidP="00C75CFA">
            <w:pPr>
              <w:spacing w:before="40" w:after="20"/>
              <w:jc w:val="center"/>
              <w:rPr>
                <w:rFonts w:ascii="Arial Narrow" w:hAnsi="Arial Narrow"/>
                <w:sz w:val="18"/>
                <w:szCs w:val="18"/>
                <w:lang w:val="en-US"/>
              </w:rPr>
            </w:pPr>
            <w:r w:rsidRPr="00C03605">
              <w:rPr>
                <w:rFonts w:ascii="Arial Narrow" w:hAnsi="Arial Narrow"/>
                <w:sz w:val="18"/>
                <w:szCs w:val="18"/>
                <w:lang w:val="en-US"/>
              </w:rPr>
              <w:t>Variazioni tendenziali</w:t>
            </w:r>
          </w:p>
        </w:tc>
      </w:tr>
      <w:tr w:rsidR="00E52CA6" w:rsidRPr="00B076CD" w14:paraId="68689DF6" w14:textId="77777777" w:rsidTr="00C75CFA">
        <w:trPr>
          <w:trHeight w:val="255"/>
        </w:trPr>
        <w:tc>
          <w:tcPr>
            <w:tcW w:w="1647" w:type="dxa"/>
            <w:vMerge/>
            <w:tcBorders>
              <w:left w:val="nil"/>
              <w:right w:val="nil"/>
            </w:tcBorders>
            <w:shd w:val="clear" w:color="auto" w:fill="FFFFFF"/>
            <w:vAlign w:val="center"/>
          </w:tcPr>
          <w:p w14:paraId="16425BB4" w14:textId="77777777" w:rsidR="00E52CA6" w:rsidRPr="00B076CD" w:rsidRDefault="00E52CA6" w:rsidP="00E52CA6">
            <w:pPr>
              <w:spacing w:before="40" w:after="20"/>
              <w:rPr>
                <w:rFonts w:ascii="Arial Narrow" w:hAnsi="Arial Narrow" w:cs="Arial"/>
                <w:sz w:val="18"/>
                <w:szCs w:val="18"/>
              </w:rPr>
            </w:pPr>
          </w:p>
        </w:tc>
        <w:tc>
          <w:tcPr>
            <w:tcW w:w="823" w:type="dxa"/>
            <w:tcBorders>
              <w:top w:val="single" w:sz="4" w:space="0" w:color="auto"/>
              <w:left w:val="nil"/>
              <w:right w:val="nil"/>
            </w:tcBorders>
            <w:shd w:val="clear" w:color="auto" w:fill="auto"/>
            <w:vAlign w:val="center"/>
          </w:tcPr>
          <w:p w14:paraId="7D41AC0A" w14:textId="77777777" w:rsidR="00E52CA6" w:rsidRPr="0069402A" w:rsidRDefault="00E52CA6" w:rsidP="00E52CA6">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 23</w:t>
            </w:r>
          </w:p>
          <w:p w14:paraId="37B5CD57" w14:textId="5B71F65D" w:rsidR="00E52CA6" w:rsidRPr="003C7722" w:rsidRDefault="00E52CA6" w:rsidP="00E52CA6">
            <w:pPr>
              <w:spacing w:before="40" w:after="20"/>
              <w:jc w:val="center"/>
              <w:rPr>
                <w:rFonts w:ascii="Arial Narrow" w:hAnsi="Arial Narrow"/>
                <w:sz w:val="18"/>
                <w:szCs w:val="18"/>
                <w:lang w:val="en-US"/>
              </w:rPr>
            </w:pPr>
            <w:r>
              <w:rPr>
                <w:rFonts w:ascii="Arial Narrow" w:hAnsi="Arial Narrow"/>
                <w:sz w:val="18"/>
                <w:szCs w:val="18"/>
                <w:lang w:val="en-US"/>
              </w:rPr>
              <w:t>ott 22</w:t>
            </w:r>
          </w:p>
        </w:tc>
        <w:tc>
          <w:tcPr>
            <w:tcW w:w="1316" w:type="dxa"/>
            <w:tcBorders>
              <w:top w:val="single" w:sz="4" w:space="0" w:color="auto"/>
              <w:left w:val="nil"/>
              <w:right w:val="nil"/>
            </w:tcBorders>
            <w:shd w:val="clear" w:color="auto" w:fill="auto"/>
            <w:vAlign w:val="center"/>
          </w:tcPr>
          <w:p w14:paraId="69DBD39E" w14:textId="77777777" w:rsidR="00E52CA6" w:rsidRPr="0069402A" w:rsidRDefault="00E52CA6" w:rsidP="00E52CA6">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gen-ott 23</w:t>
            </w:r>
          </w:p>
          <w:p w14:paraId="3248EA5E" w14:textId="31524BC3" w:rsidR="00E52CA6" w:rsidRPr="003C7722" w:rsidRDefault="00E52CA6" w:rsidP="00E52CA6">
            <w:pPr>
              <w:spacing w:before="40" w:after="20"/>
              <w:jc w:val="center"/>
              <w:rPr>
                <w:rFonts w:ascii="Arial Narrow" w:hAnsi="Arial Narrow"/>
                <w:sz w:val="18"/>
                <w:szCs w:val="18"/>
                <w:lang w:val="en-US"/>
              </w:rPr>
            </w:pPr>
            <w:r>
              <w:rPr>
                <w:rFonts w:ascii="Arial Narrow" w:hAnsi="Arial Narrow"/>
                <w:sz w:val="18"/>
                <w:szCs w:val="18"/>
                <w:lang w:val="en-US"/>
              </w:rPr>
              <w:t>gen-ott 22</w:t>
            </w:r>
          </w:p>
        </w:tc>
        <w:tc>
          <w:tcPr>
            <w:tcW w:w="823" w:type="dxa"/>
            <w:tcBorders>
              <w:top w:val="single" w:sz="4" w:space="0" w:color="auto"/>
              <w:left w:val="nil"/>
              <w:right w:val="nil"/>
            </w:tcBorders>
            <w:shd w:val="clear" w:color="auto" w:fill="auto"/>
            <w:vAlign w:val="center"/>
          </w:tcPr>
          <w:p w14:paraId="245FDCB1" w14:textId="77777777" w:rsidR="00E52CA6" w:rsidRPr="0069402A" w:rsidRDefault="00E52CA6" w:rsidP="00E52CA6">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 23</w:t>
            </w:r>
          </w:p>
          <w:p w14:paraId="5594B554" w14:textId="0CA23AAF" w:rsidR="00E52CA6" w:rsidRPr="003C7722" w:rsidRDefault="00E52CA6" w:rsidP="00E52CA6">
            <w:pPr>
              <w:spacing w:before="40" w:after="20"/>
              <w:jc w:val="center"/>
              <w:rPr>
                <w:rFonts w:ascii="Arial Narrow" w:hAnsi="Arial Narrow"/>
                <w:sz w:val="18"/>
                <w:szCs w:val="18"/>
                <w:lang w:val="en-US"/>
              </w:rPr>
            </w:pPr>
            <w:r>
              <w:rPr>
                <w:rFonts w:ascii="Arial Narrow" w:hAnsi="Arial Narrow"/>
                <w:sz w:val="18"/>
                <w:szCs w:val="18"/>
                <w:lang w:val="en-US"/>
              </w:rPr>
              <w:t>ott 22</w:t>
            </w:r>
          </w:p>
        </w:tc>
        <w:tc>
          <w:tcPr>
            <w:tcW w:w="1317" w:type="dxa"/>
            <w:tcBorders>
              <w:top w:val="single" w:sz="4" w:space="0" w:color="auto"/>
              <w:left w:val="nil"/>
              <w:right w:val="nil"/>
            </w:tcBorders>
            <w:shd w:val="clear" w:color="auto" w:fill="auto"/>
            <w:vAlign w:val="center"/>
          </w:tcPr>
          <w:p w14:paraId="383E889E" w14:textId="77777777" w:rsidR="00E52CA6" w:rsidRPr="0069402A" w:rsidRDefault="00E52CA6" w:rsidP="00E52CA6">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gen-ott 23</w:t>
            </w:r>
          </w:p>
          <w:p w14:paraId="41413762" w14:textId="520BD90F" w:rsidR="00E52CA6" w:rsidRPr="003C7722" w:rsidRDefault="00E52CA6" w:rsidP="00E52CA6">
            <w:pPr>
              <w:spacing w:before="40" w:after="20"/>
              <w:jc w:val="center"/>
              <w:rPr>
                <w:rFonts w:ascii="Arial Narrow" w:hAnsi="Arial Narrow"/>
                <w:sz w:val="18"/>
                <w:szCs w:val="18"/>
                <w:lang w:val="en-US"/>
              </w:rPr>
            </w:pPr>
            <w:r>
              <w:rPr>
                <w:rFonts w:ascii="Arial Narrow" w:hAnsi="Arial Narrow"/>
                <w:sz w:val="18"/>
                <w:szCs w:val="18"/>
                <w:lang w:val="en-US"/>
              </w:rPr>
              <w:t>gen-ott 22</w:t>
            </w:r>
          </w:p>
        </w:tc>
        <w:tc>
          <w:tcPr>
            <w:tcW w:w="823" w:type="dxa"/>
            <w:tcBorders>
              <w:top w:val="single" w:sz="4" w:space="0" w:color="auto"/>
              <w:left w:val="nil"/>
              <w:right w:val="nil"/>
            </w:tcBorders>
            <w:shd w:val="clear" w:color="auto" w:fill="auto"/>
            <w:vAlign w:val="center"/>
          </w:tcPr>
          <w:p w14:paraId="3EEBFD22" w14:textId="77777777" w:rsidR="00E52CA6" w:rsidRPr="0069402A" w:rsidRDefault="00E52CA6" w:rsidP="00E52CA6">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 23</w:t>
            </w:r>
          </w:p>
          <w:p w14:paraId="77885A99" w14:textId="7E5AD3C5" w:rsidR="00E52CA6" w:rsidRPr="003C7722" w:rsidRDefault="00E52CA6" w:rsidP="00E52CA6">
            <w:pPr>
              <w:spacing w:before="40" w:after="20"/>
              <w:jc w:val="center"/>
              <w:rPr>
                <w:rFonts w:ascii="Arial Narrow" w:hAnsi="Arial Narrow"/>
                <w:sz w:val="18"/>
                <w:szCs w:val="18"/>
                <w:lang w:val="en-US"/>
              </w:rPr>
            </w:pPr>
            <w:r>
              <w:rPr>
                <w:rFonts w:ascii="Arial Narrow" w:hAnsi="Arial Narrow"/>
                <w:sz w:val="18"/>
                <w:szCs w:val="18"/>
                <w:lang w:val="en-US"/>
              </w:rPr>
              <w:t>ott 22</w:t>
            </w:r>
          </w:p>
        </w:tc>
        <w:tc>
          <w:tcPr>
            <w:tcW w:w="1317" w:type="dxa"/>
            <w:tcBorders>
              <w:top w:val="single" w:sz="4" w:space="0" w:color="auto"/>
              <w:left w:val="nil"/>
              <w:right w:val="nil"/>
            </w:tcBorders>
            <w:shd w:val="clear" w:color="auto" w:fill="auto"/>
            <w:vAlign w:val="center"/>
          </w:tcPr>
          <w:p w14:paraId="7851E03E" w14:textId="77777777" w:rsidR="00E52CA6" w:rsidRPr="0069402A" w:rsidRDefault="00E52CA6" w:rsidP="00E52CA6">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gen-ott 23</w:t>
            </w:r>
          </w:p>
          <w:p w14:paraId="72D062D7" w14:textId="7814A76D" w:rsidR="00E52CA6" w:rsidRPr="003C7722" w:rsidRDefault="00E52CA6" w:rsidP="00E52CA6">
            <w:pPr>
              <w:spacing w:before="40" w:after="20"/>
              <w:jc w:val="center"/>
              <w:rPr>
                <w:rFonts w:ascii="Arial Narrow" w:hAnsi="Arial Narrow"/>
                <w:sz w:val="18"/>
                <w:szCs w:val="18"/>
                <w:lang w:val="en-US"/>
              </w:rPr>
            </w:pPr>
            <w:r>
              <w:rPr>
                <w:rFonts w:ascii="Arial Narrow" w:hAnsi="Arial Narrow"/>
                <w:sz w:val="18"/>
                <w:szCs w:val="18"/>
                <w:lang w:val="en-US"/>
              </w:rPr>
              <w:t>gen-ott 22</w:t>
            </w:r>
          </w:p>
        </w:tc>
        <w:tc>
          <w:tcPr>
            <w:tcW w:w="823" w:type="dxa"/>
            <w:tcBorders>
              <w:top w:val="single" w:sz="4" w:space="0" w:color="auto"/>
              <w:left w:val="nil"/>
              <w:right w:val="nil"/>
            </w:tcBorders>
            <w:shd w:val="clear" w:color="auto" w:fill="auto"/>
            <w:vAlign w:val="center"/>
          </w:tcPr>
          <w:p w14:paraId="6EC897AB" w14:textId="77777777" w:rsidR="00E52CA6" w:rsidRPr="0069402A" w:rsidRDefault="00E52CA6" w:rsidP="00E52CA6">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 23</w:t>
            </w:r>
          </w:p>
          <w:p w14:paraId="489CC2C2" w14:textId="206F6213" w:rsidR="00E52CA6" w:rsidRPr="003C7722" w:rsidRDefault="00E52CA6" w:rsidP="00E52CA6">
            <w:pPr>
              <w:spacing w:before="40" w:after="20"/>
              <w:jc w:val="center"/>
              <w:rPr>
                <w:rFonts w:ascii="Arial Narrow" w:hAnsi="Arial Narrow"/>
                <w:sz w:val="18"/>
                <w:szCs w:val="18"/>
                <w:lang w:val="en-US"/>
              </w:rPr>
            </w:pPr>
            <w:r>
              <w:rPr>
                <w:rFonts w:ascii="Arial Narrow" w:hAnsi="Arial Narrow"/>
                <w:sz w:val="18"/>
                <w:szCs w:val="18"/>
                <w:lang w:val="en-US"/>
              </w:rPr>
              <w:t>ott 22</w:t>
            </w:r>
          </w:p>
        </w:tc>
        <w:tc>
          <w:tcPr>
            <w:tcW w:w="1317" w:type="dxa"/>
            <w:tcBorders>
              <w:top w:val="single" w:sz="4" w:space="0" w:color="auto"/>
              <w:left w:val="nil"/>
              <w:right w:val="nil"/>
            </w:tcBorders>
            <w:shd w:val="clear" w:color="auto" w:fill="auto"/>
            <w:vAlign w:val="center"/>
          </w:tcPr>
          <w:p w14:paraId="12AA02A2" w14:textId="77777777" w:rsidR="00E52CA6" w:rsidRPr="0069402A" w:rsidRDefault="00E52CA6" w:rsidP="00E52CA6">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gen-ott 23</w:t>
            </w:r>
          </w:p>
          <w:p w14:paraId="3114074B" w14:textId="1F33BBD3" w:rsidR="00E52CA6" w:rsidRPr="003C7722" w:rsidRDefault="00E52CA6" w:rsidP="00E52CA6">
            <w:pPr>
              <w:spacing w:before="40" w:after="20"/>
              <w:jc w:val="center"/>
              <w:rPr>
                <w:rFonts w:ascii="Arial Narrow" w:hAnsi="Arial Narrow"/>
                <w:sz w:val="18"/>
                <w:szCs w:val="18"/>
                <w:lang w:val="en-US"/>
              </w:rPr>
            </w:pPr>
            <w:r>
              <w:rPr>
                <w:rFonts w:ascii="Arial Narrow" w:hAnsi="Arial Narrow"/>
                <w:sz w:val="18"/>
                <w:szCs w:val="18"/>
                <w:lang w:val="en-US"/>
              </w:rPr>
              <w:t>gen-ott 22</w:t>
            </w:r>
          </w:p>
        </w:tc>
      </w:tr>
      <w:tr w:rsidR="00F458B0" w:rsidRPr="008C0651" w14:paraId="0C708887" w14:textId="77777777" w:rsidTr="00F458B0">
        <w:trPr>
          <w:trHeight w:val="255"/>
        </w:trPr>
        <w:tc>
          <w:tcPr>
            <w:tcW w:w="1647" w:type="dxa"/>
            <w:tcBorders>
              <w:top w:val="single" w:sz="4" w:space="0" w:color="auto"/>
              <w:left w:val="nil"/>
              <w:bottom w:val="single" w:sz="4" w:space="0" w:color="auto"/>
            </w:tcBorders>
            <w:vAlign w:val="center"/>
          </w:tcPr>
          <w:p w14:paraId="1080DEC8" w14:textId="77777777" w:rsidR="00F458B0" w:rsidRPr="00B076CD" w:rsidRDefault="00F458B0" w:rsidP="00F458B0">
            <w:pPr>
              <w:spacing w:before="40" w:after="20"/>
              <w:rPr>
                <w:rFonts w:ascii="Arial Narrow" w:hAnsi="Arial Narrow" w:cs="Arial"/>
                <w:sz w:val="18"/>
                <w:szCs w:val="18"/>
              </w:rPr>
            </w:pPr>
            <w:r w:rsidRPr="00B076CD">
              <w:rPr>
                <w:rFonts w:ascii="Arial Narrow" w:hAnsi="Arial Narrow" w:cs="Arial"/>
                <w:sz w:val="18"/>
                <w:szCs w:val="18"/>
              </w:rPr>
              <w:t>Beni di consumo</w:t>
            </w:r>
          </w:p>
        </w:tc>
        <w:tc>
          <w:tcPr>
            <w:tcW w:w="823" w:type="dxa"/>
            <w:tcBorders>
              <w:top w:val="single" w:sz="4" w:space="0" w:color="auto"/>
              <w:bottom w:val="single" w:sz="4" w:space="0" w:color="auto"/>
            </w:tcBorders>
            <w:shd w:val="clear" w:color="auto" w:fill="D9D9D9"/>
            <w:vAlign w:val="center"/>
          </w:tcPr>
          <w:p w14:paraId="3AEF4E29" w14:textId="6B7D52FD" w:rsidR="00F458B0" w:rsidRDefault="00F458B0" w:rsidP="00F458B0">
            <w:pPr>
              <w:jc w:val="center"/>
              <w:rPr>
                <w:rFonts w:ascii="Arial Narrow" w:hAnsi="Arial Narrow"/>
                <w:sz w:val="18"/>
                <w:szCs w:val="18"/>
              </w:rPr>
            </w:pPr>
            <w:r>
              <w:rPr>
                <w:rFonts w:ascii="Arial Narrow" w:hAnsi="Arial Narrow"/>
                <w:sz w:val="18"/>
                <w:szCs w:val="18"/>
              </w:rPr>
              <w:t>+6,7</w:t>
            </w:r>
          </w:p>
        </w:tc>
        <w:tc>
          <w:tcPr>
            <w:tcW w:w="1316" w:type="dxa"/>
            <w:tcBorders>
              <w:top w:val="single" w:sz="4" w:space="0" w:color="auto"/>
              <w:bottom w:val="single" w:sz="4" w:space="0" w:color="auto"/>
            </w:tcBorders>
            <w:shd w:val="clear" w:color="auto" w:fill="D9D9D9"/>
            <w:vAlign w:val="center"/>
          </w:tcPr>
          <w:p w14:paraId="09965AE2" w14:textId="23A33537" w:rsidR="00F458B0" w:rsidRDefault="00F458B0" w:rsidP="00F458B0">
            <w:pPr>
              <w:jc w:val="center"/>
              <w:rPr>
                <w:rFonts w:ascii="Arial Narrow" w:hAnsi="Arial Narrow"/>
                <w:sz w:val="18"/>
                <w:szCs w:val="18"/>
              </w:rPr>
            </w:pPr>
            <w:r>
              <w:rPr>
                <w:rFonts w:ascii="Arial Narrow" w:hAnsi="Arial Narrow"/>
                <w:sz w:val="18"/>
                <w:szCs w:val="18"/>
              </w:rPr>
              <w:t>+10,2</w:t>
            </w:r>
          </w:p>
        </w:tc>
        <w:tc>
          <w:tcPr>
            <w:tcW w:w="823" w:type="dxa"/>
            <w:tcBorders>
              <w:top w:val="single" w:sz="4" w:space="0" w:color="auto"/>
              <w:bottom w:val="single" w:sz="4" w:space="0" w:color="auto"/>
            </w:tcBorders>
            <w:vAlign w:val="center"/>
          </w:tcPr>
          <w:p w14:paraId="6829375D" w14:textId="1207A134" w:rsidR="00F458B0" w:rsidRDefault="00F458B0" w:rsidP="00F458B0">
            <w:pPr>
              <w:jc w:val="center"/>
              <w:rPr>
                <w:rFonts w:ascii="Arial Narrow" w:hAnsi="Arial Narrow"/>
                <w:sz w:val="18"/>
                <w:szCs w:val="18"/>
              </w:rPr>
            </w:pPr>
            <w:r>
              <w:rPr>
                <w:rFonts w:ascii="Arial Narrow" w:hAnsi="Arial Narrow"/>
                <w:sz w:val="18"/>
                <w:szCs w:val="18"/>
              </w:rPr>
              <w:t>+0,5</w:t>
            </w:r>
          </w:p>
        </w:tc>
        <w:tc>
          <w:tcPr>
            <w:tcW w:w="1317" w:type="dxa"/>
            <w:tcBorders>
              <w:top w:val="single" w:sz="4" w:space="0" w:color="auto"/>
              <w:bottom w:val="single" w:sz="4" w:space="0" w:color="auto"/>
            </w:tcBorders>
            <w:vAlign w:val="center"/>
          </w:tcPr>
          <w:p w14:paraId="103DCB85" w14:textId="6814D48C" w:rsidR="00F458B0" w:rsidRDefault="00F458B0" w:rsidP="00F458B0">
            <w:pPr>
              <w:jc w:val="center"/>
              <w:rPr>
                <w:rFonts w:ascii="Arial Narrow" w:hAnsi="Arial Narrow"/>
                <w:sz w:val="18"/>
                <w:szCs w:val="18"/>
              </w:rPr>
            </w:pPr>
            <w:r>
              <w:rPr>
                <w:rFonts w:ascii="Arial Narrow" w:hAnsi="Arial Narrow"/>
                <w:sz w:val="18"/>
                <w:szCs w:val="18"/>
              </w:rPr>
              <w:t>+3,7</w:t>
            </w:r>
          </w:p>
        </w:tc>
        <w:tc>
          <w:tcPr>
            <w:tcW w:w="823" w:type="dxa"/>
            <w:tcBorders>
              <w:top w:val="single" w:sz="4" w:space="0" w:color="auto"/>
              <w:bottom w:val="single" w:sz="4" w:space="0" w:color="auto"/>
            </w:tcBorders>
            <w:shd w:val="clear" w:color="auto" w:fill="D9D9D9"/>
            <w:vAlign w:val="center"/>
          </w:tcPr>
          <w:p w14:paraId="2DB573E6" w14:textId="43C79A2B" w:rsidR="00F458B0" w:rsidRDefault="00F458B0" w:rsidP="00F458B0">
            <w:pPr>
              <w:jc w:val="center"/>
              <w:rPr>
                <w:rFonts w:ascii="Arial Narrow" w:hAnsi="Arial Narrow"/>
                <w:sz w:val="18"/>
                <w:szCs w:val="18"/>
              </w:rPr>
            </w:pPr>
            <w:r>
              <w:rPr>
                <w:rFonts w:ascii="Arial Narrow" w:hAnsi="Arial Narrow"/>
                <w:sz w:val="18"/>
                <w:szCs w:val="18"/>
              </w:rPr>
              <w:t>-2,0</w:t>
            </w:r>
          </w:p>
        </w:tc>
        <w:tc>
          <w:tcPr>
            <w:tcW w:w="1317" w:type="dxa"/>
            <w:tcBorders>
              <w:top w:val="single" w:sz="4" w:space="0" w:color="auto"/>
              <w:bottom w:val="single" w:sz="4" w:space="0" w:color="auto"/>
            </w:tcBorders>
            <w:shd w:val="clear" w:color="auto" w:fill="D9D9D9"/>
            <w:vAlign w:val="center"/>
          </w:tcPr>
          <w:p w14:paraId="252C1C71" w14:textId="4A700C3D" w:rsidR="00F458B0" w:rsidRDefault="00F458B0" w:rsidP="00F458B0">
            <w:pPr>
              <w:jc w:val="center"/>
              <w:rPr>
                <w:rFonts w:ascii="Arial Narrow" w:hAnsi="Arial Narrow"/>
                <w:sz w:val="18"/>
                <w:szCs w:val="18"/>
              </w:rPr>
            </w:pPr>
            <w:r>
              <w:rPr>
                <w:rFonts w:ascii="Arial Narrow" w:hAnsi="Arial Narrow"/>
                <w:sz w:val="18"/>
                <w:szCs w:val="18"/>
              </w:rPr>
              <w:t>-5,8</w:t>
            </w:r>
          </w:p>
        </w:tc>
        <w:tc>
          <w:tcPr>
            <w:tcW w:w="823" w:type="dxa"/>
            <w:tcBorders>
              <w:top w:val="single" w:sz="4" w:space="0" w:color="auto"/>
              <w:bottom w:val="single" w:sz="4" w:space="0" w:color="auto"/>
            </w:tcBorders>
            <w:vAlign w:val="center"/>
          </w:tcPr>
          <w:p w14:paraId="284BE562" w14:textId="53ECCB2C" w:rsidR="00F458B0" w:rsidRDefault="00F458B0" w:rsidP="00F458B0">
            <w:pPr>
              <w:jc w:val="center"/>
              <w:rPr>
                <w:rFonts w:ascii="Arial Narrow" w:hAnsi="Arial Narrow"/>
                <w:sz w:val="18"/>
                <w:szCs w:val="18"/>
              </w:rPr>
            </w:pPr>
            <w:r>
              <w:rPr>
                <w:rFonts w:ascii="Arial Narrow" w:hAnsi="Arial Narrow"/>
                <w:sz w:val="18"/>
                <w:szCs w:val="18"/>
              </w:rPr>
              <w:t>+0,2</w:t>
            </w:r>
          </w:p>
        </w:tc>
        <w:tc>
          <w:tcPr>
            <w:tcW w:w="1317" w:type="dxa"/>
            <w:tcBorders>
              <w:top w:val="single" w:sz="4" w:space="0" w:color="auto"/>
              <w:bottom w:val="single" w:sz="4" w:space="0" w:color="auto"/>
            </w:tcBorders>
            <w:vAlign w:val="center"/>
          </w:tcPr>
          <w:p w14:paraId="02AB9B46" w14:textId="010ED1D8" w:rsidR="00F458B0" w:rsidRDefault="00F458B0" w:rsidP="00F458B0">
            <w:pPr>
              <w:jc w:val="center"/>
              <w:rPr>
                <w:rFonts w:ascii="Arial Narrow" w:hAnsi="Arial Narrow"/>
                <w:sz w:val="18"/>
                <w:szCs w:val="18"/>
              </w:rPr>
            </w:pPr>
            <w:r>
              <w:rPr>
                <w:rFonts w:ascii="Arial Narrow" w:hAnsi="Arial Narrow"/>
                <w:sz w:val="18"/>
                <w:szCs w:val="18"/>
              </w:rPr>
              <w:t>-2,3</w:t>
            </w:r>
          </w:p>
        </w:tc>
      </w:tr>
      <w:tr w:rsidR="00F458B0" w:rsidRPr="008C0651" w14:paraId="4E3AEB02" w14:textId="77777777" w:rsidTr="00F458B0">
        <w:trPr>
          <w:trHeight w:val="255"/>
        </w:trPr>
        <w:tc>
          <w:tcPr>
            <w:tcW w:w="1647" w:type="dxa"/>
            <w:tcBorders>
              <w:top w:val="single" w:sz="4" w:space="0" w:color="auto"/>
              <w:left w:val="nil"/>
              <w:bottom w:val="single" w:sz="4" w:space="0" w:color="auto"/>
            </w:tcBorders>
            <w:vAlign w:val="center"/>
          </w:tcPr>
          <w:p w14:paraId="54324A15" w14:textId="16DE6FD2" w:rsidR="00F458B0" w:rsidRPr="00353F86" w:rsidRDefault="00F458B0" w:rsidP="00F458B0">
            <w:pPr>
              <w:spacing w:before="40" w:after="20"/>
              <w:rPr>
                <w:rFonts w:ascii="Arial Narrow" w:hAnsi="Arial Narrow" w:cs="Arial"/>
                <w:sz w:val="18"/>
                <w:szCs w:val="18"/>
              </w:rPr>
            </w:pPr>
            <w:r w:rsidRPr="00353F86">
              <w:rPr>
                <w:rFonts w:ascii="Arial Narrow" w:hAnsi="Arial Narrow" w:cs="Arial"/>
                <w:sz w:val="18"/>
                <w:szCs w:val="18"/>
              </w:rPr>
              <w:t>Durevoli</w:t>
            </w:r>
          </w:p>
        </w:tc>
        <w:tc>
          <w:tcPr>
            <w:tcW w:w="823" w:type="dxa"/>
            <w:tcBorders>
              <w:top w:val="single" w:sz="4" w:space="0" w:color="auto"/>
              <w:bottom w:val="single" w:sz="4" w:space="0" w:color="auto"/>
            </w:tcBorders>
            <w:shd w:val="clear" w:color="auto" w:fill="D9D9D9"/>
            <w:vAlign w:val="center"/>
          </w:tcPr>
          <w:p w14:paraId="2850EA74" w14:textId="5EC61E6E" w:rsidR="00F458B0" w:rsidRDefault="00F458B0" w:rsidP="00F458B0">
            <w:pPr>
              <w:jc w:val="center"/>
              <w:rPr>
                <w:rFonts w:ascii="Arial Narrow" w:hAnsi="Arial Narrow"/>
                <w:sz w:val="18"/>
                <w:szCs w:val="18"/>
              </w:rPr>
            </w:pPr>
            <w:r>
              <w:rPr>
                <w:rFonts w:ascii="Arial Narrow" w:hAnsi="Arial Narrow"/>
                <w:sz w:val="18"/>
                <w:szCs w:val="18"/>
              </w:rPr>
              <w:t>+4,6</w:t>
            </w:r>
          </w:p>
        </w:tc>
        <w:tc>
          <w:tcPr>
            <w:tcW w:w="1316" w:type="dxa"/>
            <w:tcBorders>
              <w:top w:val="single" w:sz="4" w:space="0" w:color="auto"/>
              <w:bottom w:val="single" w:sz="4" w:space="0" w:color="auto"/>
            </w:tcBorders>
            <w:shd w:val="clear" w:color="auto" w:fill="D9D9D9"/>
            <w:vAlign w:val="center"/>
          </w:tcPr>
          <w:p w14:paraId="433F1EBC" w14:textId="62E39E0D" w:rsidR="00F458B0" w:rsidRDefault="00F458B0" w:rsidP="00F458B0">
            <w:pPr>
              <w:jc w:val="center"/>
              <w:rPr>
                <w:rFonts w:ascii="Arial Narrow" w:hAnsi="Arial Narrow"/>
                <w:sz w:val="18"/>
                <w:szCs w:val="18"/>
              </w:rPr>
            </w:pPr>
            <w:r>
              <w:rPr>
                <w:rFonts w:ascii="Arial Narrow" w:hAnsi="Arial Narrow"/>
                <w:sz w:val="18"/>
                <w:szCs w:val="18"/>
              </w:rPr>
              <w:t>+9,0</w:t>
            </w:r>
          </w:p>
        </w:tc>
        <w:tc>
          <w:tcPr>
            <w:tcW w:w="823" w:type="dxa"/>
            <w:tcBorders>
              <w:top w:val="single" w:sz="4" w:space="0" w:color="auto"/>
              <w:bottom w:val="single" w:sz="4" w:space="0" w:color="auto"/>
            </w:tcBorders>
            <w:vAlign w:val="center"/>
          </w:tcPr>
          <w:p w14:paraId="678AEDC8" w14:textId="35A2FEEA" w:rsidR="00F458B0" w:rsidRDefault="00F458B0" w:rsidP="00F458B0">
            <w:pPr>
              <w:jc w:val="center"/>
              <w:rPr>
                <w:rFonts w:ascii="Arial Narrow" w:hAnsi="Arial Narrow"/>
                <w:sz w:val="18"/>
                <w:szCs w:val="18"/>
              </w:rPr>
            </w:pPr>
            <w:r>
              <w:rPr>
                <w:rFonts w:ascii="Arial Narrow" w:hAnsi="Arial Narrow"/>
                <w:sz w:val="18"/>
                <w:szCs w:val="18"/>
              </w:rPr>
              <w:t>-0,4</w:t>
            </w:r>
          </w:p>
        </w:tc>
        <w:tc>
          <w:tcPr>
            <w:tcW w:w="1317" w:type="dxa"/>
            <w:tcBorders>
              <w:top w:val="single" w:sz="4" w:space="0" w:color="auto"/>
              <w:bottom w:val="single" w:sz="4" w:space="0" w:color="auto"/>
            </w:tcBorders>
            <w:vAlign w:val="center"/>
          </w:tcPr>
          <w:p w14:paraId="57D1098A" w14:textId="0BB7132E" w:rsidR="00F458B0" w:rsidRDefault="00F458B0" w:rsidP="00F458B0">
            <w:pPr>
              <w:jc w:val="center"/>
              <w:rPr>
                <w:rFonts w:ascii="Arial Narrow" w:hAnsi="Arial Narrow"/>
                <w:sz w:val="18"/>
                <w:szCs w:val="18"/>
              </w:rPr>
            </w:pPr>
            <w:r>
              <w:rPr>
                <w:rFonts w:ascii="Arial Narrow" w:hAnsi="Arial Narrow"/>
                <w:sz w:val="18"/>
                <w:szCs w:val="18"/>
              </w:rPr>
              <w:t>+4,1</w:t>
            </w:r>
          </w:p>
        </w:tc>
        <w:tc>
          <w:tcPr>
            <w:tcW w:w="823" w:type="dxa"/>
            <w:tcBorders>
              <w:top w:val="single" w:sz="4" w:space="0" w:color="auto"/>
              <w:bottom w:val="single" w:sz="4" w:space="0" w:color="auto"/>
            </w:tcBorders>
            <w:shd w:val="clear" w:color="auto" w:fill="D9D9D9"/>
            <w:vAlign w:val="center"/>
          </w:tcPr>
          <w:p w14:paraId="0967E4F4" w14:textId="657E03F7" w:rsidR="00F458B0" w:rsidRDefault="00F458B0" w:rsidP="00F458B0">
            <w:pPr>
              <w:jc w:val="center"/>
              <w:rPr>
                <w:rFonts w:ascii="Arial Narrow" w:hAnsi="Arial Narrow"/>
                <w:sz w:val="18"/>
                <w:szCs w:val="18"/>
              </w:rPr>
            </w:pPr>
            <w:r>
              <w:rPr>
                <w:rFonts w:ascii="Arial Narrow" w:hAnsi="Arial Narrow"/>
                <w:sz w:val="18"/>
                <w:szCs w:val="18"/>
              </w:rPr>
              <w:t>-2,5</w:t>
            </w:r>
          </w:p>
        </w:tc>
        <w:tc>
          <w:tcPr>
            <w:tcW w:w="1317" w:type="dxa"/>
            <w:tcBorders>
              <w:top w:val="single" w:sz="4" w:space="0" w:color="auto"/>
              <w:bottom w:val="single" w:sz="4" w:space="0" w:color="auto"/>
            </w:tcBorders>
            <w:shd w:val="clear" w:color="auto" w:fill="D9D9D9"/>
            <w:vAlign w:val="center"/>
          </w:tcPr>
          <w:p w14:paraId="71C714BE" w14:textId="5BD2ED11" w:rsidR="00F458B0" w:rsidRDefault="00F458B0" w:rsidP="00F458B0">
            <w:pPr>
              <w:jc w:val="center"/>
              <w:rPr>
                <w:rFonts w:ascii="Arial Narrow" w:hAnsi="Arial Narrow"/>
                <w:sz w:val="18"/>
                <w:szCs w:val="18"/>
              </w:rPr>
            </w:pPr>
            <w:r>
              <w:rPr>
                <w:rFonts w:ascii="Arial Narrow" w:hAnsi="Arial Narrow"/>
                <w:sz w:val="18"/>
                <w:szCs w:val="18"/>
              </w:rPr>
              <w:t>-8,5</w:t>
            </w:r>
          </w:p>
        </w:tc>
        <w:tc>
          <w:tcPr>
            <w:tcW w:w="823" w:type="dxa"/>
            <w:tcBorders>
              <w:top w:val="single" w:sz="4" w:space="0" w:color="auto"/>
              <w:bottom w:val="single" w:sz="4" w:space="0" w:color="auto"/>
            </w:tcBorders>
            <w:vAlign w:val="center"/>
          </w:tcPr>
          <w:p w14:paraId="7D73AE63" w14:textId="5FA8F3BE" w:rsidR="00F458B0" w:rsidRDefault="00F458B0" w:rsidP="00F458B0">
            <w:pPr>
              <w:jc w:val="center"/>
              <w:rPr>
                <w:rFonts w:ascii="Arial Narrow" w:hAnsi="Arial Narrow"/>
                <w:sz w:val="18"/>
                <w:szCs w:val="18"/>
              </w:rPr>
            </w:pPr>
            <w:r>
              <w:rPr>
                <w:rFonts w:ascii="Arial Narrow" w:hAnsi="Arial Narrow"/>
                <w:sz w:val="18"/>
                <w:szCs w:val="18"/>
              </w:rPr>
              <w:t>+2,8</w:t>
            </w:r>
          </w:p>
        </w:tc>
        <w:tc>
          <w:tcPr>
            <w:tcW w:w="1317" w:type="dxa"/>
            <w:tcBorders>
              <w:top w:val="single" w:sz="4" w:space="0" w:color="auto"/>
              <w:bottom w:val="single" w:sz="4" w:space="0" w:color="auto"/>
            </w:tcBorders>
            <w:vAlign w:val="center"/>
          </w:tcPr>
          <w:p w14:paraId="59F6056C" w14:textId="3FD7C00B" w:rsidR="00F458B0" w:rsidRDefault="00F458B0" w:rsidP="00F458B0">
            <w:pPr>
              <w:jc w:val="center"/>
              <w:rPr>
                <w:rFonts w:ascii="Arial Narrow" w:hAnsi="Arial Narrow"/>
                <w:sz w:val="18"/>
                <w:szCs w:val="18"/>
              </w:rPr>
            </w:pPr>
            <w:r>
              <w:rPr>
                <w:rFonts w:ascii="Arial Narrow" w:hAnsi="Arial Narrow"/>
                <w:sz w:val="18"/>
                <w:szCs w:val="18"/>
              </w:rPr>
              <w:t>-7,3</w:t>
            </w:r>
          </w:p>
        </w:tc>
      </w:tr>
      <w:tr w:rsidR="00F458B0" w:rsidRPr="008C0651" w14:paraId="7EAFA937" w14:textId="77777777" w:rsidTr="00F458B0">
        <w:trPr>
          <w:trHeight w:val="255"/>
        </w:trPr>
        <w:tc>
          <w:tcPr>
            <w:tcW w:w="1647" w:type="dxa"/>
            <w:tcBorders>
              <w:top w:val="single" w:sz="4" w:space="0" w:color="auto"/>
              <w:left w:val="nil"/>
              <w:bottom w:val="single" w:sz="4" w:space="0" w:color="auto"/>
            </w:tcBorders>
            <w:vAlign w:val="center"/>
          </w:tcPr>
          <w:p w14:paraId="45567F59" w14:textId="77777777" w:rsidR="00F458B0" w:rsidRPr="00353F86" w:rsidRDefault="00F458B0" w:rsidP="00F458B0">
            <w:pPr>
              <w:spacing w:before="40" w:after="20"/>
              <w:rPr>
                <w:rFonts w:ascii="Arial Narrow" w:hAnsi="Arial Narrow" w:cs="Arial"/>
                <w:sz w:val="18"/>
                <w:szCs w:val="18"/>
              </w:rPr>
            </w:pPr>
            <w:r w:rsidRPr="00353F86">
              <w:rPr>
                <w:rFonts w:ascii="Arial Narrow" w:hAnsi="Arial Narrow" w:cs="Arial"/>
                <w:sz w:val="18"/>
                <w:szCs w:val="18"/>
              </w:rPr>
              <w:t>non durevoli</w:t>
            </w:r>
          </w:p>
        </w:tc>
        <w:tc>
          <w:tcPr>
            <w:tcW w:w="823" w:type="dxa"/>
            <w:tcBorders>
              <w:top w:val="single" w:sz="4" w:space="0" w:color="auto"/>
              <w:bottom w:val="single" w:sz="4" w:space="0" w:color="auto"/>
            </w:tcBorders>
            <w:shd w:val="clear" w:color="auto" w:fill="D9D9D9"/>
            <w:vAlign w:val="center"/>
          </w:tcPr>
          <w:p w14:paraId="22604815" w14:textId="3EE6CC9F" w:rsidR="00F458B0" w:rsidRDefault="00F458B0" w:rsidP="00F458B0">
            <w:pPr>
              <w:jc w:val="center"/>
              <w:rPr>
                <w:rFonts w:ascii="Arial Narrow" w:hAnsi="Arial Narrow"/>
                <w:sz w:val="18"/>
                <w:szCs w:val="18"/>
              </w:rPr>
            </w:pPr>
            <w:r>
              <w:rPr>
                <w:rFonts w:ascii="Arial Narrow" w:hAnsi="Arial Narrow"/>
                <w:sz w:val="18"/>
                <w:szCs w:val="18"/>
              </w:rPr>
              <w:t>+7,3</w:t>
            </w:r>
          </w:p>
        </w:tc>
        <w:tc>
          <w:tcPr>
            <w:tcW w:w="1316" w:type="dxa"/>
            <w:tcBorders>
              <w:top w:val="single" w:sz="4" w:space="0" w:color="auto"/>
              <w:bottom w:val="single" w:sz="4" w:space="0" w:color="auto"/>
            </w:tcBorders>
            <w:shd w:val="clear" w:color="auto" w:fill="D9D9D9"/>
            <w:vAlign w:val="center"/>
          </w:tcPr>
          <w:p w14:paraId="62BA23CB" w14:textId="65CBA10C" w:rsidR="00F458B0" w:rsidRDefault="00F458B0" w:rsidP="00F458B0">
            <w:pPr>
              <w:jc w:val="center"/>
              <w:rPr>
                <w:rFonts w:ascii="Arial Narrow" w:hAnsi="Arial Narrow"/>
                <w:sz w:val="18"/>
                <w:szCs w:val="18"/>
              </w:rPr>
            </w:pPr>
            <w:r>
              <w:rPr>
                <w:rFonts w:ascii="Arial Narrow" w:hAnsi="Arial Narrow"/>
                <w:sz w:val="18"/>
                <w:szCs w:val="18"/>
              </w:rPr>
              <w:t>+10,5</w:t>
            </w:r>
          </w:p>
        </w:tc>
        <w:tc>
          <w:tcPr>
            <w:tcW w:w="823" w:type="dxa"/>
            <w:tcBorders>
              <w:top w:val="single" w:sz="4" w:space="0" w:color="auto"/>
              <w:bottom w:val="single" w:sz="4" w:space="0" w:color="auto"/>
            </w:tcBorders>
            <w:vAlign w:val="center"/>
          </w:tcPr>
          <w:p w14:paraId="19FC1E9B" w14:textId="7E02AA9C" w:rsidR="00F458B0" w:rsidRDefault="00F458B0" w:rsidP="00F458B0">
            <w:pPr>
              <w:jc w:val="center"/>
              <w:rPr>
                <w:rFonts w:ascii="Arial Narrow" w:hAnsi="Arial Narrow"/>
                <w:sz w:val="18"/>
                <w:szCs w:val="18"/>
              </w:rPr>
            </w:pPr>
            <w:r>
              <w:rPr>
                <w:rFonts w:ascii="Arial Narrow" w:hAnsi="Arial Narrow"/>
                <w:sz w:val="18"/>
                <w:szCs w:val="18"/>
              </w:rPr>
              <w:t>+0,8</w:t>
            </w:r>
          </w:p>
        </w:tc>
        <w:tc>
          <w:tcPr>
            <w:tcW w:w="1317" w:type="dxa"/>
            <w:tcBorders>
              <w:top w:val="single" w:sz="4" w:space="0" w:color="auto"/>
              <w:bottom w:val="single" w:sz="4" w:space="0" w:color="auto"/>
            </w:tcBorders>
            <w:vAlign w:val="center"/>
          </w:tcPr>
          <w:p w14:paraId="782EDD72" w14:textId="1A5307BB" w:rsidR="00F458B0" w:rsidRDefault="00F458B0" w:rsidP="00F458B0">
            <w:pPr>
              <w:jc w:val="center"/>
              <w:rPr>
                <w:rFonts w:ascii="Arial Narrow" w:hAnsi="Arial Narrow"/>
                <w:sz w:val="18"/>
                <w:szCs w:val="18"/>
              </w:rPr>
            </w:pPr>
            <w:r>
              <w:rPr>
                <w:rFonts w:ascii="Arial Narrow" w:hAnsi="Arial Narrow"/>
                <w:sz w:val="18"/>
                <w:szCs w:val="18"/>
              </w:rPr>
              <w:t>+3,6</w:t>
            </w:r>
          </w:p>
        </w:tc>
        <w:tc>
          <w:tcPr>
            <w:tcW w:w="823" w:type="dxa"/>
            <w:tcBorders>
              <w:top w:val="single" w:sz="4" w:space="0" w:color="auto"/>
              <w:bottom w:val="single" w:sz="4" w:space="0" w:color="auto"/>
            </w:tcBorders>
            <w:shd w:val="clear" w:color="auto" w:fill="D9D9D9"/>
            <w:vAlign w:val="center"/>
          </w:tcPr>
          <w:p w14:paraId="38F26702" w14:textId="3499A33D" w:rsidR="00F458B0" w:rsidRDefault="00F458B0" w:rsidP="00F458B0">
            <w:pPr>
              <w:jc w:val="center"/>
              <w:rPr>
                <w:rFonts w:ascii="Arial Narrow" w:hAnsi="Arial Narrow"/>
                <w:sz w:val="18"/>
                <w:szCs w:val="18"/>
              </w:rPr>
            </w:pPr>
            <w:r>
              <w:rPr>
                <w:rFonts w:ascii="Arial Narrow" w:hAnsi="Arial Narrow"/>
                <w:sz w:val="18"/>
                <w:szCs w:val="18"/>
              </w:rPr>
              <w:t>-2,0</w:t>
            </w:r>
          </w:p>
        </w:tc>
        <w:tc>
          <w:tcPr>
            <w:tcW w:w="1317" w:type="dxa"/>
            <w:tcBorders>
              <w:top w:val="single" w:sz="4" w:space="0" w:color="auto"/>
              <w:bottom w:val="single" w:sz="4" w:space="0" w:color="auto"/>
            </w:tcBorders>
            <w:shd w:val="clear" w:color="auto" w:fill="D9D9D9"/>
            <w:vAlign w:val="center"/>
          </w:tcPr>
          <w:p w14:paraId="466696A9" w14:textId="0DB3074B" w:rsidR="00F458B0" w:rsidRDefault="00F458B0" w:rsidP="00F458B0">
            <w:pPr>
              <w:jc w:val="center"/>
              <w:rPr>
                <w:rFonts w:ascii="Arial Narrow" w:hAnsi="Arial Narrow"/>
                <w:sz w:val="18"/>
                <w:szCs w:val="18"/>
              </w:rPr>
            </w:pPr>
            <w:r>
              <w:rPr>
                <w:rFonts w:ascii="Arial Narrow" w:hAnsi="Arial Narrow"/>
                <w:sz w:val="18"/>
                <w:szCs w:val="18"/>
              </w:rPr>
              <w:t>-5,2</w:t>
            </w:r>
          </w:p>
        </w:tc>
        <w:tc>
          <w:tcPr>
            <w:tcW w:w="823" w:type="dxa"/>
            <w:tcBorders>
              <w:top w:val="single" w:sz="4" w:space="0" w:color="auto"/>
              <w:bottom w:val="single" w:sz="4" w:space="0" w:color="auto"/>
            </w:tcBorders>
            <w:vAlign w:val="center"/>
          </w:tcPr>
          <w:p w14:paraId="68AEB08D" w14:textId="2A49D672" w:rsidR="00F458B0" w:rsidRDefault="00F458B0" w:rsidP="00F458B0">
            <w:pPr>
              <w:jc w:val="center"/>
              <w:rPr>
                <w:rFonts w:ascii="Arial Narrow" w:hAnsi="Arial Narrow"/>
                <w:sz w:val="18"/>
                <w:szCs w:val="18"/>
              </w:rPr>
            </w:pPr>
            <w:r>
              <w:rPr>
                <w:rFonts w:ascii="Arial Narrow" w:hAnsi="Arial Narrow"/>
                <w:sz w:val="18"/>
                <w:szCs w:val="18"/>
              </w:rPr>
              <w:t>-0,3</w:t>
            </w:r>
          </w:p>
        </w:tc>
        <w:tc>
          <w:tcPr>
            <w:tcW w:w="1317" w:type="dxa"/>
            <w:tcBorders>
              <w:top w:val="single" w:sz="4" w:space="0" w:color="auto"/>
              <w:bottom w:val="single" w:sz="4" w:space="0" w:color="auto"/>
            </w:tcBorders>
            <w:vAlign w:val="center"/>
          </w:tcPr>
          <w:p w14:paraId="10B8054A" w14:textId="44D805C5" w:rsidR="00F458B0" w:rsidRDefault="00F458B0" w:rsidP="00F458B0">
            <w:pPr>
              <w:jc w:val="center"/>
              <w:rPr>
                <w:rFonts w:ascii="Arial Narrow" w:hAnsi="Arial Narrow"/>
                <w:sz w:val="18"/>
                <w:szCs w:val="18"/>
              </w:rPr>
            </w:pPr>
            <w:r>
              <w:rPr>
                <w:rFonts w:ascii="Arial Narrow" w:hAnsi="Arial Narrow"/>
                <w:sz w:val="18"/>
                <w:szCs w:val="18"/>
              </w:rPr>
              <w:t>-1,6</w:t>
            </w:r>
          </w:p>
        </w:tc>
      </w:tr>
      <w:tr w:rsidR="00F458B0" w:rsidRPr="008C0651" w14:paraId="723A8F81" w14:textId="77777777" w:rsidTr="00F458B0">
        <w:trPr>
          <w:trHeight w:val="255"/>
        </w:trPr>
        <w:tc>
          <w:tcPr>
            <w:tcW w:w="1647" w:type="dxa"/>
            <w:tcBorders>
              <w:top w:val="single" w:sz="4" w:space="0" w:color="auto"/>
              <w:left w:val="nil"/>
              <w:bottom w:val="single" w:sz="4" w:space="0" w:color="auto"/>
            </w:tcBorders>
            <w:vAlign w:val="center"/>
          </w:tcPr>
          <w:p w14:paraId="33FBB22B" w14:textId="77777777" w:rsidR="00F458B0" w:rsidRPr="00B076CD" w:rsidRDefault="00F458B0" w:rsidP="00F458B0">
            <w:pPr>
              <w:spacing w:before="40" w:after="20"/>
              <w:rPr>
                <w:rFonts w:ascii="Arial Narrow" w:hAnsi="Arial Narrow" w:cs="Arial"/>
                <w:sz w:val="18"/>
                <w:szCs w:val="18"/>
              </w:rPr>
            </w:pPr>
            <w:r w:rsidRPr="00B076CD">
              <w:rPr>
                <w:rFonts w:ascii="Arial Narrow" w:hAnsi="Arial Narrow" w:cs="Arial"/>
                <w:sz w:val="18"/>
                <w:szCs w:val="18"/>
              </w:rPr>
              <w:t>Beni strumentali</w:t>
            </w:r>
          </w:p>
        </w:tc>
        <w:tc>
          <w:tcPr>
            <w:tcW w:w="823" w:type="dxa"/>
            <w:tcBorders>
              <w:top w:val="single" w:sz="4" w:space="0" w:color="auto"/>
              <w:bottom w:val="single" w:sz="4" w:space="0" w:color="auto"/>
            </w:tcBorders>
            <w:shd w:val="clear" w:color="auto" w:fill="D9D9D9"/>
            <w:vAlign w:val="center"/>
          </w:tcPr>
          <w:p w14:paraId="59EEF9F4" w14:textId="0AB0B762" w:rsidR="00F458B0" w:rsidRDefault="00F458B0" w:rsidP="00F458B0">
            <w:pPr>
              <w:jc w:val="center"/>
              <w:rPr>
                <w:rFonts w:ascii="Arial Narrow" w:hAnsi="Arial Narrow"/>
                <w:sz w:val="18"/>
                <w:szCs w:val="18"/>
              </w:rPr>
            </w:pPr>
            <w:r>
              <w:rPr>
                <w:rFonts w:ascii="Arial Narrow" w:hAnsi="Arial Narrow"/>
                <w:sz w:val="18"/>
                <w:szCs w:val="18"/>
              </w:rPr>
              <w:t>+9,0</w:t>
            </w:r>
          </w:p>
        </w:tc>
        <w:tc>
          <w:tcPr>
            <w:tcW w:w="1316" w:type="dxa"/>
            <w:tcBorders>
              <w:top w:val="single" w:sz="4" w:space="0" w:color="auto"/>
              <w:bottom w:val="single" w:sz="4" w:space="0" w:color="auto"/>
            </w:tcBorders>
            <w:shd w:val="clear" w:color="auto" w:fill="D9D9D9"/>
            <w:vAlign w:val="center"/>
          </w:tcPr>
          <w:p w14:paraId="3FF7F9C8" w14:textId="6B8F1FEA" w:rsidR="00F458B0" w:rsidRDefault="00F458B0" w:rsidP="00F458B0">
            <w:pPr>
              <w:jc w:val="center"/>
              <w:rPr>
                <w:rFonts w:ascii="Arial Narrow" w:hAnsi="Arial Narrow"/>
                <w:sz w:val="18"/>
                <w:szCs w:val="18"/>
              </w:rPr>
            </w:pPr>
            <w:r>
              <w:rPr>
                <w:rFonts w:ascii="Arial Narrow" w:hAnsi="Arial Narrow"/>
                <w:sz w:val="18"/>
                <w:szCs w:val="18"/>
              </w:rPr>
              <w:t>+10,3</w:t>
            </w:r>
          </w:p>
        </w:tc>
        <w:tc>
          <w:tcPr>
            <w:tcW w:w="823" w:type="dxa"/>
            <w:tcBorders>
              <w:top w:val="single" w:sz="4" w:space="0" w:color="auto"/>
              <w:bottom w:val="single" w:sz="4" w:space="0" w:color="auto"/>
            </w:tcBorders>
            <w:vAlign w:val="center"/>
          </w:tcPr>
          <w:p w14:paraId="273635F7" w14:textId="5B8FF628" w:rsidR="00F458B0" w:rsidRDefault="00F458B0" w:rsidP="00F458B0">
            <w:pPr>
              <w:jc w:val="center"/>
              <w:rPr>
                <w:rFonts w:ascii="Arial Narrow" w:hAnsi="Arial Narrow"/>
                <w:sz w:val="18"/>
                <w:szCs w:val="18"/>
              </w:rPr>
            </w:pPr>
            <w:r>
              <w:rPr>
                <w:rFonts w:ascii="Arial Narrow" w:hAnsi="Arial Narrow"/>
                <w:sz w:val="18"/>
                <w:szCs w:val="18"/>
              </w:rPr>
              <w:t>+3,7</w:t>
            </w:r>
          </w:p>
        </w:tc>
        <w:tc>
          <w:tcPr>
            <w:tcW w:w="1317" w:type="dxa"/>
            <w:tcBorders>
              <w:top w:val="single" w:sz="4" w:space="0" w:color="auto"/>
              <w:bottom w:val="single" w:sz="4" w:space="0" w:color="auto"/>
            </w:tcBorders>
            <w:vAlign w:val="center"/>
          </w:tcPr>
          <w:p w14:paraId="65C10312" w14:textId="76670CA0" w:rsidR="00F458B0" w:rsidRDefault="00F458B0" w:rsidP="00F458B0">
            <w:pPr>
              <w:jc w:val="center"/>
              <w:rPr>
                <w:rFonts w:ascii="Arial Narrow" w:hAnsi="Arial Narrow"/>
                <w:sz w:val="18"/>
                <w:szCs w:val="18"/>
              </w:rPr>
            </w:pPr>
            <w:r>
              <w:rPr>
                <w:rFonts w:ascii="Arial Narrow" w:hAnsi="Arial Narrow"/>
                <w:sz w:val="18"/>
                <w:szCs w:val="18"/>
              </w:rPr>
              <w:t>+7,8</w:t>
            </w:r>
          </w:p>
        </w:tc>
        <w:tc>
          <w:tcPr>
            <w:tcW w:w="823" w:type="dxa"/>
            <w:tcBorders>
              <w:top w:val="single" w:sz="4" w:space="0" w:color="auto"/>
              <w:bottom w:val="single" w:sz="4" w:space="0" w:color="auto"/>
            </w:tcBorders>
            <w:shd w:val="clear" w:color="auto" w:fill="D9D9D9"/>
            <w:vAlign w:val="center"/>
          </w:tcPr>
          <w:p w14:paraId="389FA82D" w14:textId="7220F501" w:rsidR="00F458B0" w:rsidRDefault="00F458B0" w:rsidP="00F458B0">
            <w:pPr>
              <w:jc w:val="center"/>
              <w:rPr>
                <w:rFonts w:ascii="Arial Narrow" w:hAnsi="Arial Narrow"/>
                <w:sz w:val="18"/>
                <w:szCs w:val="18"/>
              </w:rPr>
            </w:pPr>
            <w:r>
              <w:rPr>
                <w:rFonts w:ascii="Arial Narrow" w:hAnsi="Arial Narrow"/>
                <w:sz w:val="18"/>
                <w:szCs w:val="18"/>
              </w:rPr>
              <w:t>+5,5</w:t>
            </w:r>
          </w:p>
        </w:tc>
        <w:tc>
          <w:tcPr>
            <w:tcW w:w="1317" w:type="dxa"/>
            <w:tcBorders>
              <w:top w:val="single" w:sz="4" w:space="0" w:color="auto"/>
              <w:bottom w:val="single" w:sz="4" w:space="0" w:color="auto"/>
            </w:tcBorders>
            <w:shd w:val="clear" w:color="auto" w:fill="D9D9D9"/>
            <w:vAlign w:val="center"/>
          </w:tcPr>
          <w:p w14:paraId="600389A2" w14:textId="1AF33E05" w:rsidR="00F458B0" w:rsidRDefault="00F458B0" w:rsidP="00F458B0">
            <w:pPr>
              <w:jc w:val="center"/>
              <w:rPr>
                <w:rFonts w:ascii="Arial Narrow" w:hAnsi="Arial Narrow"/>
                <w:sz w:val="18"/>
                <w:szCs w:val="18"/>
              </w:rPr>
            </w:pPr>
            <w:r>
              <w:rPr>
                <w:rFonts w:ascii="Arial Narrow" w:hAnsi="Arial Narrow"/>
                <w:sz w:val="18"/>
                <w:szCs w:val="18"/>
              </w:rPr>
              <w:t>+0,8</w:t>
            </w:r>
          </w:p>
        </w:tc>
        <w:tc>
          <w:tcPr>
            <w:tcW w:w="823" w:type="dxa"/>
            <w:tcBorders>
              <w:top w:val="single" w:sz="4" w:space="0" w:color="auto"/>
              <w:bottom w:val="single" w:sz="4" w:space="0" w:color="auto"/>
            </w:tcBorders>
            <w:vAlign w:val="center"/>
          </w:tcPr>
          <w:p w14:paraId="02C3EA0A" w14:textId="6E6F7CAC" w:rsidR="00F458B0" w:rsidRDefault="00F458B0" w:rsidP="00F458B0">
            <w:pPr>
              <w:jc w:val="center"/>
              <w:rPr>
                <w:rFonts w:ascii="Arial Narrow" w:hAnsi="Arial Narrow"/>
                <w:sz w:val="18"/>
                <w:szCs w:val="18"/>
              </w:rPr>
            </w:pPr>
            <w:r>
              <w:rPr>
                <w:rFonts w:ascii="Arial Narrow" w:hAnsi="Arial Narrow"/>
                <w:sz w:val="18"/>
                <w:szCs w:val="18"/>
              </w:rPr>
              <w:t>+8,0</w:t>
            </w:r>
          </w:p>
        </w:tc>
        <w:tc>
          <w:tcPr>
            <w:tcW w:w="1317" w:type="dxa"/>
            <w:tcBorders>
              <w:top w:val="single" w:sz="4" w:space="0" w:color="auto"/>
              <w:bottom w:val="single" w:sz="4" w:space="0" w:color="auto"/>
            </w:tcBorders>
            <w:vAlign w:val="center"/>
          </w:tcPr>
          <w:p w14:paraId="30F64179" w14:textId="418D4909" w:rsidR="00F458B0" w:rsidRDefault="00F458B0" w:rsidP="00F458B0">
            <w:pPr>
              <w:jc w:val="center"/>
              <w:rPr>
                <w:rFonts w:ascii="Arial Narrow" w:hAnsi="Arial Narrow"/>
                <w:sz w:val="18"/>
                <w:szCs w:val="18"/>
              </w:rPr>
            </w:pPr>
            <w:r>
              <w:rPr>
                <w:rFonts w:ascii="Arial Narrow" w:hAnsi="Arial Narrow"/>
                <w:sz w:val="18"/>
                <w:szCs w:val="18"/>
              </w:rPr>
              <w:t>+4,4</w:t>
            </w:r>
          </w:p>
        </w:tc>
      </w:tr>
      <w:tr w:rsidR="00F458B0" w:rsidRPr="008C0651" w14:paraId="474FDC67" w14:textId="77777777" w:rsidTr="00F458B0">
        <w:trPr>
          <w:trHeight w:val="255"/>
        </w:trPr>
        <w:tc>
          <w:tcPr>
            <w:tcW w:w="1647" w:type="dxa"/>
            <w:tcBorders>
              <w:top w:val="single" w:sz="4" w:space="0" w:color="auto"/>
              <w:left w:val="nil"/>
              <w:bottom w:val="single" w:sz="4" w:space="0" w:color="auto"/>
            </w:tcBorders>
            <w:vAlign w:val="center"/>
          </w:tcPr>
          <w:p w14:paraId="4BA042D2" w14:textId="77777777" w:rsidR="00F458B0" w:rsidRPr="00B076CD" w:rsidRDefault="00F458B0" w:rsidP="00F458B0">
            <w:pPr>
              <w:spacing w:before="40" w:after="20"/>
              <w:rPr>
                <w:rFonts w:ascii="Arial Narrow" w:hAnsi="Arial Narrow" w:cs="Arial"/>
                <w:sz w:val="18"/>
                <w:szCs w:val="18"/>
              </w:rPr>
            </w:pPr>
            <w:r w:rsidRPr="00B076CD">
              <w:rPr>
                <w:rFonts w:ascii="Arial Narrow" w:hAnsi="Arial Narrow" w:cs="Arial"/>
                <w:sz w:val="18"/>
                <w:szCs w:val="18"/>
              </w:rPr>
              <w:t>Beni intermedi</w:t>
            </w:r>
          </w:p>
        </w:tc>
        <w:tc>
          <w:tcPr>
            <w:tcW w:w="823" w:type="dxa"/>
            <w:tcBorders>
              <w:top w:val="single" w:sz="4" w:space="0" w:color="auto"/>
              <w:bottom w:val="single" w:sz="4" w:space="0" w:color="auto"/>
            </w:tcBorders>
            <w:shd w:val="clear" w:color="auto" w:fill="D9D9D9"/>
            <w:vAlign w:val="center"/>
          </w:tcPr>
          <w:p w14:paraId="5E304EF9" w14:textId="46969340" w:rsidR="00F458B0" w:rsidRDefault="00F458B0" w:rsidP="00F458B0">
            <w:pPr>
              <w:jc w:val="center"/>
              <w:rPr>
                <w:rFonts w:ascii="Arial Narrow" w:hAnsi="Arial Narrow"/>
                <w:sz w:val="18"/>
                <w:szCs w:val="18"/>
              </w:rPr>
            </w:pPr>
            <w:r>
              <w:rPr>
                <w:rFonts w:ascii="Arial Narrow" w:hAnsi="Arial Narrow"/>
                <w:sz w:val="18"/>
                <w:szCs w:val="18"/>
              </w:rPr>
              <w:t>-1,5</w:t>
            </w:r>
          </w:p>
        </w:tc>
        <w:tc>
          <w:tcPr>
            <w:tcW w:w="1316" w:type="dxa"/>
            <w:tcBorders>
              <w:top w:val="single" w:sz="4" w:space="0" w:color="auto"/>
              <w:bottom w:val="single" w:sz="4" w:space="0" w:color="auto"/>
            </w:tcBorders>
            <w:shd w:val="clear" w:color="auto" w:fill="D9D9D9"/>
            <w:vAlign w:val="center"/>
          </w:tcPr>
          <w:p w14:paraId="7E529ABE" w14:textId="0D38FF73" w:rsidR="00F458B0" w:rsidRDefault="00F458B0" w:rsidP="00F458B0">
            <w:pPr>
              <w:jc w:val="center"/>
              <w:rPr>
                <w:rFonts w:ascii="Arial Narrow" w:hAnsi="Arial Narrow"/>
                <w:sz w:val="18"/>
                <w:szCs w:val="18"/>
              </w:rPr>
            </w:pPr>
            <w:r>
              <w:rPr>
                <w:rFonts w:ascii="Arial Narrow" w:hAnsi="Arial Narrow"/>
                <w:sz w:val="18"/>
                <w:szCs w:val="18"/>
              </w:rPr>
              <w:t>+2,6</w:t>
            </w:r>
          </w:p>
        </w:tc>
        <w:tc>
          <w:tcPr>
            <w:tcW w:w="823" w:type="dxa"/>
            <w:tcBorders>
              <w:top w:val="single" w:sz="4" w:space="0" w:color="auto"/>
              <w:bottom w:val="single" w:sz="4" w:space="0" w:color="auto"/>
            </w:tcBorders>
            <w:vAlign w:val="center"/>
          </w:tcPr>
          <w:p w14:paraId="420767A1" w14:textId="1EE0A8DD" w:rsidR="00F458B0" w:rsidRDefault="00F458B0" w:rsidP="00F458B0">
            <w:pPr>
              <w:jc w:val="center"/>
              <w:rPr>
                <w:rFonts w:ascii="Arial Narrow" w:hAnsi="Arial Narrow"/>
                <w:sz w:val="18"/>
                <w:szCs w:val="18"/>
              </w:rPr>
            </w:pPr>
            <w:r>
              <w:rPr>
                <w:rFonts w:ascii="Arial Narrow" w:hAnsi="Arial Narrow"/>
                <w:sz w:val="18"/>
                <w:szCs w:val="18"/>
              </w:rPr>
              <w:t>-6,4</w:t>
            </w:r>
          </w:p>
        </w:tc>
        <w:tc>
          <w:tcPr>
            <w:tcW w:w="1317" w:type="dxa"/>
            <w:tcBorders>
              <w:top w:val="single" w:sz="4" w:space="0" w:color="auto"/>
              <w:bottom w:val="single" w:sz="4" w:space="0" w:color="auto"/>
            </w:tcBorders>
            <w:vAlign w:val="center"/>
          </w:tcPr>
          <w:p w14:paraId="311F6807" w14:textId="3C3DA89F" w:rsidR="00F458B0" w:rsidRDefault="00F458B0" w:rsidP="00F458B0">
            <w:pPr>
              <w:jc w:val="center"/>
              <w:rPr>
                <w:rFonts w:ascii="Arial Narrow" w:hAnsi="Arial Narrow"/>
                <w:sz w:val="18"/>
                <w:szCs w:val="18"/>
              </w:rPr>
            </w:pPr>
            <w:r>
              <w:rPr>
                <w:rFonts w:ascii="Arial Narrow" w:hAnsi="Arial Narrow"/>
                <w:sz w:val="18"/>
                <w:szCs w:val="18"/>
              </w:rPr>
              <w:t>-3,7</w:t>
            </w:r>
          </w:p>
        </w:tc>
        <w:tc>
          <w:tcPr>
            <w:tcW w:w="823" w:type="dxa"/>
            <w:tcBorders>
              <w:top w:val="single" w:sz="4" w:space="0" w:color="auto"/>
              <w:bottom w:val="single" w:sz="4" w:space="0" w:color="auto"/>
            </w:tcBorders>
            <w:shd w:val="clear" w:color="auto" w:fill="D9D9D9"/>
            <w:vAlign w:val="center"/>
          </w:tcPr>
          <w:p w14:paraId="1CE69489" w14:textId="1270484D" w:rsidR="00F458B0" w:rsidRDefault="00F458B0" w:rsidP="00F458B0">
            <w:pPr>
              <w:jc w:val="center"/>
              <w:rPr>
                <w:rFonts w:ascii="Arial Narrow" w:hAnsi="Arial Narrow"/>
                <w:sz w:val="18"/>
                <w:szCs w:val="18"/>
              </w:rPr>
            </w:pPr>
            <w:r>
              <w:rPr>
                <w:rFonts w:ascii="Arial Narrow" w:hAnsi="Arial Narrow"/>
                <w:sz w:val="18"/>
                <w:szCs w:val="18"/>
              </w:rPr>
              <w:t>-4,3</w:t>
            </w:r>
          </w:p>
        </w:tc>
        <w:tc>
          <w:tcPr>
            <w:tcW w:w="1317" w:type="dxa"/>
            <w:tcBorders>
              <w:top w:val="single" w:sz="4" w:space="0" w:color="auto"/>
              <w:bottom w:val="single" w:sz="4" w:space="0" w:color="auto"/>
            </w:tcBorders>
            <w:shd w:val="clear" w:color="auto" w:fill="D9D9D9"/>
            <w:vAlign w:val="center"/>
          </w:tcPr>
          <w:p w14:paraId="54DD03E4" w14:textId="258104F9" w:rsidR="00F458B0" w:rsidRDefault="00F458B0" w:rsidP="00F458B0">
            <w:pPr>
              <w:jc w:val="center"/>
              <w:rPr>
                <w:rFonts w:ascii="Arial Narrow" w:hAnsi="Arial Narrow"/>
                <w:sz w:val="18"/>
                <w:szCs w:val="18"/>
              </w:rPr>
            </w:pPr>
            <w:r>
              <w:rPr>
                <w:rFonts w:ascii="Arial Narrow" w:hAnsi="Arial Narrow"/>
                <w:sz w:val="18"/>
                <w:szCs w:val="18"/>
              </w:rPr>
              <w:t>-8,5</w:t>
            </w:r>
          </w:p>
        </w:tc>
        <w:tc>
          <w:tcPr>
            <w:tcW w:w="823" w:type="dxa"/>
            <w:tcBorders>
              <w:top w:val="single" w:sz="4" w:space="0" w:color="auto"/>
              <w:bottom w:val="single" w:sz="4" w:space="0" w:color="auto"/>
            </w:tcBorders>
            <w:vAlign w:val="center"/>
          </w:tcPr>
          <w:p w14:paraId="3DEB1D8A" w14:textId="1BD0A6AA" w:rsidR="00F458B0" w:rsidRDefault="00F458B0" w:rsidP="00F458B0">
            <w:pPr>
              <w:jc w:val="center"/>
              <w:rPr>
                <w:rFonts w:ascii="Arial Narrow" w:hAnsi="Arial Narrow"/>
                <w:sz w:val="18"/>
                <w:szCs w:val="18"/>
              </w:rPr>
            </w:pPr>
            <w:r>
              <w:rPr>
                <w:rFonts w:ascii="Arial Narrow" w:hAnsi="Arial Narrow"/>
                <w:sz w:val="18"/>
                <w:szCs w:val="18"/>
              </w:rPr>
              <w:t>-7,7</w:t>
            </w:r>
          </w:p>
        </w:tc>
        <w:tc>
          <w:tcPr>
            <w:tcW w:w="1317" w:type="dxa"/>
            <w:tcBorders>
              <w:top w:val="single" w:sz="4" w:space="0" w:color="auto"/>
              <w:bottom w:val="single" w:sz="4" w:space="0" w:color="auto"/>
            </w:tcBorders>
            <w:vAlign w:val="center"/>
          </w:tcPr>
          <w:p w14:paraId="7FD91D8E" w14:textId="608C213D" w:rsidR="00F458B0" w:rsidRDefault="00F458B0" w:rsidP="00F458B0">
            <w:pPr>
              <w:jc w:val="center"/>
              <w:rPr>
                <w:rFonts w:ascii="Arial Narrow" w:hAnsi="Arial Narrow"/>
                <w:sz w:val="18"/>
                <w:szCs w:val="18"/>
              </w:rPr>
            </w:pPr>
            <w:r>
              <w:rPr>
                <w:rFonts w:ascii="Arial Narrow" w:hAnsi="Arial Narrow"/>
                <w:sz w:val="18"/>
                <w:szCs w:val="18"/>
              </w:rPr>
              <w:t>-9,3</w:t>
            </w:r>
          </w:p>
        </w:tc>
      </w:tr>
      <w:tr w:rsidR="00F458B0" w:rsidRPr="008C0651" w14:paraId="7E4AFCFC" w14:textId="77777777" w:rsidTr="00F458B0">
        <w:trPr>
          <w:trHeight w:val="255"/>
        </w:trPr>
        <w:tc>
          <w:tcPr>
            <w:tcW w:w="1647" w:type="dxa"/>
            <w:tcBorders>
              <w:top w:val="single" w:sz="4" w:space="0" w:color="auto"/>
              <w:left w:val="nil"/>
              <w:bottom w:val="single" w:sz="4" w:space="0" w:color="auto"/>
            </w:tcBorders>
            <w:vAlign w:val="center"/>
          </w:tcPr>
          <w:p w14:paraId="5DC73328" w14:textId="77777777" w:rsidR="00F458B0" w:rsidRPr="00B076CD" w:rsidRDefault="00F458B0" w:rsidP="00F458B0">
            <w:pPr>
              <w:spacing w:before="40" w:after="20"/>
              <w:rPr>
                <w:rFonts w:ascii="Arial Narrow" w:hAnsi="Arial Narrow" w:cs="Arial"/>
                <w:sz w:val="18"/>
                <w:szCs w:val="18"/>
              </w:rPr>
            </w:pPr>
            <w:r w:rsidRPr="00B076CD">
              <w:rPr>
                <w:rFonts w:ascii="Arial Narrow" w:hAnsi="Arial Narrow" w:cs="Arial"/>
                <w:sz w:val="18"/>
                <w:szCs w:val="18"/>
              </w:rPr>
              <w:t>Energia</w:t>
            </w:r>
          </w:p>
        </w:tc>
        <w:tc>
          <w:tcPr>
            <w:tcW w:w="823" w:type="dxa"/>
            <w:tcBorders>
              <w:top w:val="single" w:sz="4" w:space="0" w:color="auto"/>
              <w:bottom w:val="single" w:sz="4" w:space="0" w:color="auto"/>
            </w:tcBorders>
            <w:shd w:val="clear" w:color="auto" w:fill="D9D9D9"/>
            <w:vAlign w:val="center"/>
          </w:tcPr>
          <w:p w14:paraId="3E027A45" w14:textId="1B37519A" w:rsidR="00F458B0" w:rsidRDefault="00F458B0" w:rsidP="00F458B0">
            <w:pPr>
              <w:jc w:val="center"/>
              <w:rPr>
                <w:rFonts w:ascii="Arial Narrow" w:hAnsi="Arial Narrow"/>
                <w:sz w:val="18"/>
                <w:szCs w:val="18"/>
              </w:rPr>
            </w:pPr>
            <w:r>
              <w:rPr>
                <w:rFonts w:ascii="Arial Narrow" w:hAnsi="Arial Narrow"/>
                <w:sz w:val="18"/>
                <w:szCs w:val="18"/>
              </w:rPr>
              <w:t>-15,3</w:t>
            </w:r>
          </w:p>
        </w:tc>
        <w:tc>
          <w:tcPr>
            <w:tcW w:w="1316" w:type="dxa"/>
            <w:tcBorders>
              <w:top w:val="single" w:sz="4" w:space="0" w:color="auto"/>
              <w:bottom w:val="single" w:sz="4" w:space="0" w:color="auto"/>
            </w:tcBorders>
            <w:shd w:val="clear" w:color="auto" w:fill="D9D9D9"/>
            <w:vAlign w:val="center"/>
          </w:tcPr>
          <w:p w14:paraId="001982C3" w14:textId="6A40EC25" w:rsidR="00F458B0" w:rsidRDefault="00F458B0" w:rsidP="00F458B0">
            <w:pPr>
              <w:jc w:val="center"/>
              <w:rPr>
                <w:rFonts w:ascii="Arial Narrow" w:hAnsi="Arial Narrow"/>
                <w:sz w:val="18"/>
                <w:szCs w:val="18"/>
              </w:rPr>
            </w:pPr>
            <w:r>
              <w:rPr>
                <w:rFonts w:ascii="Arial Narrow" w:hAnsi="Arial Narrow"/>
                <w:sz w:val="18"/>
                <w:szCs w:val="18"/>
              </w:rPr>
              <w:t>-20,5</w:t>
            </w:r>
          </w:p>
        </w:tc>
        <w:tc>
          <w:tcPr>
            <w:tcW w:w="823" w:type="dxa"/>
            <w:tcBorders>
              <w:top w:val="single" w:sz="4" w:space="0" w:color="auto"/>
              <w:bottom w:val="single" w:sz="4" w:space="0" w:color="auto"/>
            </w:tcBorders>
            <w:vAlign w:val="center"/>
          </w:tcPr>
          <w:p w14:paraId="6DBA1036" w14:textId="20BF165B" w:rsidR="00F458B0" w:rsidRDefault="00F458B0" w:rsidP="00F458B0">
            <w:pPr>
              <w:jc w:val="center"/>
              <w:rPr>
                <w:rFonts w:ascii="Arial Narrow" w:hAnsi="Arial Narrow"/>
                <w:sz w:val="18"/>
                <w:szCs w:val="18"/>
              </w:rPr>
            </w:pPr>
            <w:r>
              <w:rPr>
                <w:rFonts w:ascii="Arial Narrow" w:hAnsi="Arial Narrow"/>
                <w:sz w:val="18"/>
                <w:szCs w:val="18"/>
              </w:rPr>
              <w:t>-39,3</w:t>
            </w:r>
          </w:p>
        </w:tc>
        <w:tc>
          <w:tcPr>
            <w:tcW w:w="1317" w:type="dxa"/>
            <w:tcBorders>
              <w:top w:val="single" w:sz="4" w:space="0" w:color="auto"/>
              <w:bottom w:val="single" w:sz="4" w:space="0" w:color="auto"/>
            </w:tcBorders>
            <w:vAlign w:val="center"/>
          </w:tcPr>
          <w:p w14:paraId="160CC941" w14:textId="142F2A3B" w:rsidR="00F458B0" w:rsidRDefault="00F458B0" w:rsidP="00F458B0">
            <w:pPr>
              <w:jc w:val="center"/>
              <w:rPr>
                <w:rFonts w:ascii="Arial Narrow" w:hAnsi="Arial Narrow"/>
                <w:sz w:val="18"/>
                <w:szCs w:val="18"/>
              </w:rPr>
            </w:pPr>
            <w:r>
              <w:rPr>
                <w:rFonts w:ascii="Arial Narrow" w:hAnsi="Arial Narrow"/>
                <w:sz w:val="18"/>
                <w:szCs w:val="18"/>
              </w:rPr>
              <w:t>-37,1</w:t>
            </w:r>
          </w:p>
        </w:tc>
        <w:tc>
          <w:tcPr>
            <w:tcW w:w="823" w:type="dxa"/>
            <w:tcBorders>
              <w:top w:val="single" w:sz="4" w:space="0" w:color="auto"/>
              <w:bottom w:val="single" w:sz="4" w:space="0" w:color="auto"/>
            </w:tcBorders>
            <w:shd w:val="clear" w:color="auto" w:fill="D9D9D9"/>
            <w:vAlign w:val="center"/>
          </w:tcPr>
          <w:p w14:paraId="03917771" w14:textId="281DFA93" w:rsidR="00F458B0" w:rsidRDefault="00F458B0" w:rsidP="00F458B0">
            <w:pPr>
              <w:jc w:val="center"/>
              <w:rPr>
                <w:rFonts w:ascii="Arial Narrow" w:hAnsi="Arial Narrow"/>
                <w:sz w:val="18"/>
                <w:szCs w:val="18"/>
              </w:rPr>
            </w:pPr>
            <w:r>
              <w:rPr>
                <w:rFonts w:ascii="Arial Narrow" w:hAnsi="Arial Narrow"/>
                <w:sz w:val="18"/>
                <w:szCs w:val="18"/>
              </w:rPr>
              <w:t>-4,9</w:t>
            </w:r>
          </w:p>
        </w:tc>
        <w:tc>
          <w:tcPr>
            <w:tcW w:w="1317" w:type="dxa"/>
            <w:tcBorders>
              <w:top w:val="single" w:sz="4" w:space="0" w:color="auto"/>
              <w:bottom w:val="single" w:sz="4" w:space="0" w:color="auto"/>
            </w:tcBorders>
            <w:shd w:val="clear" w:color="auto" w:fill="D9D9D9"/>
            <w:vAlign w:val="center"/>
          </w:tcPr>
          <w:p w14:paraId="7E9FDFB2" w14:textId="472152C9" w:rsidR="00F458B0" w:rsidRDefault="00F458B0" w:rsidP="00F458B0">
            <w:pPr>
              <w:jc w:val="center"/>
              <w:rPr>
                <w:rFonts w:ascii="Arial Narrow" w:hAnsi="Arial Narrow"/>
                <w:sz w:val="18"/>
                <w:szCs w:val="18"/>
              </w:rPr>
            </w:pPr>
            <w:r>
              <w:rPr>
                <w:rFonts w:ascii="Arial Narrow" w:hAnsi="Arial Narrow"/>
                <w:sz w:val="18"/>
                <w:szCs w:val="18"/>
              </w:rPr>
              <w:t>-5,6</w:t>
            </w:r>
          </w:p>
        </w:tc>
        <w:tc>
          <w:tcPr>
            <w:tcW w:w="823" w:type="dxa"/>
            <w:tcBorders>
              <w:top w:val="single" w:sz="4" w:space="0" w:color="auto"/>
              <w:bottom w:val="single" w:sz="4" w:space="0" w:color="auto"/>
            </w:tcBorders>
            <w:vAlign w:val="center"/>
          </w:tcPr>
          <w:p w14:paraId="5655B1F7" w14:textId="7E49E131" w:rsidR="00F458B0" w:rsidRDefault="00F458B0" w:rsidP="00F458B0">
            <w:pPr>
              <w:jc w:val="center"/>
              <w:rPr>
                <w:rFonts w:ascii="Arial Narrow" w:hAnsi="Arial Narrow"/>
                <w:sz w:val="18"/>
                <w:szCs w:val="18"/>
              </w:rPr>
            </w:pPr>
            <w:r>
              <w:rPr>
                <w:rFonts w:ascii="Arial Narrow" w:hAnsi="Arial Narrow"/>
                <w:sz w:val="18"/>
                <w:szCs w:val="18"/>
              </w:rPr>
              <w:t>+6,1</w:t>
            </w:r>
          </w:p>
        </w:tc>
        <w:tc>
          <w:tcPr>
            <w:tcW w:w="1317" w:type="dxa"/>
            <w:tcBorders>
              <w:top w:val="single" w:sz="4" w:space="0" w:color="auto"/>
              <w:bottom w:val="single" w:sz="4" w:space="0" w:color="auto"/>
            </w:tcBorders>
            <w:vAlign w:val="center"/>
          </w:tcPr>
          <w:p w14:paraId="309925C6" w14:textId="05413FE9" w:rsidR="00F458B0" w:rsidRDefault="00F458B0" w:rsidP="00F458B0">
            <w:pPr>
              <w:jc w:val="center"/>
              <w:rPr>
                <w:rFonts w:ascii="Arial Narrow" w:hAnsi="Arial Narrow"/>
                <w:sz w:val="18"/>
                <w:szCs w:val="18"/>
              </w:rPr>
            </w:pPr>
            <w:r>
              <w:rPr>
                <w:rFonts w:ascii="Arial Narrow" w:hAnsi="Arial Narrow"/>
                <w:sz w:val="18"/>
                <w:szCs w:val="18"/>
              </w:rPr>
              <w:t>-1,4</w:t>
            </w:r>
          </w:p>
        </w:tc>
      </w:tr>
      <w:tr w:rsidR="00F458B0" w:rsidRPr="008C0651" w14:paraId="779A41F1" w14:textId="77777777" w:rsidTr="00F458B0">
        <w:trPr>
          <w:trHeight w:val="255"/>
        </w:trPr>
        <w:tc>
          <w:tcPr>
            <w:tcW w:w="1647" w:type="dxa"/>
            <w:tcBorders>
              <w:top w:val="single" w:sz="4" w:space="0" w:color="auto"/>
              <w:left w:val="nil"/>
              <w:bottom w:val="single" w:sz="4" w:space="0" w:color="auto"/>
            </w:tcBorders>
            <w:vAlign w:val="center"/>
          </w:tcPr>
          <w:p w14:paraId="1DD84A82" w14:textId="77777777" w:rsidR="00F458B0" w:rsidRPr="00B076CD" w:rsidRDefault="00F458B0" w:rsidP="00F458B0">
            <w:pPr>
              <w:spacing w:before="40" w:after="20"/>
              <w:rPr>
                <w:rFonts w:ascii="Arial Narrow" w:hAnsi="Arial Narrow" w:cs="Arial"/>
                <w:sz w:val="18"/>
                <w:szCs w:val="18"/>
              </w:rPr>
            </w:pPr>
            <w:r w:rsidRPr="00B076CD">
              <w:rPr>
                <w:rFonts w:ascii="Arial Narrow" w:hAnsi="Arial Narrow" w:cs="Arial"/>
                <w:sz w:val="18"/>
                <w:szCs w:val="18"/>
              </w:rPr>
              <w:t>Totale al netto dell’energia</w:t>
            </w:r>
          </w:p>
        </w:tc>
        <w:tc>
          <w:tcPr>
            <w:tcW w:w="823" w:type="dxa"/>
            <w:tcBorders>
              <w:top w:val="single" w:sz="4" w:space="0" w:color="auto"/>
              <w:bottom w:val="single" w:sz="4" w:space="0" w:color="auto"/>
            </w:tcBorders>
            <w:shd w:val="clear" w:color="auto" w:fill="D9D9D9"/>
            <w:vAlign w:val="center"/>
          </w:tcPr>
          <w:p w14:paraId="0DAF138E" w14:textId="5BD9B98D" w:rsidR="00F458B0" w:rsidRDefault="00F458B0" w:rsidP="00F458B0">
            <w:pPr>
              <w:jc w:val="center"/>
              <w:rPr>
                <w:rFonts w:ascii="Arial Narrow" w:hAnsi="Arial Narrow"/>
                <w:sz w:val="18"/>
                <w:szCs w:val="18"/>
              </w:rPr>
            </w:pPr>
            <w:r>
              <w:rPr>
                <w:rFonts w:ascii="Arial Narrow" w:hAnsi="Arial Narrow"/>
                <w:sz w:val="18"/>
                <w:szCs w:val="18"/>
              </w:rPr>
              <w:t>+4,7</w:t>
            </w:r>
          </w:p>
        </w:tc>
        <w:tc>
          <w:tcPr>
            <w:tcW w:w="1316" w:type="dxa"/>
            <w:tcBorders>
              <w:top w:val="single" w:sz="4" w:space="0" w:color="auto"/>
              <w:bottom w:val="single" w:sz="4" w:space="0" w:color="auto"/>
            </w:tcBorders>
            <w:shd w:val="clear" w:color="auto" w:fill="D9D9D9"/>
            <w:vAlign w:val="center"/>
          </w:tcPr>
          <w:p w14:paraId="108DD627" w14:textId="649DE291" w:rsidR="00F458B0" w:rsidRDefault="00F458B0" w:rsidP="00F458B0">
            <w:pPr>
              <w:jc w:val="center"/>
              <w:rPr>
                <w:rFonts w:ascii="Arial Narrow" w:hAnsi="Arial Narrow"/>
                <w:sz w:val="18"/>
                <w:szCs w:val="18"/>
              </w:rPr>
            </w:pPr>
            <w:r>
              <w:rPr>
                <w:rFonts w:ascii="Arial Narrow" w:hAnsi="Arial Narrow"/>
                <w:sz w:val="18"/>
                <w:szCs w:val="18"/>
              </w:rPr>
              <w:t>+7,6</w:t>
            </w:r>
          </w:p>
        </w:tc>
        <w:tc>
          <w:tcPr>
            <w:tcW w:w="823" w:type="dxa"/>
            <w:tcBorders>
              <w:top w:val="single" w:sz="4" w:space="0" w:color="auto"/>
              <w:bottom w:val="single" w:sz="4" w:space="0" w:color="auto"/>
            </w:tcBorders>
            <w:vAlign w:val="center"/>
          </w:tcPr>
          <w:p w14:paraId="2C5D460C" w14:textId="4BAE939E" w:rsidR="00F458B0" w:rsidRDefault="00F458B0" w:rsidP="00F458B0">
            <w:pPr>
              <w:jc w:val="center"/>
              <w:rPr>
                <w:rFonts w:ascii="Arial Narrow" w:hAnsi="Arial Narrow"/>
                <w:sz w:val="18"/>
                <w:szCs w:val="18"/>
              </w:rPr>
            </w:pPr>
            <w:r>
              <w:rPr>
                <w:rFonts w:ascii="Arial Narrow" w:hAnsi="Arial Narrow"/>
                <w:sz w:val="18"/>
                <w:szCs w:val="18"/>
              </w:rPr>
              <w:t>-1,0</w:t>
            </w:r>
          </w:p>
        </w:tc>
        <w:tc>
          <w:tcPr>
            <w:tcW w:w="1317" w:type="dxa"/>
            <w:tcBorders>
              <w:top w:val="single" w:sz="4" w:space="0" w:color="auto"/>
              <w:bottom w:val="single" w:sz="4" w:space="0" w:color="auto"/>
            </w:tcBorders>
            <w:vAlign w:val="center"/>
          </w:tcPr>
          <w:p w14:paraId="115516D3" w14:textId="5FD22243" w:rsidR="00F458B0" w:rsidRDefault="00F458B0" w:rsidP="00F458B0">
            <w:pPr>
              <w:jc w:val="center"/>
              <w:rPr>
                <w:rFonts w:ascii="Arial Narrow" w:hAnsi="Arial Narrow"/>
                <w:sz w:val="18"/>
                <w:szCs w:val="18"/>
              </w:rPr>
            </w:pPr>
            <w:r>
              <w:rPr>
                <w:rFonts w:ascii="Arial Narrow" w:hAnsi="Arial Narrow"/>
                <w:sz w:val="18"/>
                <w:szCs w:val="18"/>
              </w:rPr>
              <w:t>+1,8</w:t>
            </w:r>
          </w:p>
        </w:tc>
        <w:tc>
          <w:tcPr>
            <w:tcW w:w="823" w:type="dxa"/>
            <w:tcBorders>
              <w:top w:val="single" w:sz="4" w:space="0" w:color="auto"/>
              <w:bottom w:val="single" w:sz="4" w:space="0" w:color="auto"/>
            </w:tcBorders>
            <w:shd w:val="clear" w:color="auto" w:fill="D9D9D9"/>
            <w:vAlign w:val="center"/>
          </w:tcPr>
          <w:p w14:paraId="085955AD" w14:textId="158CB9CD" w:rsidR="00F458B0" w:rsidRDefault="00F458B0" w:rsidP="00F458B0">
            <w:pPr>
              <w:jc w:val="center"/>
              <w:rPr>
                <w:rFonts w:ascii="Arial Narrow" w:hAnsi="Arial Narrow"/>
                <w:sz w:val="18"/>
                <w:szCs w:val="18"/>
              </w:rPr>
            </w:pPr>
            <w:r>
              <w:rPr>
                <w:rFonts w:ascii="Arial Narrow" w:hAnsi="Arial Narrow"/>
                <w:sz w:val="18"/>
                <w:szCs w:val="18"/>
              </w:rPr>
              <w:t>-0,5</w:t>
            </w:r>
          </w:p>
        </w:tc>
        <w:tc>
          <w:tcPr>
            <w:tcW w:w="1317" w:type="dxa"/>
            <w:tcBorders>
              <w:top w:val="single" w:sz="4" w:space="0" w:color="auto"/>
              <w:bottom w:val="single" w:sz="4" w:space="0" w:color="auto"/>
            </w:tcBorders>
            <w:shd w:val="clear" w:color="auto" w:fill="D9D9D9"/>
            <w:vAlign w:val="center"/>
          </w:tcPr>
          <w:p w14:paraId="66388A17" w14:textId="41FFA68E" w:rsidR="00F458B0" w:rsidRDefault="00F458B0" w:rsidP="00F458B0">
            <w:pPr>
              <w:jc w:val="center"/>
              <w:rPr>
                <w:rFonts w:ascii="Arial Narrow" w:hAnsi="Arial Narrow"/>
                <w:sz w:val="18"/>
                <w:szCs w:val="18"/>
              </w:rPr>
            </w:pPr>
            <w:r>
              <w:rPr>
                <w:rFonts w:ascii="Arial Narrow" w:hAnsi="Arial Narrow"/>
                <w:sz w:val="18"/>
                <w:szCs w:val="18"/>
              </w:rPr>
              <w:t>-4,7</w:t>
            </w:r>
          </w:p>
        </w:tc>
        <w:tc>
          <w:tcPr>
            <w:tcW w:w="823" w:type="dxa"/>
            <w:tcBorders>
              <w:top w:val="single" w:sz="4" w:space="0" w:color="auto"/>
              <w:bottom w:val="single" w:sz="4" w:space="0" w:color="auto"/>
            </w:tcBorders>
            <w:vAlign w:val="center"/>
          </w:tcPr>
          <w:p w14:paraId="22166FB2" w14:textId="6F8587B8" w:rsidR="00F458B0" w:rsidRDefault="00F458B0" w:rsidP="00F458B0">
            <w:pPr>
              <w:jc w:val="center"/>
              <w:rPr>
                <w:rFonts w:ascii="Arial Narrow" w:hAnsi="Arial Narrow"/>
                <w:sz w:val="18"/>
                <w:szCs w:val="18"/>
              </w:rPr>
            </w:pPr>
            <w:r>
              <w:rPr>
                <w:rFonts w:ascii="Arial Narrow" w:hAnsi="Arial Narrow"/>
                <w:sz w:val="18"/>
                <w:szCs w:val="18"/>
              </w:rPr>
              <w:t>-1,6</w:t>
            </w:r>
          </w:p>
        </w:tc>
        <w:tc>
          <w:tcPr>
            <w:tcW w:w="1317" w:type="dxa"/>
            <w:tcBorders>
              <w:top w:val="single" w:sz="4" w:space="0" w:color="auto"/>
              <w:bottom w:val="single" w:sz="4" w:space="0" w:color="auto"/>
            </w:tcBorders>
            <w:vAlign w:val="center"/>
          </w:tcPr>
          <w:p w14:paraId="51C7C340" w14:textId="574BFBB7" w:rsidR="00F458B0" w:rsidRDefault="00F458B0" w:rsidP="00F458B0">
            <w:pPr>
              <w:jc w:val="center"/>
              <w:rPr>
                <w:rFonts w:ascii="Arial Narrow" w:hAnsi="Arial Narrow"/>
                <w:sz w:val="18"/>
                <w:szCs w:val="18"/>
              </w:rPr>
            </w:pPr>
            <w:r>
              <w:rPr>
                <w:rFonts w:ascii="Arial Narrow" w:hAnsi="Arial Narrow"/>
                <w:sz w:val="18"/>
                <w:szCs w:val="18"/>
              </w:rPr>
              <w:t>-4,0</w:t>
            </w:r>
          </w:p>
        </w:tc>
      </w:tr>
      <w:tr w:rsidR="00F458B0" w:rsidRPr="00F458B0" w14:paraId="628B0342" w14:textId="77777777" w:rsidTr="00F458B0">
        <w:trPr>
          <w:trHeight w:val="255"/>
        </w:trPr>
        <w:tc>
          <w:tcPr>
            <w:tcW w:w="1647" w:type="dxa"/>
            <w:tcBorders>
              <w:top w:val="single" w:sz="4" w:space="0" w:color="auto"/>
              <w:left w:val="nil"/>
              <w:bottom w:val="single" w:sz="4" w:space="0" w:color="auto"/>
            </w:tcBorders>
            <w:shd w:val="clear" w:color="auto" w:fill="FF0000"/>
            <w:vAlign w:val="center"/>
          </w:tcPr>
          <w:p w14:paraId="73E0B6A1" w14:textId="77777777" w:rsidR="00F458B0" w:rsidRPr="00F458B0" w:rsidRDefault="00F458B0" w:rsidP="00F458B0">
            <w:pPr>
              <w:spacing w:before="40" w:after="20"/>
              <w:rPr>
                <w:rFonts w:ascii="Arial Narrow" w:hAnsi="Arial Narrow" w:cs="Arial"/>
                <w:b/>
                <w:color w:val="FFFFFF" w:themeColor="background1"/>
                <w:sz w:val="18"/>
                <w:szCs w:val="18"/>
              </w:rPr>
            </w:pPr>
            <w:r w:rsidRPr="00F458B0">
              <w:rPr>
                <w:rFonts w:ascii="Arial Narrow" w:hAnsi="Arial Narrow" w:cs="Arial"/>
                <w:b/>
                <w:color w:val="FFFFFF" w:themeColor="background1"/>
                <w:sz w:val="18"/>
                <w:szCs w:val="18"/>
              </w:rPr>
              <w:t>Totale</w:t>
            </w:r>
          </w:p>
        </w:tc>
        <w:tc>
          <w:tcPr>
            <w:tcW w:w="823" w:type="dxa"/>
            <w:tcBorders>
              <w:top w:val="single" w:sz="4" w:space="0" w:color="auto"/>
              <w:bottom w:val="single" w:sz="4" w:space="0" w:color="auto"/>
            </w:tcBorders>
            <w:shd w:val="clear" w:color="auto" w:fill="FF0000"/>
            <w:vAlign w:val="center"/>
          </w:tcPr>
          <w:p w14:paraId="0ECB36E7" w14:textId="5D2C4468" w:rsidR="00F458B0" w:rsidRPr="00F458B0" w:rsidRDefault="00F458B0" w:rsidP="00F458B0">
            <w:pPr>
              <w:jc w:val="center"/>
              <w:rPr>
                <w:rFonts w:ascii="Arial Narrow" w:hAnsi="Arial Narrow"/>
                <w:b/>
                <w:color w:val="FFFFFF" w:themeColor="background1"/>
                <w:sz w:val="18"/>
                <w:szCs w:val="18"/>
              </w:rPr>
            </w:pPr>
            <w:r w:rsidRPr="00F458B0">
              <w:rPr>
                <w:rFonts w:ascii="Arial Narrow" w:hAnsi="Arial Narrow"/>
                <w:b/>
                <w:color w:val="FFFFFF" w:themeColor="background1"/>
                <w:sz w:val="18"/>
                <w:szCs w:val="18"/>
              </w:rPr>
              <w:t>+3,3</w:t>
            </w:r>
          </w:p>
        </w:tc>
        <w:tc>
          <w:tcPr>
            <w:tcW w:w="1316" w:type="dxa"/>
            <w:tcBorders>
              <w:top w:val="single" w:sz="4" w:space="0" w:color="auto"/>
              <w:bottom w:val="single" w:sz="4" w:space="0" w:color="auto"/>
            </w:tcBorders>
            <w:shd w:val="clear" w:color="auto" w:fill="FF0000"/>
            <w:vAlign w:val="center"/>
          </w:tcPr>
          <w:p w14:paraId="2505EB80" w14:textId="3EF3DBEB" w:rsidR="00F458B0" w:rsidRPr="00F458B0" w:rsidRDefault="00F458B0" w:rsidP="00F458B0">
            <w:pPr>
              <w:jc w:val="center"/>
              <w:rPr>
                <w:rFonts w:ascii="Arial Narrow" w:hAnsi="Arial Narrow"/>
                <w:b/>
                <w:color w:val="FFFFFF" w:themeColor="background1"/>
                <w:sz w:val="18"/>
                <w:szCs w:val="18"/>
              </w:rPr>
            </w:pPr>
            <w:r w:rsidRPr="00F458B0">
              <w:rPr>
                <w:rFonts w:ascii="Arial Narrow" w:hAnsi="Arial Narrow"/>
                <w:b/>
                <w:color w:val="FFFFFF" w:themeColor="background1"/>
                <w:sz w:val="18"/>
                <w:szCs w:val="18"/>
              </w:rPr>
              <w:t>+5,9</w:t>
            </w:r>
          </w:p>
        </w:tc>
        <w:tc>
          <w:tcPr>
            <w:tcW w:w="823" w:type="dxa"/>
            <w:tcBorders>
              <w:top w:val="single" w:sz="4" w:space="0" w:color="auto"/>
              <w:bottom w:val="single" w:sz="4" w:space="0" w:color="auto"/>
            </w:tcBorders>
            <w:shd w:val="clear" w:color="auto" w:fill="FF0000"/>
            <w:vAlign w:val="center"/>
          </w:tcPr>
          <w:p w14:paraId="6F284E16" w14:textId="76AD6683" w:rsidR="00F458B0" w:rsidRPr="00F458B0" w:rsidRDefault="00F458B0" w:rsidP="00F458B0">
            <w:pPr>
              <w:jc w:val="center"/>
              <w:rPr>
                <w:rFonts w:ascii="Arial Narrow" w:hAnsi="Arial Narrow"/>
                <w:b/>
                <w:color w:val="FFFFFF" w:themeColor="background1"/>
                <w:sz w:val="18"/>
                <w:szCs w:val="18"/>
              </w:rPr>
            </w:pPr>
            <w:r w:rsidRPr="00F458B0">
              <w:rPr>
                <w:rFonts w:ascii="Arial Narrow" w:hAnsi="Arial Narrow"/>
                <w:b/>
                <w:color w:val="FFFFFF" w:themeColor="background1"/>
                <w:sz w:val="18"/>
                <w:szCs w:val="18"/>
              </w:rPr>
              <w:t>-11,5</w:t>
            </w:r>
          </w:p>
        </w:tc>
        <w:tc>
          <w:tcPr>
            <w:tcW w:w="1317" w:type="dxa"/>
            <w:tcBorders>
              <w:top w:val="single" w:sz="4" w:space="0" w:color="auto"/>
              <w:bottom w:val="single" w:sz="4" w:space="0" w:color="auto"/>
            </w:tcBorders>
            <w:shd w:val="clear" w:color="auto" w:fill="FF0000"/>
            <w:vAlign w:val="center"/>
          </w:tcPr>
          <w:p w14:paraId="784891DB" w14:textId="1BE5BEE8" w:rsidR="00F458B0" w:rsidRPr="00F458B0" w:rsidRDefault="00F458B0" w:rsidP="00F458B0">
            <w:pPr>
              <w:jc w:val="center"/>
              <w:rPr>
                <w:rFonts w:ascii="Arial Narrow" w:hAnsi="Arial Narrow"/>
                <w:b/>
                <w:color w:val="FFFFFF" w:themeColor="background1"/>
                <w:sz w:val="18"/>
                <w:szCs w:val="18"/>
              </w:rPr>
            </w:pPr>
            <w:r w:rsidRPr="00F458B0">
              <w:rPr>
                <w:rFonts w:ascii="Arial Narrow" w:hAnsi="Arial Narrow"/>
                <w:b/>
                <w:color w:val="FFFFFF" w:themeColor="background1"/>
                <w:sz w:val="18"/>
                <w:szCs w:val="18"/>
              </w:rPr>
              <w:t>-8,7</w:t>
            </w:r>
          </w:p>
        </w:tc>
        <w:tc>
          <w:tcPr>
            <w:tcW w:w="823" w:type="dxa"/>
            <w:tcBorders>
              <w:top w:val="single" w:sz="4" w:space="0" w:color="auto"/>
              <w:bottom w:val="single" w:sz="4" w:space="0" w:color="auto"/>
            </w:tcBorders>
            <w:shd w:val="clear" w:color="auto" w:fill="FF0000"/>
            <w:vAlign w:val="center"/>
          </w:tcPr>
          <w:p w14:paraId="1310861B" w14:textId="50F627E7" w:rsidR="00F458B0" w:rsidRPr="00F458B0" w:rsidRDefault="00F458B0" w:rsidP="00F458B0">
            <w:pPr>
              <w:jc w:val="center"/>
              <w:rPr>
                <w:rFonts w:ascii="Arial Narrow" w:hAnsi="Arial Narrow"/>
                <w:b/>
                <w:color w:val="FFFFFF" w:themeColor="background1"/>
                <w:sz w:val="18"/>
                <w:szCs w:val="18"/>
              </w:rPr>
            </w:pPr>
            <w:r w:rsidRPr="00F458B0">
              <w:rPr>
                <w:rFonts w:ascii="Arial Narrow" w:hAnsi="Arial Narrow"/>
                <w:b/>
                <w:color w:val="FFFFFF" w:themeColor="background1"/>
                <w:sz w:val="18"/>
                <w:szCs w:val="18"/>
              </w:rPr>
              <w:t>-0,4</w:t>
            </w:r>
          </w:p>
        </w:tc>
        <w:tc>
          <w:tcPr>
            <w:tcW w:w="1317" w:type="dxa"/>
            <w:tcBorders>
              <w:top w:val="single" w:sz="4" w:space="0" w:color="auto"/>
              <w:bottom w:val="single" w:sz="4" w:space="0" w:color="auto"/>
            </w:tcBorders>
            <w:shd w:val="clear" w:color="auto" w:fill="FF0000"/>
            <w:vAlign w:val="center"/>
          </w:tcPr>
          <w:p w14:paraId="7BF583E9" w14:textId="6C6C7AC9" w:rsidR="00F458B0" w:rsidRPr="00F458B0" w:rsidRDefault="00F458B0" w:rsidP="00F458B0">
            <w:pPr>
              <w:jc w:val="center"/>
              <w:rPr>
                <w:rFonts w:ascii="Arial Narrow" w:hAnsi="Arial Narrow"/>
                <w:b/>
                <w:color w:val="FFFFFF" w:themeColor="background1"/>
                <w:sz w:val="18"/>
                <w:szCs w:val="18"/>
              </w:rPr>
            </w:pPr>
            <w:r w:rsidRPr="00F458B0">
              <w:rPr>
                <w:rFonts w:ascii="Arial Narrow" w:hAnsi="Arial Narrow"/>
                <w:b/>
                <w:color w:val="FFFFFF" w:themeColor="background1"/>
                <w:sz w:val="18"/>
                <w:szCs w:val="18"/>
              </w:rPr>
              <w:t>-4,4</w:t>
            </w:r>
          </w:p>
        </w:tc>
        <w:tc>
          <w:tcPr>
            <w:tcW w:w="823" w:type="dxa"/>
            <w:tcBorders>
              <w:top w:val="single" w:sz="4" w:space="0" w:color="auto"/>
              <w:bottom w:val="single" w:sz="4" w:space="0" w:color="auto"/>
            </w:tcBorders>
            <w:shd w:val="clear" w:color="auto" w:fill="FF0000"/>
            <w:vAlign w:val="center"/>
          </w:tcPr>
          <w:p w14:paraId="14D27423" w14:textId="18F71EBD" w:rsidR="00F458B0" w:rsidRPr="00F458B0" w:rsidRDefault="00F458B0" w:rsidP="00F458B0">
            <w:pPr>
              <w:jc w:val="center"/>
              <w:rPr>
                <w:rFonts w:ascii="Arial Narrow" w:hAnsi="Arial Narrow"/>
                <w:b/>
                <w:color w:val="FFFFFF" w:themeColor="background1"/>
                <w:sz w:val="18"/>
                <w:szCs w:val="18"/>
              </w:rPr>
            </w:pPr>
            <w:r w:rsidRPr="00F458B0">
              <w:rPr>
                <w:rFonts w:ascii="Arial Narrow" w:hAnsi="Arial Narrow"/>
                <w:b/>
                <w:color w:val="FFFFFF" w:themeColor="background1"/>
                <w:sz w:val="18"/>
                <w:szCs w:val="18"/>
              </w:rPr>
              <w:t>+2,6</w:t>
            </w:r>
          </w:p>
        </w:tc>
        <w:tc>
          <w:tcPr>
            <w:tcW w:w="1317" w:type="dxa"/>
            <w:tcBorders>
              <w:top w:val="single" w:sz="4" w:space="0" w:color="auto"/>
              <w:bottom w:val="single" w:sz="4" w:space="0" w:color="auto"/>
            </w:tcBorders>
            <w:shd w:val="clear" w:color="auto" w:fill="FF0000"/>
            <w:vAlign w:val="center"/>
          </w:tcPr>
          <w:p w14:paraId="68BE2B2B" w14:textId="7F7F5010" w:rsidR="00F458B0" w:rsidRPr="00F458B0" w:rsidRDefault="00F458B0" w:rsidP="00F458B0">
            <w:pPr>
              <w:jc w:val="center"/>
              <w:rPr>
                <w:rFonts w:ascii="Arial Narrow" w:hAnsi="Arial Narrow"/>
                <w:b/>
                <w:color w:val="FFFFFF" w:themeColor="background1"/>
                <w:sz w:val="18"/>
                <w:szCs w:val="18"/>
              </w:rPr>
            </w:pPr>
            <w:r w:rsidRPr="00F458B0">
              <w:rPr>
                <w:rFonts w:ascii="Arial Narrow" w:hAnsi="Arial Narrow"/>
                <w:b/>
                <w:color w:val="FFFFFF" w:themeColor="background1"/>
                <w:sz w:val="18"/>
                <w:szCs w:val="18"/>
              </w:rPr>
              <w:t>-1,3</w:t>
            </w:r>
          </w:p>
        </w:tc>
      </w:tr>
    </w:tbl>
    <w:p w14:paraId="0A08F7BC" w14:textId="4E4B59E5" w:rsidR="002B3371" w:rsidRDefault="00F54842" w:rsidP="005B7FC3">
      <w:pPr>
        <w:pStyle w:val="Corpotesto1"/>
        <w:spacing w:before="120"/>
        <w:rPr>
          <w:rFonts w:ascii="Arial" w:hAnsi="Arial"/>
          <w:b w:val="0"/>
          <w:kern w:val="28"/>
          <w:sz w:val="21"/>
          <w:szCs w:val="21"/>
          <w:lang w:val="it-IT" w:eastAsia="it-IT"/>
        </w:rPr>
      </w:pPr>
      <w:r>
        <w:rPr>
          <w:rFonts w:ascii="Arial" w:hAnsi="Arial"/>
          <w:b w:val="0"/>
          <w:kern w:val="28"/>
          <w:sz w:val="21"/>
          <w:szCs w:val="21"/>
          <w:lang w:val="it-IT" w:eastAsia="it-IT"/>
        </w:rPr>
        <w:t xml:space="preserve">L’aumento dei valori medi unitari all’export è </w:t>
      </w:r>
      <w:r w:rsidR="005B7FC3">
        <w:rPr>
          <w:rFonts w:ascii="Arial" w:hAnsi="Arial"/>
          <w:b w:val="0"/>
          <w:kern w:val="28"/>
          <w:sz w:val="21"/>
          <w:szCs w:val="21"/>
          <w:lang w:val="it-IT" w:eastAsia="it-IT"/>
        </w:rPr>
        <w:t>più ampio per i mercati extra-Ue (+5,4%) rispetto all’area Ue (+1,4%)</w:t>
      </w:r>
      <w:r w:rsidR="004F2DC7" w:rsidRPr="00111262">
        <w:rPr>
          <w:rFonts w:ascii="Arial" w:hAnsi="Arial"/>
          <w:b w:val="0"/>
          <w:kern w:val="28"/>
          <w:sz w:val="21"/>
          <w:szCs w:val="21"/>
          <w:lang w:val="it-IT" w:eastAsia="it-IT"/>
        </w:rPr>
        <w:t xml:space="preserve">; </w:t>
      </w:r>
      <w:r w:rsidR="00FB706E">
        <w:rPr>
          <w:rFonts w:ascii="Arial" w:hAnsi="Arial"/>
          <w:b w:val="0"/>
          <w:kern w:val="28"/>
          <w:sz w:val="21"/>
          <w:szCs w:val="21"/>
          <w:lang w:val="it-IT" w:eastAsia="it-IT"/>
        </w:rPr>
        <w:t>per l’impor</w:t>
      </w:r>
      <w:r>
        <w:rPr>
          <w:rFonts w:ascii="Arial" w:hAnsi="Arial"/>
          <w:b w:val="0"/>
          <w:kern w:val="28"/>
          <w:sz w:val="21"/>
          <w:szCs w:val="21"/>
          <w:lang w:val="it-IT" w:eastAsia="it-IT"/>
        </w:rPr>
        <w:t xml:space="preserve">t, </w:t>
      </w:r>
      <w:r w:rsidR="005B7FC3">
        <w:rPr>
          <w:rFonts w:ascii="Arial" w:hAnsi="Arial"/>
          <w:b w:val="0"/>
          <w:kern w:val="28"/>
          <w:sz w:val="21"/>
          <w:szCs w:val="21"/>
          <w:lang w:val="it-IT" w:eastAsia="it-IT"/>
        </w:rPr>
        <w:t xml:space="preserve">i valori medi unitari in flessione riflettono la dinamica registrata </w:t>
      </w:r>
      <w:r w:rsidR="00FB706E">
        <w:rPr>
          <w:rFonts w:ascii="Arial" w:hAnsi="Arial"/>
          <w:b w:val="0"/>
          <w:kern w:val="28"/>
          <w:sz w:val="21"/>
          <w:szCs w:val="21"/>
          <w:lang w:val="it-IT" w:eastAsia="it-IT"/>
        </w:rPr>
        <w:t xml:space="preserve">per </w:t>
      </w:r>
      <w:r w:rsidR="005B7FC3">
        <w:rPr>
          <w:rFonts w:ascii="Arial" w:hAnsi="Arial"/>
          <w:b w:val="0"/>
          <w:kern w:val="28"/>
          <w:sz w:val="21"/>
          <w:szCs w:val="21"/>
          <w:lang w:val="it-IT" w:eastAsia="it-IT"/>
        </w:rPr>
        <w:t>l’area</w:t>
      </w:r>
      <w:r w:rsidR="00FB706E">
        <w:rPr>
          <w:rFonts w:ascii="Arial" w:hAnsi="Arial"/>
          <w:b w:val="0"/>
          <w:kern w:val="28"/>
          <w:sz w:val="21"/>
          <w:szCs w:val="21"/>
          <w:lang w:val="it-IT" w:eastAsia="it-IT"/>
        </w:rPr>
        <w:t xml:space="preserve"> </w:t>
      </w:r>
      <w:r w:rsidR="00A67E4C" w:rsidRPr="00111262">
        <w:rPr>
          <w:rFonts w:ascii="Arial" w:hAnsi="Arial"/>
          <w:b w:val="0"/>
          <w:kern w:val="28"/>
          <w:sz w:val="21"/>
          <w:szCs w:val="21"/>
          <w:lang w:val="it-IT" w:eastAsia="it-IT"/>
        </w:rPr>
        <w:t>extra</w:t>
      </w:r>
      <w:r w:rsidR="005B7FC3">
        <w:rPr>
          <w:rFonts w:ascii="Arial" w:hAnsi="Arial"/>
          <w:b w:val="0"/>
          <w:kern w:val="28"/>
          <w:sz w:val="21"/>
          <w:szCs w:val="21"/>
          <w:lang w:val="it-IT" w:eastAsia="it-IT"/>
        </w:rPr>
        <w:t>-</w:t>
      </w:r>
      <w:r w:rsidR="00A67E4C" w:rsidRPr="00111262">
        <w:rPr>
          <w:rFonts w:ascii="Arial" w:hAnsi="Arial"/>
          <w:b w:val="0"/>
          <w:kern w:val="28"/>
          <w:sz w:val="21"/>
          <w:szCs w:val="21"/>
          <w:lang w:val="it-IT" w:eastAsia="it-IT"/>
        </w:rPr>
        <w:t xml:space="preserve">Ue </w:t>
      </w:r>
      <w:r w:rsidR="005B7FC3">
        <w:rPr>
          <w:rFonts w:ascii="Arial" w:hAnsi="Arial"/>
          <w:b w:val="0"/>
          <w:kern w:val="28"/>
          <w:sz w:val="21"/>
          <w:szCs w:val="21"/>
          <w:lang w:val="it-IT" w:eastAsia="it-IT"/>
        </w:rPr>
        <w:t xml:space="preserve">                 </w:t>
      </w:r>
      <w:r w:rsidR="00111262" w:rsidRPr="00111262">
        <w:rPr>
          <w:rFonts w:ascii="Arial" w:hAnsi="Arial"/>
          <w:b w:val="0"/>
          <w:kern w:val="28"/>
          <w:sz w:val="21"/>
          <w:szCs w:val="21"/>
          <w:lang w:val="it-IT" w:eastAsia="it-IT"/>
        </w:rPr>
        <w:t>(-</w:t>
      </w:r>
      <w:r w:rsidR="00A05D83">
        <w:rPr>
          <w:rFonts w:ascii="Arial" w:hAnsi="Arial"/>
          <w:b w:val="0"/>
          <w:kern w:val="28"/>
          <w:sz w:val="21"/>
          <w:szCs w:val="21"/>
          <w:lang w:val="it-IT" w:eastAsia="it-IT"/>
        </w:rPr>
        <w:t>2</w:t>
      </w:r>
      <w:r w:rsidR="005B7FC3">
        <w:rPr>
          <w:rFonts w:ascii="Arial" w:hAnsi="Arial"/>
          <w:b w:val="0"/>
          <w:kern w:val="28"/>
          <w:sz w:val="21"/>
          <w:szCs w:val="21"/>
          <w:lang w:val="it-IT" w:eastAsia="it-IT"/>
        </w:rPr>
        <w:t>2,4</w:t>
      </w:r>
      <w:r w:rsidR="00111262" w:rsidRPr="00111262">
        <w:rPr>
          <w:rFonts w:ascii="Arial" w:hAnsi="Arial"/>
          <w:b w:val="0"/>
          <w:kern w:val="28"/>
          <w:sz w:val="21"/>
          <w:szCs w:val="21"/>
          <w:lang w:val="it-IT" w:eastAsia="it-IT"/>
        </w:rPr>
        <w:t>%)</w:t>
      </w:r>
      <w:r w:rsidR="003803C8" w:rsidRPr="00111262">
        <w:rPr>
          <w:rFonts w:ascii="Arial" w:hAnsi="Arial"/>
          <w:b w:val="0"/>
          <w:kern w:val="28"/>
          <w:sz w:val="21"/>
          <w:szCs w:val="21"/>
          <w:lang w:val="it-IT" w:eastAsia="it-IT"/>
        </w:rPr>
        <w:t>.</w:t>
      </w:r>
      <w:r w:rsidR="00E77ADB" w:rsidRPr="00111262">
        <w:rPr>
          <w:rFonts w:ascii="Arial" w:hAnsi="Arial"/>
          <w:b w:val="0"/>
          <w:kern w:val="28"/>
          <w:sz w:val="21"/>
          <w:szCs w:val="21"/>
          <w:lang w:val="it-IT" w:eastAsia="it-IT"/>
        </w:rPr>
        <w:t xml:space="preserve"> </w:t>
      </w:r>
      <w:r w:rsidR="00CC531A">
        <w:rPr>
          <w:rFonts w:ascii="Arial" w:hAnsi="Arial"/>
          <w:b w:val="0"/>
          <w:kern w:val="28"/>
          <w:sz w:val="21"/>
          <w:szCs w:val="21"/>
          <w:lang w:val="it-IT" w:eastAsia="it-IT"/>
        </w:rPr>
        <w:t>I</w:t>
      </w:r>
      <w:r w:rsidR="003803C8" w:rsidRPr="00111262">
        <w:rPr>
          <w:rFonts w:ascii="Arial" w:hAnsi="Arial"/>
          <w:b w:val="0"/>
          <w:kern w:val="28"/>
          <w:sz w:val="21"/>
          <w:szCs w:val="21"/>
          <w:lang w:val="it-IT" w:eastAsia="it-IT"/>
        </w:rPr>
        <w:t xml:space="preserve"> valori medi unitari dell’energia</w:t>
      </w:r>
      <w:r w:rsidR="00A613FB">
        <w:rPr>
          <w:rFonts w:ascii="Arial" w:hAnsi="Arial"/>
          <w:b w:val="0"/>
          <w:kern w:val="28"/>
          <w:sz w:val="21"/>
          <w:szCs w:val="21"/>
          <w:lang w:val="it-IT" w:eastAsia="it-IT"/>
        </w:rPr>
        <w:t xml:space="preserve"> si confermano in</w:t>
      </w:r>
      <w:r w:rsidR="00FB706E">
        <w:rPr>
          <w:rFonts w:ascii="Arial" w:hAnsi="Arial"/>
          <w:b w:val="0"/>
          <w:kern w:val="28"/>
          <w:sz w:val="21"/>
          <w:szCs w:val="21"/>
          <w:lang w:val="it-IT" w:eastAsia="it-IT"/>
        </w:rPr>
        <w:t xml:space="preserve"> </w:t>
      </w:r>
      <w:r w:rsidR="00C65C49">
        <w:rPr>
          <w:rFonts w:ascii="Arial" w:hAnsi="Arial"/>
          <w:b w:val="0"/>
          <w:kern w:val="28"/>
          <w:sz w:val="21"/>
          <w:szCs w:val="21"/>
          <w:lang w:val="it-IT" w:eastAsia="it-IT"/>
        </w:rPr>
        <w:t>calo</w:t>
      </w:r>
      <w:r w:rsidR="00B300C3">
        <w:rPr>
          <w:rFonts w:ascii="Arial" w:hAnsi="Arial"/>
          <w:b w:val="0"/>
          <w:kern w:val="28"/>
          <w:sz w:val="21"/>
          <w:szCs w:val="21"/>
          <w:lang w:val="it-IT" w:eastAsia="it-IT"/>
        </w:rPr>
        <w:t>,</w:t>
      </w:r>
      <w:r w:rsidR="0001426C" w:rsidRPr="00111262">
        <w:rPr>
          <w:rFonts w:ascii="Arial" w:hAnsi="Arial"/>
          <w:b w:val="0"/>
          <w:kern w:val="28"/>
          <w:sz w:val="21"/>
          <w:szCs w:val="21"/>
          <w:lang w:val="it-IT" w:eastAsia="it-IT"/>
        </w:rPr>
        <w:t xml:space="preserve"> </w:t>
      </w:r>
      <w:r w:rsidR="00E77ADB" w:rsidRPr="00111262">
        <w:rPr>
          <w:rFonts w:ascii="Arial" w:hAnsi="Arial"/>
          <w:b w:val="0"/>
          <w:kern w:val="28"/>
          <w:sz w:val="21"/>
          <w:szCs w:val="21"/>
          <w:lang w:val="it-IT" w:eastAsia="it-IT"/>
        </w:rPr>
        <w:t xml:space="preserve">sia </w:t>
      </w:r>
      <w:r w:rsidR="00C14D64" w:rsidRPr="00111262">
        <w:rPr>
          <w:rFonts w:ascii="Arial" w:hAnsi="Arial"/>
          <w:b w:val="0"/>
          <w:kern w:val="28"/>
          <w:sz w:val="21"/>
          <w:szCs w:val="21"/>
          <w:lang w:val="it-IT" w:eastAsia="it-IT"/>
        </w:rPr>
        <w:t>all’export (</w:t>
      </w:r>
      <w:r w:rsidR="00111262" w:rsidRPr="00111262">
        <w:rPr>
          <w:rFonts w:ascii="Arial" w:hAnsi="Arial"/>
          <w:b w:val="0"/>
          <w:kern w:val="28"/>
          <w:sz w:val="21"/>
          <w:szCs w:val="21"/>
          <w:lang w:val="it-IT" w:eastAsia="it-IT"/>
        </w:rPr>
        <w:t>-</w:t>
      </w:r>
      <w:r w:rsidR="00A613FB">
        <w:rPr>
          <w:rFonts w:ascii="Arial" w:hAnsi="Arial"/>
          <w:b w:val="0"/>
          <w:kern w:val="28"/>
          <w:sz w:val="21"/>
          <w:szCs w:val="21"/>
          <w:lang w:val="it-IT" w:eastAsia="it-IT"/>
        </w:rPr>
        <w:t>1</w:t>
      </w:r>
      <w:r w:rsidR="005B7FC3">
        <w:rPr>
          <w:rFonts w:ascii="Arial" w:hAnsi="Arial"/>
          <w:b w:val="0"/>
          <w:kern w:val="28"/>
          <w:sz w:val="21"/>
          <w:szCs w:val="21"/>
          <w:lang w:val="it-IT" w:eastAsia="it-IT"/>
        </w:rPr>
        <w:t>5,3</w:t>
      </w:r>
      <w:r w:rsidR="00C14D64" w:rsidRPr="00111262">
        <w:rPr>
          <w:rFonts w:ascii="Arial" w:hAnsi="Arial"/>
          <w:b w:val="0"/>
          <w:kern w:val="28"/>
          <w:sz w:val="21"/>
          <w:szCs w:val="21"/>
          <w:lang w:val="it-IT" w:eastAsia="it-IT"/>
        </w:rPr>
        <w:t xml:space="preserve">%) </w:t>
      </w:r>
      <w:r w:rsidR="00E77ADB" w:rsidRPr="00111262">
        <w:rPr>
          <w:rFonts w:ascii="Arial" w:hAnsi="Arial"/>
          <w:b w:val="0"/>
          <w:kern w:val="28"/>
          <w:sz w:val="21"/>
          <w:szCs w:val="21"/>
          <w:lang w:val="it-IT" w:eastAsia="it-IT"/>
        </w:rPr>
        <w:t>sia</w:t>
      </w:r>
      <w:r>
        <w:rPr>
          <w:rFonts w:ascii="Arial" w:hAnsi="Arial"/>
          <w:b w:val="0"/>
          <w:kern w:val="28"/>
          <w:sz w:val="21"/>
          <w:szCs w:val="21"/>
          <w:lang w:val="it-IT" w:eastAsia="it-IT"/>
        </w:rPr>
        <w:t>, in misura più intensa,</w:t>
      </w:r>
      <w:r w:rsidR="00C14D64" w:rsidRPr="00111262">
        <w:rPr>
          <w:rFonts w:ascii="Arial" w:hAnsi="Arial"/>
          <w:b w:val="0"/>
          <w:kern w:val="28"/>
          <w:sz w:val="21"/>
          <w:szCs w:val="21"/>
          <w:lang w:val="it-IT" w:eastAsia="it-IT"/>
        </w:rPr>
        <w:t xml:space="preserve"> all’import (</w:t>
      </w:r>
      <w:r w:rsidR="0001426C" w:rsidRPr="00111262">
        <w:rPr>
          <w:rFonts w:ascii="Arial" w:hAnsi="Arial"/>
          <w:b w:val="0"/>
          <w:kern w:val="28"/>
          <w:sz w:val="21"/>
          <w:szCs w:val="21"/>
          <w:lang w:val="it-IT" w:eastAsia="it-IT"/>
        </w:rPr>
        <w:t>-</w:t>
      </w:r>
      <w:r w:rsidR="005B7FC3">
        <w:rPr>
          <w:rFonts w:ascii="Arial" w:hAnsi="Arial"/>
          <w:b w:val="0"/>
          <w:kern w:val="28"/>
          <w:sz w:val="21"/>
          <w:szCs w:val="21"/>
          <w:lang w:val="it-IT" w:eastAsia="it-IT"/>
        </w:rPr>
        <w:t>39,3</w:t>
      </w:r>
      <w:r w:rsidR="00C14D64" w:rsidRPr="00111262">
        <w:rPr>
          <w:rFonts w:ascii="Arial" w:hAnsi="Arial"/>
          <w:b w:val="0"/>
          <w:kern w:val="28"/>
          <w:sz w:val="21"/>
          <w:szCs w:val="21"/>
          <w:lang w:val="it-IT" w:eastAsia="it-IT"/>
        </w:rPr>
        <w:t>%)</w:t>
      </w:r>
      <w:r w:rsidR="003803C8" w:rsidRPr="00111262">
        <w:rPr>
          <w:rFonts w:ascii="Arial" w:hAnsi="Arial"/>
          <w:b w:val="0"/>
          <w:kern w:val="28"/>
          <w:sz w:val="21"/>
          <w:szCs w:val="21"/>
          <w:lang w:val="it-IT" w:eastAsia="it-IT"/>
        </w:rPr>
        <w:t xml:space="preserve">. </w:t>
      </w:r>
      <w:r w:rsidRPr="00F54842">
        <w:rPr>
          <w:rFonts w:ascii="Arial" w:hAnsi="Arial"/>
          <w:b w:val="0"/>
          <w:kern w:val="28"/>
          <w:sz w:val="21"/>
          <w:szCs w:val="21"/>
          <w:lang w:val="it-IT" w:eastAsia="it-IT"/>
        </w:rPr>
        <w:t xml:space="preserve">Riguardo ai volumi, </w:t>
      </w:r>
      <w:r w:rsidR="00C65C49">
        <w:rPr>
          <w:rFonts w:ascii="Arial" w:hAnsi="Arial"/>
          <w:b w:val="0"/>
          <w:kern w:val="28"/>
          <w:sz w:val="21"/>
          <w:szCs w:val="21"/>
          <w:lang w:val="it-IT" w:eastAsia="it-IT"/>
        </w:rPr>
        <w:t xml:space="preserve">tranne che per i beni strumentali (+5,5%), </w:t>
      </w:r>
      <w:r w:rsidRPr="00F54842">
        <w:rPr>
          <w:rFonts w:ascii="Arial" w:hAnsi="Arial"/>
          <w:b w:val="0"/>
          <w:kern w:val="28"/>
          <w:sz w:val="21"/>
          <w:szCs w:val="21"/>
          <w:lang w:val="it-IT" w:eastAsia="it-IT"/>
        </w:rPr>
        <w:t>si rileva una riduzione generalizzata per</w:t>
      </w:r>
      <w:r w:rsidR="005B7FC3">
        <w:rPr>
          <w:rFonts w:ascii="Arial" w:hAnsi="Arial"/>
          <w:b w:val="0"/>
          <w:kern w:val="28"/>
          <w:sz w:val="21"/>
          <w:szCs w:val="21"/>
          <w:lang w:val="it-IT" w:eastAsia="it-IT"/>
        </w:rPr>
        <w:t xml:space="preserve"> l’</w:t>
      </w:r>
      <w:r w:rsidR="00C65C49">
        <w:rPr>
          <w:rFonts w:ascii="Arial" w:hAnsi="Arial"/>
          <w:b w:val="0"/>
          <w:kern w:val="28"/>
          <w:sz w:val="21"/>
          <w:szCs w:val="21"/>
          <w:lang w:val="it-IT" w:eastAsia="it-IT"/>
        </w:rPr>
        <w:t>export</w:t>
      </w:r>
      <w:r w:rsidR="006D202E">
        <w:rPr>
          <w:rFonts w:ascii="Arial" w:hAnsi="Arial"/>
          <w:b w:val="0"/>
          <w:kern w:val="28"/>
          <w:sz w:val="21"/>
          <w:szCs w:val="21"/>
          <w:lang w:val="it-IT" w:eastAsia="it-IT"/>
        </w:rPr>
        <w:t>. P</w:t>
      </w:r>
      <w:r w:rsidR="00C65C49">
        <w:rPr>
          <w:rFonts w:ascii="Arial" w:hAnsi="Arial"/>
          <w:b w:val="0"/>
          <w:kern w:val="28"/>
          <w:sz w:val="21"/>
          <w:szCs w:val="21"/>
          <w:lang w:val="it-IT" w:eastAsia="it-IT"/>
        </w:rPr>
        <w:t>er l’import, le dinamiche sono differenziate: in aumento i volumi degli acquisti di beni di consumo durevoli, beni strumentali ed energia</w:t>
      </w:r>
      <w:r w:rsidR="006D202E">
        <w:rPr>
          <w:rFonts w:ascii="Arial" w:hAnsi="Arial"/>
          <w:b w:val="0"/>
          <w:kern w:val="28"/>
          <w:sz w:val="21"/>
          <w:szCs w:val="21"/>
          <w:lang w:val="it-IT" w:eastAsia="it-IT"/>
        </w:rPr>
        <w:t>,</w:t>
      </w:r>
      <w:r w:rsidR="00C65C49">
        <w:rPr>
          <w:rFonts w:ascii="Arial" w:hAnsi="Arial"/>
          <w:b w:val="0"/>
          <w:kern w:val="28"/>
          <w:sz w:val="21"/>
          <w:szCs w:val="21"/>
          <w:lang w:val="it-IT" w:eastAsia="it-IT"/>
        </w:rPr>
        <w:t xml:space="preserve"> in flessione quelli dei rimanenti raggruppamenti.</w:t>
      </w:r>
    </w:p>
    <w:p w14:paraId="1514AB56" w14:textId="77777777" w:rsidR="002B3BA3" w:rsidRPr="00275637" w:rsidRDefault="00B13FB7" w:rsidP="001A424B">
      <w:pPr>
        <w:pStyle w:val="Rientrocorpodeltesto"/>
        <w:spacing w:before="240"/>
        <w:ind w:left="0" w:right="84"/>
        <w:rPr>
          <w:rFonts w:ascii="Calibri" w:hAnsi="Calibri" w:cs="Calibri"/>
          <w:color w:val="E42618"/>
          <w:sz w:val="36"/>
          <w:szCs w:val="36"/>
        </w:rPr>
      </w:pPr>
      <w:r w:rsidRPr="00275637">
        <w:rPr>
          <w:rFonts w:ascii="Calibri" w:hAnsi="Calibri" w:cs="Calibri"/>
          <w:color w:val="E42618"/>
          <w:sz w:val="36"/>
          <w:szCs w:val="36"/>
        </w:rPr>
        <w:lastRenderedPageBreak/>
        <w:t>Prezzi all’importazione</w:t>
      </w:r>
    </w:p>
    <w:p w14:paraId="54FDB305" w14:textId="77777777" w:rsidR="00EE07EE" w:rsidRPr="00275637" w:rsidRDefault="00EE07EE" w:rsidP="00EE07EE">
      <w:pPr>
        <w:jc w:val="both"/>
        <w:rPr>
          <w:rFonts w:ascii="Arial Narrow" w:hAnsi="Arial Narrow" w:cs="Arial"/>
          <w:b/>
          <w:color w:val="5F5F5F"/>
          <w:sz w:val="22"/>
          <w:szCs w:val="22"/>
        </w:rPr>
      </w:pPr>
      <w:r w:rsidRPr="00275637">
        <w:rPr>
          <w:rFonts w:ascii="Arial Narrow" w:hAnsi="Arial Narrow" w:cs="Arial"/>
          <w:b/>
          <w:color w:val="E42618"/>
          <w:sz w:val="22"/>
          <w:szCs w:val="22"/>
        </w:rPr>
        <w:t>PROSPETTO 5.</w:t>
      </w:r>
      <w:r w:rsidRPr="00275637">
        <w:rPr>
          <w:rFonts w:ascii="Arial Narrow" w:hAnsi="Arial Narrow" w:cs="Arial"/>
          <w:b/>
          <w:color w:val="5F5F5F"/>
        </w:rPr>
        <w:t xml:space="preserve"> </w:t>
      </w:r>
      <w:r w:rsidRPr="00275637">
        <w:rPr>
          <w:rFonts w:ascii="Arial Narrow" w:hAnsi="Arial Narrow" w:cs="Arial"/>
          <w:b/>
          <w:color w:val="5F5F5F"/>
          <w:sz w:val="22"/>
          <w:szCs w:val="22"/>
        </w:rPr>
        <w:t>PREZZI ALL’IMPORTAZIONE PER RAGGRUPPAMENTO PRINCIPALE DI INDUSTRIE</w:t>
      </w:r>
    </w:p>
    <w:p w14:paraId="775090C2" w14:textId="5806CCD8" w:rsidR="00275637" w:rsidRPr="006304A5" w:rsidRDefault="00E52CA6" w:rsidP="00275637">
      <w:pPr>
        <w:pStyle w:val="Corpodeltesto1"/>
        <w:spacing w:after="120"/>
        <w:jc w:val="left"/>
        <w:rPr>
          <w:rFonts w:ascii="Arial Narrow" w:hAnsi="Arial Narrow" w:cs="Arial"/>
          <w:b w:val="0"/>
          <w:bCs/>
          <w:sz w:val="19"/>
          <w:szCs w:val="19"/>
        </w:rPr>
      </w:pPr>
      <w:r>
        <w:rPr>
          <w:rFonts w:ascii="Arial Narrow" w:hAnsi="Arial Narrow" w:cs="Arial"/>
          <w:b w:val="0"/>
          <w:color w:val="5F5F5F"/>
          <w:kern w:val="28"/>
          <w:sz w:val="20"/>
          <w:szCs w:val="20"/>
        </w:rPr>
        <w:t>Ottobre</w:t>
      </w:r>
      <w:r w:rsidR="000A46FA" w:rsidRPr="00B31D3C">
        <w:rPr>
          <w:rFonts w:ascii="Arial Narrow" w:hAnsi="Arial Narrow" w:cs="Arial"/>
          <w:b w:val="0"/>
          <w:color w:val="5F5F5F"/>
          <w:kern w:val="28"/>
          <w:sz w:val="20"/>
          <w:szCs w:val="20"/>
        </w:rPr>
        <w:t xml:space="preserve"> </w:t>
      </w:r>
      <w:r w:rsidR="00EE07EE" w:rsidRPr="00275637">
        <w:rPr>
          <w:rFonts w:ascii="Arial Narrow" w:hAnsi="Arial Narrow" w:cs="Arial"/>
          <w:b w:val="0"/>
          <w:color w:val="5F5F5F"/>
          <w:kern w:val="28"/>
          <w:sz w:val="20"/>
          <w:szCs w:val="20"/>
        </w:rPr>
        <w:t>2023</w:t>
      </w:r>
      <w:r w:rsidR="00000A85" w:rsidRPr="00275637">
        <w:rPr>
          <w:rFonts w:ascii="Arial Narrow" w:hAnsi="Arial Narrow" w:cs="Arial"/>
          <w:b w:val="0"/>
          <w:color w:val="5F5F5F"/>
          <w:kern w:val="28"/>
          <w:sz w:val="20"/>
          <w:szCs w:val="20"/>
        </w:rPr>
        <w:t xml:space="preserve"> (a)</w:t>
      </w:r>
      <w:r w:rsidR="00EE07EE" w:rsidRPr="00275637">
        <w:rPr>
          <w:rFonts w:ascii="Arial Narrow" w:hAnsi="Arial Narrow" w:cs="Arial"/>
          <w:b w:val="0"/>
          <w:color w:val="5F5F5F"/>
          <w:kern w:val="28"/>
          <w:sz w:val="20"/>
          <w:szCs w:val="20"/>
        </w:rPr>
        <w:t>, variazioni percentuali congiunturali e tendenziali (base 2015=100)</w:t>
      </w:r>
    </w:p>
    <w:tbl>
      <w:tblPr>
        <w:tblW w:w="10206" w:type="dxa"/>
        <w:tblBorders>
          <w:top w:val="single" w:sz="4" w:space="0" w:color="333333"/>
          <w:bottom w:val="single" w:sz="4" w:space="0" w:color="333333"/>
          <w:insideH w:val="single" w:sz="4" w:space="0" w:color="333333"/>
        </w:tblBorders>
        <w:tblLayout w:type="fixed"/>
        <w:tblCellMar>
          <w:left w:w="68" w:type="dxa"/>
          <w:right w:w="68" w:type="dxa"/>
        </w:tblCellMar>
        <w:tblLook w:val="0000" w:firstRow="0" w:lastRow="0" w:firstColumn="0" w:lastColumn="0" w:noHBand="0" w:noVBand="0"/>
      </w:tblPr>
      <w:tblGrid>
        <w:gridCol w:w="2317"/>
        <w:gridCol w:w="1157"/>
        <w:gridCol w:w="1334"/>
        <w:gridCol w:w="1346"/>
        <w:gridCol w:w="1349"/>
        <w:gridCol w:w="1345"/>
        <w:gridCol w:w="1346"/>
        <w:gridCol w:w="12"/>
      </w:tblGrid>
      <w:tr w:rsidR="00275637" w:rsidRPr="005E4472" w14:paraId="3DE7B832" w14:textId="77777777" w:rsidTr="00C13EB9">
        <w:trPr>
          <w:cantSplit/>
          <w:trHeight w:val="255"/>
        </w:trPr>
        <w:tc>
          <w:tcPr>
            <w:tcW w:w="2317" w:type="dxa"/>
            <w:vMerge w:val="restart"/>
            <w:shd w:val="clear" w:color="auto" w:fill="auto"/>
            <w:tcMar>
              <w:left w:w="0" w:type="dxa"/>
              <w:right w:w="0" w:type="dxa"/>
            </w:tcMar>
            <w:vAlign w:val="center"/>
          </w:tcPr>
          <w:p w14:paraId="68CE62C0" w14:textId="77777777" w:rsidR="00275637" w:rsidRPr="005E4472" w:rsidRDefault="00275637" w:rsidP="00C13EB9">
            <w:pPr>
              <w:tabs>
                <w:tab w:val="left" w:pos="-4253"/>
                <w:tab w:val="left" w:pos="565"/>
                <w:tab w:val="left" w:pos="1258"/>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rPr>
                <w:rFonts w:ascii="Arial Narrow" w:hAnsi="Arial Narrow" w:cs="Arial"/>
                <w:b/>
                <w:sz w:val="18"/>
                <w:szCs w:val="18"/>
              </w:rPr>
            </w:pPr>
            <w:r w:rsidRPr="005E4472">
              <w:rPr>
                <w:rFonts w:ascii="Arial Narrow" w:hAnsi="Arial Narrow" w:cs="Arial"/>
                <w:b/>
                <w:sz w:val="18"/>
                <w:szCs w:val="18"/>
              </w:rPr>
              <w:t xml:space="preserve">RAGGRUPPAMENTI </w:t>
            </w:r>
            <w:r>
              <w:rPr>
                <w:rFonts w:ascii="Arial Narrow" w:hAnsi="Arial Narrow" w:cs="Arial"/>
                <w:b/>
                <w:sz w:val="18"/>
                <w:szCs w:val="18"/>
              </w:rPr>
              <w:br/>
            </w:r>
            <w:r w:rsidRPr="005E4472">
              <w:rPr>
                <w:rFonts w:ascii="Arial Narrow" w:hAnsi="Arial Narrow" w:cs="Arial"/>
                <w:b/>
                <w:sz w:val="18"/>
                <w:szCs w:val="18"/>
              </w:rPr>
              <w:t>PRINCIPALI DI INDUSTRIE</w:t>
            </w:r>
          </w:p>
        </w:tc>
        <w:tc>
          <w:tcPr>
            <w:tcW w:w="2491" w:type="dxa"/>
            <w:gridSpan w:val="2"/>
            <w:shd w:val="clear" w:color="auto" w:fill="D9D9D9"/>
            <w:tcMar>
              <w:left w:w="0" w:type="dxa"/>
              <w:right w:w="0" w:type="dxa"/>
            </w:tcMar>
            <w:vAlign w:val="center"/>
          </w:tcPr>
          <w:p w14:paraId="50AF5EC1" w14:textId="77777777" w:rsidR="00275637" w:rsidRPr="005E4472" w:rsidRDefault="00275637" w:rsidP="00C13EB9">
            <w:pPr>
              <w:tabs>
                <w:tab w:val="left" w:pos="-774"/>
                <w:tab w:val="left" w:pos="-690"/>
                <w:tab w:val="left" w:pos="1258"/>
                <w:tab w:val="left" w:pos="135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b/>
                <w:sz w:val="18"/>
                <w:szCs w:val="18"/>
              </w:rPr>
            </w:pPr>
            <w:r w:rsidRPr="005E4472">
              <w:rPr>
                <w:rFonts w:ascii="Arial Narrow" w:hAnsi="Arial Narrow" w:cs="Arial"/>
                <w:b/>
                <w:sz w:val="18"/>
                <w:szCs w:val="18"/>
              </w:rPr>
              <w:t>Totale</w:t>
            </w:r>
          </w:p>
        </w:tc>
        <w:tc>
          <w:tcPr>
            <w:tcW w:w="2695" w:type="dxa"/>
            <w:gridSpan w:val="2"/>
            <w:shd w:val="clear" w:color="auto" w:fill="auto"/>
            <w:vAlign w:val="center"/>
          </w:tcPr>
          <w:p w14:paraId="72D2E761" w14:textId="77777777" w:rsidR="00275637" w:rsidRPr="005E4472" w:rsidRDefault="00275637" w:rsidP="00C13EB9">
            <w:pPr>
              <w:tabs>
                <w:tab w:val="left" w:pos="-774"/>
                <w:tab w:val="left" w:pos="-690"/>
                <w:tab w:val="left" w:pos="1258"/>
                <w:tab w:val="left" w:pos="135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b/>
                <w:sz w:val="18"/>
                <w:szCs w:val="18"/>
              </w:rPr>
            </w:pPr>
            <w:r>
              <w:rPr>
                <w:rFonts w:ascii="Arial Narrow" w:hAnsi="Arial Narrow" w:cs="Arial"/>
                <w:b/>
                <w:sz w:val="18"/>
                <w:szCs w:val="18"/>
              </w:rPr>
              <w:t>Area euro</w:t>
            </w:r>
          </w:p>
        </w:tc>
        <w:tc>
          <w:tcPr>
            <w:tcW w:w="2703" w:type="dxa"/>
            <w:gridSpan w:val="3"/>
            <w:shd w:val="clear" w:color="auto" w:fill="D9D9D9"/>
            <w:tcMar>
              <w:left w:w="0" w:type="dxa"/>
              <w:right w:w="0" w:type="dxa"/>
            </w:tcMar>
            <w:vAlign w:val="center"/>
          </w:tcPr>
          <w:p w14:paraId="20036934" w14:textId="77777777" w:rsidR="00275637" w:rsidRPr="005E4472" w:rsidRDefault="00275637" w:rsidP="00C13EB9">
            <w:pPr>
              <w:tabs>
                <w:tab w:val="left" w:pos="-774"/>
                <w:tab w:val="left" w:pos="-690"/>
                <w:tab w:val="left" w:pos="1258"/>
                <w:tab w:val="left" w:pos="135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b/>
                <w:sz w:val="18"/>
                <w:szCs w:val="18"/>
              </w:rPr>
            </w:pPr>
            <w:r>
              <w:rPr>
                <w:rFonts w:ascii="Arial Narrow" w:hAnsi="Arial Narrow" w:cs="Arial"/>
                <w:b/>
                <w:sz w:val="18"/>
                <w:szCs w:val="18"/>
              </w:rPr>
              <w:t>Area non euro</w:t>
            </w:r>
          </w:p>
        </w:tc>
      </w:tr>
      <w:tr w:rsidR="00275637" w:rsidRPr="005E4472" w14:paraId="3303709C" w14:textId="77777777" w:rsidTr="00C13EB9">
        <w:trPr>
          <w:gridAfter w:val="1"/>
          <w:wAfter w:w="12" w:type="dxa"/>
          <w:cantSplit/>
          <w:trHeight w:val="255"/>
        </w:trPr>
        <w:tc>
          <w:tcPr>
            <w:tcW w:w="2317" w:type="dxa"/>
            <w:vMerge/>
            <w:shd w:val="clear" w:color="auto" w:fill="auto"/>
            <w:vAlign w:val="center"/>
          </w:tcPr>
          <w:p w14:paraId="7D923ADD" w14:textId="77777777" w:rsidR="00275637" w:rsidRPr="005E4472" w:rsidRDefault="00275637" w:rsidP="00C13EB9">
            <w:pPr>
              <w:tabs>
                <w:tab w:val="left" w:pos="-774"/>
                <w:tab w:val="left" w:pos="-567"/>
                <w:tab w:val="left" w:pos="67"/>
                <w:tab w:val="left" w:pos="565"/>
                <w:tab w:val="left" w:pos="1258"/>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sz w:val="18"/>
                <w:szCs w:val="18"/>
              </w:rPr>
            </w:pPr>
          </w:p>
        </w:tc>
        <w:tc>
          <w:tcPr>
            <w:tcW w:w="1157" w:type="dxa"/>
            <w:shd w:val="clear" w:color="auto" w:fill="FFFFFF"/>
            <w:vAlign w:val="center"/>
          </w:tcPr>
          <w:p w14:paraId="6DE93548" w14:textId="77777777" w:rsidR="00275637" w:rsidRDefault="00275637" w:rsidP="00C13EB9">
            <w:pPr>
              <w:spacing w:before="40" w:after="20"/>
              <w:jc w:val="center"/>
              <w:rPr>
                <w:rFonts w:ascii="Arial Narrow" w:hAnsi="Arial Narrow"/>
                <w:sz w:val="18"/>
                <w:szCs w:val="18"/>
              </w:rPr>
            </w:pPr>
            <w:r>
              <w:rPr>
                <w:rFonts w:ascii="Arial Narrow" w:hAnsi="Arial Narrow"/>
                <w:sz w:val="18"/>
                <w:szCs w:val="18"/>
              </w:rPr>
              <w:t>Variazioni</w:t>
            </w:r>
          </w:p>
          <w:p w14:paraId="26ADF4E2" w14:textId="77777777" w:rsidR="00275637" w:rsidRPr="00BA36DD" w:rsidRDefault="00275637" w:rsidP="00C13EB9">
            <w:pPr>
              <w:spacing w:before="40" w:after="20"/>
              <w:jc w:val="center"/>
              <w:rPr>
                <w:rFonts w:ascii="Arial Narrow" w:hAnsi="Arial Narrow"/>
                <w:sz w:val="18"/>
                <w:szCs w:val="18"/>
              </w:rPr>
            </w:pPr>
            <w:r>
              <w:rPr>
                <w:rFonts w:ascii="Arial Narrow" w:hAnsi="Arial Narrow"/>
                <w:sz w:val="18"/>
                <w:szCs w:val="18"/>
              </w:rPr>
              <w:t>c</w:t>
            </w:r>
            <w:r w:rsidRPr="00BA36DD">
              <w:rPr>
                <w:rFonts w:ascii="Arial Narrow" w:hAnsi="Arial Narrow"/>
                <w:sz w:val="18"/>
                <w:szCs w:val="18"/>
              </w:rPr>
              <w:t>ongiuntu</w:t>
            </w:r>
            <w:r>
              <w:rPr>
                <w:rFonts w:ascii="Arial Narrow" w:hAnsi="Arial Narrow"/>
                <w:sz w:val="18"/>
                <w:szCs w:val="18"/>
              </w:rPr>
              <w:t>r</w:t>
            </w:r>
            <w:r w:rsidRPr="00BA36DD">
              <w:rPr>
                <w:rFonts w:ascii="Arial Narrow" w:hAnsi="Arial Narrow"/>
                <w:sz w:val="18"/>
                <w:szCs w:val="18"/>
              </w:rPr>
              <w:t>ali</w:t>
            </w:r>
          </w:p>
        </w:tc>
        <w:tc>
          <w:tcPr>
            <w:tcW w:w="1334" w:type="dxa"/>
            <w:shd w:val="clear" w:color="auto" w:fill="FFFFFF"/>
            <w:vAlign w:val="center"/>
          </w:tcPr>
          <w:p w14:paraId="7A9840F7" w14:textId="77777777" w:rsidR="00275637" w:rsidRDefault="00275637" w:rsidP="00C13EB9">
            <w:pPr>
              <w:spacing w:before="40" w:after="20"/>
              <w:jc w:val="center"/>
              <w:rPr>
                <w:rFonts w:ascii="Arial Narrow" w:hAnsi="Arial Narrow"/>
                <w:sz w:val="18"/>
                <w:szCs w:val="18"/>
              </w:rPr>
            </w:pPr>
            <w:r>
              <w:rPr>
                <w:rFonts w:ascii="Arial Narrow" w:hAnsi="Arial Narrow"/>
                <w:sz w:val="18"/>
                <w:szCs w:val="18"/>
              </w:rPr>
              <w:t>Variazioni</w:t>
            </w:r>
          </w:p>
          <w:p w14:paraId="3E012CC8" w14:textId="77777777" w:rsidR="00275637" w:rsidRPr="00BA36DD" w:rsidRDefault="00275637" w:rsidP="00C13EB9">
            <w:pPr>
              <w:spacing w:before="40" w:after="20"/>
              <w:jc w:val="center"/>
              <w:rPr>
                <w:rFonts w:ascii="Arial Narrow" w:hAnsi="Arial Narrow"/>
                <w:sz w:val="18"/>
                <w:szCs w:val="18"/>
              </w:rPr>
            </w:pPr>
            <w:r>
              <w:rPr>
                <w:rFonts w:ascii="Arial Narrow" w:hAnsi="Arial Narrow"/>
                <w:sz w:val="18"/>
                <w:szCs w:val="18"/>
              </w:rPr>
              <w:t>t</w:t>
            </w:r>
            <w:r w:rsidRPr="00BA36DD">
              <w:rPr>
                <w:rFonts w:ascii="Arial Narrow" w:hAnsi="Arial Narrow"/>
                <w:sz w:val="18"/>
                <w:szCs w:val="18"/>
              </w:rPr>
              <w:t>endenziali</w:t>
            </w:r>
          </w:p>
        </w:tc>
        <w:tc>
          <w:tcPr>
            <w:tcW w:w="1346" w:type="dxa"/>
            <w:shd w:val="clear" w:color="auto" w:fill="FFFFFF"/>
            <w:vAlign w:val="center"/>
          </w:tcPr>
          <w:p w14:paraId="4E1FC19B" w14:textId="77777777" w:rsidR="00275637" w:rsidRDefault="00275637" w:rsidP="00C13EB9">
            <w:pPr>
              <w:spacing w:before="40" w:after="20"/>
              <w:jc w:val="center"/>
              <w:rPr>
                <w:rFonts w:ascii="Arial Narrow" w:hAnsi="Arial Narrow"/>
                <w:sz w:val="18"/>
                <w:szCs w:val="18"/>
              </w:rPr>
            </w:pPr>
            <w:r>
              <w:rPr>
                <w:rFonts w:ascii="Arial Narrow" w:hAnsi="Arial Narrow"/>
                <w:sz w:val="18"/>
                <w:szCs w:val="18"/>
              </w:rPr>
              <w:t>Variazioni</w:t>
            </w:r>
          </w:p>
          <w:p w14:paraId="3353460E" w14:textId="77777777" w:rsidR="00275637" w:rsidRPr="00BA36DD" w:rsidRDefault="00275637" w:rsidP="00C13EB9">
            <w:pPr>
              <w:spacing w:before="40" w:after="20"/>
              <w:jc w:val="center"/>
              <w:rPr>
                <w:rFonts w:ascii="Arial Narrow" w:hAnsi="Arial Narrow"/>
                <w:sz w:val="18"/>
                <w:szCs w:val="18"/>
              </w:rPr>
            </w:pPr>
            <w:r>
              <w:rPr>
                <w:rFonts w:ascii="Arial Narrow" w:hAnsi="Arial Narrow"/>
                <w:sz w:val="18"/>
                <w:szCs w:val="18"/>
              </w:rPr>
              <w:t>c</w:t>
            </w:r>
            <w:r w:rsidRPr="00BA36DD">
              <w:rPr>
                <w:rFonts w:ascii="Arial Narrow" w:hAnsi="Arial Narrow"/>
                <w:sz w:val="18"/>
                <w:szCs w:val="18"/>
              </w:rPr>
              <w:t>ongiuntu</w:t>
            </w:r>
            <w:r>
              <w:rPr>
                <w:rFonts w:ascii="Arial Narrow" w:hAnsi="Arial Narrow"/>
                <w:sz w:val="18"/>
                <w:szCs w:val="18"/>
              </w:rPr>
              <w:t>r</w:t>
            </w:r>
            <w:r w:rsidRPr="00BA36DD">
              <w:rPr>
                <w:rFonts w:ascii="Arial Narrow" w:hAnsi="Arial Narrow"/>
                <w:sz w:val="18"/>
                <w:szCs w:val="18"/>
              </w:rPr>
              <w:t>ali</w:t>
            </w:r>
          </w:p>
        </w:tc>
        <w:tc>
          <w:tcPr>
            <w:tcW w:w="1349" w:type="dxa"/>
            <w:shd w:val="clear" w:color="auto" w:fill="FFFFFF"/>
            <w:vAlign w:val="center"/>
          </w:tcPr>
          <w:p w14:paraId="1CB34C66" w14:textId="77777777" w:rsidR="00275637" w:rsidRDefault="00275637" w:rsidP="00C13EB9">
            <w:pPr>
              <w:spacing w:before="40" w:after="20"/>
              <w:jc w:val="center"/>
              <w:rPr>
                <w:rFonts w:ascii="Arial Narrow" w:hAnsi="Arial Narrow"/>
                <w:sz w:val="18"/>
                <w:szCs w:val="18"/>
              </w:rPr>
            </w:pPr>
            <w:r>
              <w:rPr>
                <w:rFonts w:ascii="Arial Narrow" w:hAnsi="Arial Narrow"/>
                <w:sz w:val="18"/>
                <w:szCs w:val="18"/>
              </w:rPr>
              <w:t>Variazioni</w:t>
            </w:r>
          </w:p>
          <w:p w14:paraId="25869935" w14:textId="77777777" w:rsidR="00275637" w:rsidRPr="00BA36DD" w:rsidRDefault="00275637" w:rsidP="00C13EB9">
            <w:pPr>
              <w:spacing w:before="40" w:after="20"/>
              <w:jc w:val="center"/>
              <w:rPr>
                <w:rFonts w:ascii="Arial Narrow" w:hAnsi="Arial Narrow"/>
                <w:sz w:val="18"/>
                <w:szCs w:val="18"/>
              </w:rPr>
            </w:pPr>
            <w:r>
              <w:rPr>
                <w:rFonts w:ascii="Arial Narrow" w:hAnsi="Arial Narrow"/>
                <w:sz w:val="18"/>
                <w:szCs w:val="18"/>
              </w:rPr>
              <w:t>t</w:t>
            </w:r>
            <w:r w:rsidRPr="00BA36DD">
              <w:rPr>
                <w:rFonts w:ascii="Arial Narrow" w:hAnsi="Arial Narrow"/>
                <w:sz w:val="18"/>
                <w:szCs w:val="18"/>
              </w:rPr>
              <w:t>endenziali</w:t>
            </w:r>
          </w:p>
        </w:tc>
        <w:tc>
          <w:tcPr>
            <w:tcW w:w="1345" w:type="dxa"/>
            <w:shd w:val="clear" w:color="auto" w:fill="FFFFFF"/>
            <w:vAlign w:val="center"/>
          </w:tcPr>
          <w:p w14:paraId="37B049EA" w14:textId="77777777" w:rsidR="00275637" w:rsidRDefault="00275637" w:rsidP="00C13EB9">
            <w:pPr>
              <w:spacing w:before="40" w:after="20"/>
              <w:jc w:val="center"/>
              <w:rPr>
                <w:rFonts w:ascii="Arial Narrow" w:hAnsi="Arial Narrow"/>
                <w:sz w:val="18"/>
                <w:szCs w:val="18"/>
              </w:rPr>
            </w:pPr>
            <w:r>
              <w:rPr>
                <w:rFonts w:ascii="Arial Narrow" w:hAnsi="Arial Narrow"/>
                <w:sz w:val="18"/>
                <w:szCs w:val="18"/>
              </w:rPr>
              <w:t>Variazioni</w:t>
            </w:r>
          </w:p>
          <w:p w14:paraId="011070AD" w14:textId="77777777" w:rsidR="00275637" w:rsidRPr="00BA36DD" w:rsidRDefault="00275637" w:rsidP="00C13EB9">
            <w:pPr>
              <w:spacing w:before="40" w:after="20"/>
              <w:jc w:val="center"/>
              <w:rPr>
                <w:rFonts w:ascii="Arial Narrow" w:hAnsi="Arial Narrow"/>
                <w:sz w:val="18"/>
                <w:szCs w:val="18"/>
              </w:rPr>
            </w:pPr>
            <w:r>
              <w:rPr>
                <w:rFonts w:ascii="Arial Narrow" w:hAnsi="Arial Narrow"/>
                <w:sz w:val="18"/>
                <w:szCs w:val="18"/>
              </w:rPr>
              <w:t>c</w:t>
            </w:r>
            <w:r w:rsidRPr="00BA36DD">
              <w:rPr>
                <w:rFonts w:ascii="Arial Narrow" w:hAnsi="Arial Narrow"/>
                <w:sz w:val="18"/>
                <w:szCs w:val="18"/>
              </w:rPr>
              <w:t>ongiuntu</w:t>
            </w:r>
            <w:r>
              <w:rPr>
                <w:rFonts w:ascii="Arial Narrow" w:hAnsi="Arial Narrow"/>
                <w:sz w:val="18"/>
                <w:szCs w:val="18"/>
              </w:rPr>
              <w:t>r</w:t>
            </w:r>
            <w:r w:rsidRPr="00BA36DD">
              <w:rPr>
                <w:rFonts w:ascii="Arial Narrow" w:hAnsi="Arial Narrow"/>
                <w:sz w:val="18"/>
                <w:szCs w:val="18"/>
              </w:rPr>
              <w:t>ali</w:t>
            </w:r>
          </w:p>
        </w:tc>
        <w:tc>
          <w:tcPr>
            <w:tcW w:w="1346" w:type="dxa"/>
            <w:shd w:val="clear" w:color="auto" w:fill="FFFFFF"/>
            <w:vAlign w:val="center"/>
          </w:tcPr>
          <w:p w14:paraId="6EBF4814" w14:textId="77777777" w:rsidR="00275637" w:rsidRDefault="00275637" w:rsidP="00C13EB9">
            <w:pPr>
              <w:spacing w:before="40" w:after="20"/>
              <w:jc w:val="center"/>
              <w:rPr>
                <w:rFonts w:ascii="Arial Narrow" w:hAnsi="Arial Narrow"/>
                <w:sz w:val="18"/>
                <w:szCs w:val="18"/>
              </w:rPr>
            </w:pPr>
            <w:r>
              <w:rPr>
                <w:rFonts w:ascii="Arial Narrow" w:hAnsi="Arial Narrow"/>
                <w:sz w:val="18"/>
                <w:szCs w:val="18"/>
              </w:rPr>
              <w:t>Variazioni</w:t>
            </w:r>
          </w:p>
          <w:p w14:paraId="3B3D200D" w14:textId="77777777" w:rsidR="00275637" w:rsidRPr="00BA36DD" w:rsidRDefault="00275637" w:rsidP="00C13EB9">
            <w:pPr>
              <w:spacing w:before="40" w:after="20"/>
              <w:jc w:val="center"/>
              <w:rPr>
                <w:rFonts w:ascii="Arial Narrow" w:hAnsi="Arial Narrow"/>
                <w:sz w:val="18"/>
                <w:szCs w:val="18"/>
              </w:rPr>
            </w:pPr>
            <w:r>
              <w:rPr>
                <w:rFonts w:ascii="Arial Narrow" w:hAnsi="Arial Narrow"/>
                <w:sz w:val="18"/>
                <w:szCs w:val="18"/>
              </w:rPr>
              <w:t>t</w:t>
            </w:r>
            <w:r w:rsidRPr="00BA36DD">
              <w:rPr>
                <w:rFonts w:ascii="Arial Narrow" w:hAnsi="Arial Narrow"/>
                <w:sz w:val="18"/>
                <w:szCs w:val="18"/>
              </w:rPr>
              <w:t>endenziali</w:t>
            </w:r>
          </w:p>
        </w:tc>
      </w:tr>
      <w:tr w:rsidR="00E52CA6" w:rsidRPr="005E4472" w14:paraId="015A081A" w14:textId="77777777" w:rsidTr="00C13EB9">
        <w:trPr>
          <w:gridAfter w:val="1"/>
          <w:wAfter w:w="12" w:type="dxa"/>
          <w:cantSplit/>
          <w:trHeight w:val="255"/>
        </w:trPr>
        <w:tc>
          <w:tcPr>
            <w:tcW w:w="2317" w:type="dxa"/>
            <w:vMerge/>
            <w:shd w:val="clear" w:color="auto" w:fill="auto"/>
            <w:vAlign w:val="center"/>
          </w:tcPr>
          <w:p w14:paraId="2603DB01" w14:textId="77777777" w:rsidR="00E52CA6" w:rsidRPr="005E4472" w:rsidRDefault="00E52CA6" w:rsidP="00E52CA6">
            <w:pPr>
              <w:tabs>
                <w:tab w:val="left" w:pos="-774"/>
                <w:tab w:val="left" w:pos="-567"/>
                <w:tab w:val="left" w:pos="67"/>
                <w:tab w:val="left" w:pos="565"/>
                <w:tab w:val="left" w:pos="1258"/>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sz w:val="18"/>
                <w:szCs w:val="18"/>
              </w:rPr>
            </w:pPr>
          </w:p>
        </w:tc>
        <w:tc>
          <w:tcPr>
            <w:tcW w:w="1157" w:type="dxa"/>
            <w:shd w:val="clear" w:color="auto" w:fill="D9D9D9"/>
            <w:vAlign w:val="center"/>
          </w:tcPr>
          <w:p w14:paraId="7CF57007" w14:textId="60B7E4F2" w:rsidR="00E52CA6" w:rsidRPr="0069402A" w:rsidRDefault="00E52CA6" w:rsidP="00E52CA6">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 23</w:t>
            </w:r>
          </w:p>
          <w:p w14:paraId="6ED7C55C" w14:textId="3A905380" w:rsidR="00E52CA6" w:rsidRPr="00BA36DD" w:rsidRDefault="00E52CA6" w:rsidP="00E52CA6">
            <w:pPr>
              <w:spacing w:before="40" w:after="20"/>
              <w:jc w:val="center"/>
              <w:rPr>
                <w:rFonts w:ascii="Arial Narrow" w:hAnsi="Arial Narrow"/>
                <w:sz w:val="18"/>
                <w:szCs w:val="18"/>
              </w:rPr>
            </w:pPr>
            <w:r>
              <w:rPr>
                <w:rFonts w:ascii="Arial Narrow" w:hAnsi="Arial Narrow"/>
                <w:sz w:val="18"/>
                <w:szCs w:val="18"/>
                <w:lang w:val="en-US"/>
              </w:rPr>
              <w:t>set 23</w:t>
            </w:r>
          </w:p>
        </w:tc>
        <w:tc>
          <w:tcPr>
            <w:tcW w:w="1334" w:type="dxa"/>
            <w:shd w:val="clear" w:color="auto" w:fill="FFFFFF"/>
            <w:vAlign w:val="center"/>
          </w:tcPr>
          <w:p w14:paraId="66BB4E55" w14:textId="07E3C53A" w:rsidR="00E52CA6" w:rsidRPr="0069402A" w:rsidRDefault="00E52CA6" w:rsidP="00E52CA6">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 23</w:t>
            </w:r>
          </w:p>
          <w:p w14:paraId="3AB91315" w14:textId="30564584" w:rsidR="00E52CA6" w:rsidRPr="00BA36DD" w:rsidRDefault="00E52CA6" w:rsidP="00E52CA6">
            <w:pPr>
              <w:tabs>
                <w:tab w:val="left" w:pos="-774"/>
                <w:tab w:val="left" w:pos="-690"/>
                <w:tab w:val="left" w:pos="1258"/>
                <w:tab w:val="left" w:pos="135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b/>
                <w:sz w:val="18"/>
                <w:szCs w:val="18"/>
              </w:rPr>
            </w:pPr>
            <w:r>
              <w:rPr>
                <w:rFonts w:ascii="Arial Narrow" w:hAnsi="Arial Narrow"/>
                <w:sz w:val="18"/>
                <w:szCs w:val="18"/>
                <w:lang w:val="en-US"/>
              </w:rPr>
              <w:t>ott 22</w:t>
            </w:r>
          </w:p>
        </w:tc>
        <w:tc>
          <w:tcPr>
            <w:tcW w:w="1346" w:type="dxa"/>
            <w:shd w:val="clear" w:color="auto" w:fill="D9D9D9"/>
            <w:vAlign w:val="center"/>
          </w:tcPr>
          <w:p w14:paraId="160FF630" w14:textId="77777777" w:rsidR="00E52CA6" w:rsidRPr="0069402A" w:rsidRDefault="00E52CA6" w:rsidP="00E52CA6">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 23</w:t>
            </w:r>
          </w:p>
          <w:p w14:paraId="39E6095D" w14:textId="7D643C17" w:rsidR="00E52CA6" w:rsidRPr="00BA36DD" w:rsidRDefault="00E52CA6" w:rsidP="00E52CA6">
            <w:pPr>
              <w:spacing w:before="40" w:after="20"/>
              <w:jc w:val="center"/>
              <w:rPr>
                <w:rFonts w:ascii="Arial Narrow" w:hAnsi="Arial Narrow"/>
                <w:sz w:val="18"/>
                <w:szCs w:val="18"/>
              </w:rPr>
            </w:pPr>
            <w:r>
              <w:rPr>
                <w:rFonts w:ascii="Arial Narrow" w:hAnsi="Arial Narrow"/>
                <w:sz w:val="18"/>
                <w:szCs w:val="18"/>
                <w:lang w:val="en-US"/>
              </w:rPr>
              <w:t>set 23</w:t>
            </w:r>
          </w:p>
        </w:tc>
        <w:tc>
          <w:tcPr>
            <w:tcW w:w="1349" w:type="dxa"/>
            <w:shd w:val="clear" w:color="auto" w:fill="FFFFFF"/>
            <w:vAlign w:val="center"/>
          </w:tcPr>
          <w:p w14:paraId="1A8234A1" w14:textId="77777777" w:rsidR="00E52CA6" w:rsidRPr="0069402A" w:rsidRDefault="00E52CA6" w:rsidP="00E52CA6">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 23</w:t>
            </w:r>
          </w:p>
          <w:p w14:paraId="6D3A55D7" w14:textId="1029B798" w:rsidR="00E52CA6" w:rsidRPr="00BA36DD" w:rsidRDefault="00E52CA6" w:rsidP="00E52CA6">
            <w:pPr>
              <w:tabs>
                <w:tab w:val="left" w:pos="-774"/>
                <w:tab w:val="left" w:pos="-690"/>
                <w:tab w:val="left" w:pos="1258"/>
                <w:tab w:val="left" w:pos="135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b/>
                <w:sz w:val="18"/>
                <w:szCs w:val="18"/>
              </w:rPr>
            </w:pPr>
            <w:r>
              <w:rPr>
                <w:rFonts w:ascii="Arial Narrow" w:hAnsi="Arial Narrow"/>
                <w:sz w:val="18"/>
                <w:szCs w:val="18"/>
                <w:lang w:val="en-US"/>
              </w:rPr>
              <w:t>ott 22</w:t>
            </w:r>
          </w:p>
        </w:tc>
        <w:tc>
          <w:tcPr>
            <w:tcW w:w="1345" w:type="dxa"/>
            <w:shd w:val="clear" w:color="auto" w:fill="D9D9D9"/>
            <w:vAlign w:val="center"/>
          </w:tcPr>
          <w:p w14:paraId="17698BDC" w14:textId="77777777" w:rsidR="00E52CA6" w:rsidRPr="0069402A" w:rsidRDefault="00E52CA6" w:rsidP="00E52CA6">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 23</w:t>
            </w:r>
          </w:p>
          <w:p w14:paraId="6D4FF572" w14:textId="472738DC" w:rsidR="00E52CA6" w:rsidRPr="00BA36DD" w:rsidRDefault="00E52CA6" w:rsidP="00E52CA6">
            <w:pPr>
              <w:spacing w:before="40" w:after="20"/>
              <w:jc w:val="center"/>
              <w:rPr>
                <w:rFonts w:ascii="Arial Narrow" w:hAnsi="Arial Narrow"/>
                <w:sz w:val="18"/>
                <w:szCs w:val="18"/>
              </w:rPr>
            </w:pPr>
            <w:r>
              <w:rPr>
                <w:rFonts w:ascii="Arial Narrow" w:hAnsi="Arial Narrow"/>
                <w:sz w:val="18"/>
                <w:szCs w:val="18"/>
                <w:lang w:val="en-US"/>
              </w:rPr>
              <w:t>set 23</w:t>
            </w:r>
          </w:p>
        </w:tc>
        <w:tc>
          <w:tcPr>
            <w:tcW w:w="1346" w:type="dxa"/>
            <w:shd w:val="clear" w:color="auto" w:fill="FFFFFF"/>
            <w:vAlign w:val="center"/>
          </w:tcPr>
          <w:p w14:paraId="6111F9DB" w14:textId="77777777" w:rsidR="00E52CA6" w:rsidRPr="0069402A" w:rsidRDefault="00E52CA6" w:rsidP="00E52CA6">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 23</w:t>
            </w:r>
          </w:p>
          <w:p w14:paraId="0E66305D" w14:textId="09AB36BB" w:rsidR="00E52CA6" w:rsidRPr="00BA36DD" w:rsidRDefault="00E52CA6" w:rsidP="00E52CA6">
            <w:pPr>
              <w:tabs>
                <w:tab w:val="left" w:pos="-774"/>
                <w:tab w:val="left" w:pos="-690"/>
                <w:tab w:val="left" w:pos="1258"/>
                <w:tab w:val="left" w:pos="135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b/>
                <w:sz w:val="18"/>
                <w:szCs w:val="18"/>
              </w:rPr>
            </w:pPr>
            <w:r>
              <w:rPr>
                <w:rFonts w:ascii="Arial Narrow" w:hAnsi="Arial Narrow"/>
                <w:sz w:val="18"/>
                <w:szCs w:val="18"/>
                <w:lang w:val="en-US"/>
              </w:rPr>
              <w:t>ott 22</w:t>
            </w:r>
          </w:p>
        </w:tc>
      </w:tr>
      <w:tr w:rsidR="00153D89" w:rsidRPr="00452E5E" w14:paraId="64F5532A" w14:textId="77777777" w:rsidTr="006A65EE">
        <w:trPr>
          <w:gridAfter w:val="1"/>
          <w:wAfter w:w="12" w:type="dxa"/>
          <w:cantSplit/>
          <w:trHeight w:val="70"/>
        </w:trPr>
        <w:tc>
          <w:tcPr>
            <w:tcW w:w="2317" w:type="dxa"/>
            <w:vAlign w:val="center"/>
          </w:tcPr>
          <w:p w14:paraId="75F57647" w14:textId="77777777" w:rsidR="00153D89" w:rsidRPr="005E4472" w:rsidRDefault="00153D89" w:rsidP="00153D89">
            <w:pPr>
              <w:spacing w:before="40" w:after="20"/>
              <w:rPr>
                <w:rFonts w:ascii="Arial Narrow" w:hAnsi="Arial Narrow" w:cs="Arial"/>
                <w:sz w:val="18"/>
                <w:szCs w:val="18"/>
              </w:rPr>
            </w:pPr>
            <w:r w:rsidRPr="005E4472">
              <w:rPr>
                <w:rFonts w:ascii="Arial Narrow" w:hAnsi="Arial Narrow" w:cs="Arial"/>
                <w:sz w:val="18"/>
                <w:szCs w:val="18"/>
              </w:rPr>
              <w:t>Beni di consumo</w:t>
            </w:r>
          </w:p>
        </w:tc>
        <w:tc>
          <w:tcPr>
            <w:tcW w:w="1157" w:type="dxa"/>
            <w:shd w:val="clear" w:color="auto" w:fill="D9D9D9"/>
            <w:vAlign w:val="center"/>
          </w:tcPr>
          <w:p w14:paraId="64C781C5" w14:textId="5ED5997D" w:rsidR="00153D89" w:rsidRPr="00E60E3E" w:rsidRDefault="00153D89" w:rsidP="00153D89">
            <w:pPr>
              <w:jc w:val="center"/>
              <w:rPr>
                <w:rFonts w:ascii="Arial Narrow" w:hAnsi="Arial Narrow" w:cs="Arial Narrow"/>
                <w:color w:val="000000"/>
                <w:sz w:val="18"/>
                <w:szCs w:val="18"/>
              </w:rPr>
            </w:pPr>
            <w:r w:rsidRPr="00FD1A22">
              <w:rPr>
                <w:rFonts w:ascii="Arial Narrow" w:hAnsi="Arial Narrow" w:cs="Arial"/>
                <w:color w:val="000000"/>
                <w:sz w:val="18"/>
                <w:szCs w:val="18"/>
              </w:rPr>
              <w:t>-0,3</w:t>
            </w:r>
          </w:p>
        </w:tc>
        <w:tc>
          <w:tcPr>
            <w:tcW w:w="1334" w:type="dxa"/>
            <w:tcMar>
              <w:left w:w="0" w:type="dxa"/>
            </w:tcMar>
            <w:vAlign w:val="center"/>
          </w:tcPr>
          <w:p w14:paraId="54CA513C" w14:textId="767132BC" w:rsidR="00153D89" w:rsidRPr="00E60E3E" w:rsidRDefault="00153D89" w:rsidP="00153D89">
            <w:pPr>
              <w:jc w:val="center"/>
              <w:rPr>
                <w:rFonts w:ascii="Arial Narrow" w:hAnsi="Arial Narrow" w:cs="Arial Narrow"/>
                <w:color w:val="000000"/>
                <w:sz w:val="18"/>
                <w:szCs w:val="18"/>
              </w:rPr>
            </w:pPr>
            <w:r w:rsidRPr="00FD1A22">
              <w:rPr>
                <w:rFonts w:ascii="Arial Narrow" w:hAnsi="Arial Narrow" w:cs="Arial"/>
                <w:color w:val="000000"/>
                <w:sz w:val="18"/>
                <w:szCs w:val="18"/>
              </w:rPr>
              <w:t>-0,5</w:t>
            </w:r>
          </w:p>
        </w:tc>
        <w:tc>
          <w:tcPr>
            <w:tcW w:w="1346" w:type="dxa"/>
            <w:shd w:val="clear" w:color="auto" w:fill="D9D9D9"/>
            <w:vAlign w:val="center"/>
          </w:tcPr>
          <w:p w14:paraId="709B4F7F" w14:textId="73D4A4C4" w:rsidR="00153D89" w:rsidRPr="00E60E3E" w:rsidRDefault="00153D89" w:rsidP="00153D89">
            <w:pPr>
              <w:jc w:val="center"/>
              <w:rPr>
                <w:rFonts w:ascii="Arial Narrow" w:hAnsi="Arial Narrow" w:cs="Arial Narrow"/>
                <w:color w:val="000000"/>
                <w:sz w:val="18"/>
                <w:szCs w:val="18"/>
              </w:rPr>
            </w:pPr>
            <w:r w:rsidRPr="00FD1A22">
              <w:rPr>
                <w:rFonts w:ascii="Arial Narrow" w:hAnsi="Arial Narrow" w:cs="Arial"/>
                <w:color w:val="000000"/>
                <w:sz w:val="18"/>
                <w:szCs w:val="18"/>
              </w:rPr>
              <w:t>0,0</w:t>
            </w:r>
          </w:p>
        </w:tc>
        <w:tc>
          <w:tcPr>
            <w:tcW w:w="1349" w:type="dxa"/>
            <w:vAlign w:val="center"/>
          </w:tcPr>
          <w:p w14:paraId="1145C023" w14:textId="0B95D1B5" w:rsidR="00153D89" w:rsidRPr="00E60E3E" w:rsidRDefault="00153D89" w:rsidP="00153D89">
            <w:pPr>
              <w:jc w:val="center"/>
              <w:rPr>
                <w:rFonts w:ascii="Arial Narrow" w:hAnsi="Arial Narrow" w:cs="Arial Narrow"/>
                <w:color w:val="000000"/>
                <w:sz w:val="18"/>
                <w:szCs w:val="18"/>
              </w:rPr>
            </w:pPr>
            <w:r w:rsidRPr="00FD1A22">
              <w:rPr>
                <w:rFonts w:ascii="Arial Narrow" w:hAnsi="Arial Narrow" w:cs="Arial"/>
                <w:color w:val="000000"/>
                <w:sz w:val="18"/>
                <w:szCs w:val="18"/>
              </w:rPr>
              <w:t>+2,0</w:t>
            </w:r>
          </w:p>
        </w:tc>
        <w:tc>
          <w:tcPr>
            <w:tcW w:w="1345" w:type="dxa"/>
            <w:shd w:val="clear" w:color="auto" w:fill="D9D9D9"/>
            <w:vAlign w:val="center"/>
          </w:tcPr>
          <w:p w14:paraId="3BE8C213" w14:textId="07096F60" w:rsidR="00153D89" w:rsidRPr="00E60E3E" w:rsidRDefault="00153D89" w:rsidP="00153D89">
            <w:pPr>
              <w:jc w:val="center"/>
              <w:rPr>
                <w:rFonts w:ascii="Arial Narrow" w:hAnsi="Arial Narrow" w:cs="Arial Narrow"/>
                <w:color w:val="000000"/>
                <w:sz w:val="18"/>
                <w:szCs w:val="18"/>
              </w:rPr>
            </w:pPr>
            <w:r w:rsidRPr="00FD1A22">
              <w:rPr>
                <w:rFonts w:ascii="Arial Narrow" w:hAnsi="Arial Narrow" w:cs="Arial"/>
                <w:color w:val="000000"/>
                <w:sz w:val="18"/>
                <w:szCs w:val="18"/>
              </w:rPr>
              <w:t>-0,6</w:t>
            </w:r>
          </w:p>
        </w:tc>
        <w:tc>
          <w:tcPr>
            <w:tcW w:w="1346" w:type="dxa"/>
            <w:vAlign w:val="center"/>
          </w:tcPr>
          <w:p w14:paraId="6B6A380E" w14:textId="45546D1A" w:rsidR="00153D89" w:rsidRPr="00E60E3E" w:rsidRDefault="00153D89" w:rsidP="00153D89">
            <w:pPr>
              <w:jc w:val="center"/>
              <w:rPr>
                <w:rFonts w:ascii="Arial Narrow" w:hAnsi="Arial Narrow" w:cs="Arial Narrow"/>
                <w:color w:val="000000"/>
                <w:sz w:val="18"/>
                <w:szCs w:val="18"/>
              </w:rPr>
            </w:pPr>
            <w:r w:rsidRPr="00FD1A22">
              <w:rPr>
                <w:rFonts w:ascii="Arial Narrow" w:hAnsi="Arial Narrow" w:cs="Arial"/>
                <w:color w:val="000000"/>
                <w:sz w:val="18"/>
                <w:szCs w:val="18"/>
              </w:rPr>
              <w:t>-3,3</w:t>
            </w:r>
          </w:p>
        </w:tc>
      </w:tr>
      <w:tr w:rsidR="00153D89" w:rsidRPr="00452E5E" w14:paraId="65E64628" w14:textId="77777777" w:rsidTr="00C13EB9">
        <w:trPr>
          <w:gridAfter w:val="1"/>
          <w:wAfter w:w="12" w:type="dxa"/>
          <w:cantSplit/>
          <w:trHeight w:val="255"/>
        </w:trPr>
        <w:tc>
          <w:tcPr>
            <w:tcW w:w="2317" w:type="dxa"/>
            <w:vAlign w:val="center"/>
          </w:tcPr>
          <w:p w14:paraId="3284699F" w14:textId="77777777" w:rsidR="00153D89" w:rsidRPr="007F2CF0" w:rsidRDefault="00153D89" w:rsidP="00153D89">
            <w:pPr>
              <w:spacing w:before="40" w:after="20"/>
              <w:rPr>
                <w:rFonts w:ascii="Arial Narrow" w:hAnsi="Arial Narrow" w:cs="Arial"/>
                <w:sz w:val="18"/>
                <w:szCs w:val="18"/>
              </w:rPr>
            </w:pPr>
            <w:r w:rsidRPr="007F2CF0">
              <w:rPr>
                <w:rFonts w:ascii="Arial Narrow" w:hAnsi="Arial Narrow" w:cs="Arial"/>
                <w:sz w:val="18"/>
                <w:szCs w:val="18"/>
              </w:rPr>
              <w:t xml:space="preserve">  </w:t>
            </w:r>
            <w:r>
              <w:rPr>
                <w:rFonts w:ascii="Arial Narrow" w:hAnsi="Arial Narrow" w:cs="Arial"/>
                <w:sz w:val="18"/>
                <w:szCs w:val="18"/>
              </w:rPr>
              <w:t>d</w:t>
            </w:r>
            <w:r w:rsidRPr="007F2CF0">
              <w:rPr>
                <w:rFonts w:ascii="Arial Narrow" w:hAnsi="Arial Narrow" w:cs="Arial"/>
                <w:sz w:val="18"/>
                <w:szCs w:val="18"/>
              </w:rPr>
              <w:t>urevoli</w:t>
            </w:r>
          </w:p>
        </w:tc>
        <w:tc>
          <w:tcPr>
            <w:tcW w:w="1157" w:type="dxa"/>
            <w:shd w:val="clear" w:color="auto" w:fill="D9D9D9"/>
            <w:vAlign w:val="center"/>
          </w:tcPr>
          <w:p w14:paraId="1CD4B9CD" w14:textId="05634203" w:rsidR="00153D89" w:rsidRPr="00E60E3E" w:rsidRDefault="00153D89" w:rsidP="00153D89">
            <w:pPr>
              <w:jc w:val="center"/>
              <w:rPr>
                <w:rFonts w:ascii="Arial Narrow" w:hAnsi="Arial Narrow" w:cs="Arial Narrow"/>
                <w:color w:val="000000"/>
                <w:sz w:val="18"/>
                <w:szCs w:val="18"/>
              </w:rPr>
            </w:pPr>
            <w:r w:rsidRPr="00FD1A22">
              <w:rPr>
                <w:rFonts w:ascii="Arial Narrow" w:hAnsi="Arial Narrow" w:cs="Arial"/>
                <w:color w:val="000000"/>
                <w:sz w:val="18"/>
                <w:szCs w:val="18"/>
              </w:rPr>
              <w:t>-0,4</w:t>
            </w:r>
          </w:p>
        </w:tc>
        <w:tc>
          <w:tcPr>
            <w:tcW w:w="1334" w:type="dxa"/>
            <w:tcMar>
              <w:left w:w="0" w:type="dxa"/>
            </w:tcMar>
            <w:vAlign w:val="center"/>
          </w:tcPr>
          <w:p w14:paraId="27E8BA6D" w14:textId="22A392F2" w:rsidR="00153D89" w:rsidRPr="00E60E3E" w:rsidRDefault="00153D89" w:rsidP="00153D89">
            <w:pPr>
              <w:jc w:val="center"/>
              <w:rPr>
                <w:rFonts w:ascii="Arial Narrow" w:hAnsi="Arial Narrow" w:cs="Arial Narrow"/>
                <w:color w:val="000000"/>
                <w:sz w:val="18"/>
                <w:szCs w:val="18"/>
              </w:rPr>
            </w:pPr>
            <w:r w:rsidRPr="00FD1A22">
              <w:rPr>
                <w:rFonts w:ascii="Arial Narrow" w:hAnsi="Arial Narrow" w:cs="Arial"/>
                <w:color w:val="000000"/>
                <w:sz w:val="18"/>
                <w:szCs w:val="18"/>
              </w:rPr>
              <w:t>+0,9</w:t>
            </w:r>
          </w:p>
        </w:tc>
        <w:tc>
          <w:tcPr>
            <w:tcW w:w="1346" w:type="dxa"/>
            <w:shd w:val="clear" w:color="auto" w:fill="D9D9D9"/>
            <w:vAlign w:val="center"/>
          </w:tcPr>
          <w:p w14:paraId="2644AFFB" w14:textId="26762C18" w:rsidR="00153D89" w:rsidRPr="00E60E3E" w:rsidRDefault="00153D89" w:rsidP="00153D89">
            <w:pPr>
              <w:jc w:val="center"/>
              <w:rPr>
                <w:rFonts w:ascii="Arial Narrow" w:hAnsi="Arial Narrow" w:cs="Arial Narrow"/>
                <w:color w:val="000000"/>
                <w:sz w:val="18"/>
                <w:szCs w:val="18"/>
              </w:rPr>
            </w:pPr>
            <w:r w:rsidRPr="00FD1A22">
              <w:rPr>
                <w:rFonts w:ascii="Arial Narrow" w:hAnsi="Arial Narrow" w:cs="Arial"/>
                <w:color w:val="000000"/>
                <w:sz w:val="18"/>
                <w:szCs w:val="18"/>
              </w:rPr>
              <w:t>-0,1</w:t>
            </w:r>
          </w:p>
        </w:tc>
        <w:tc>
          <w:tcPr>
            <w:tcW w:w="1349" w:type="dxa"/>
            <w:vAlign w:val="center"/>
          </w:tcPr>
          <w:p w14:paraId="341FF57E" w14:textId="225E22E3" w:rsidR="00153D89" w:rsidRPr="00E60E3E" w:rsidRDefault="00153D89" w:rsidP="00153D89">
            <w:pPr>
              <w:jc w:val="center"/>
              <w:rPr>
                <w:rFonts w:ascii="Arial Narrow" w:hAnsi="Arial Narrow" w:cs="Arial Narrow"/>
                <w:color w:val="000000"/>
                <w:sz w:val="18"/>
                <w:szCs w:val="18"/>
              </w:rPr>
            </w:pPr>
            <w:r w:rsidRPr="00FD1A22">
              <w:rPr>
                <w:rFonts w:ascii="Arial Narrow" w:hAnsi="Arial Narrow" w:cs="Arial"/>
                <w:color w:val="000000"/>
                <w:sz w:val="18"/>
                <w:szCs w:val="18"/>
              </w:rPr>
              <w:t>+0,9</w:t>
            </w:r>
          </w:p>
        </w:tc>
        <w:tc>
          <w:tcPr>
            <w:tcW w:w="1345" w:type="dxa"/>
            <w:shd w:val="clear" w:color="auto" w:fill="D9D9D9"/>
            <w:vAlign w:val="center"/>
          </w:tcPr>
          <w:p w14:paraId="4919BD49" w14:textId="46B4756D" w:rsidR="00153D89" w:rsidRPr="00E60E3E" w:rsidRDefault="00153D89" w:rsidP="00153D89">
            <w:pPr>
              <w:jc w:val="center"/>
              <w:rPr>
                <w:rFonts w:ascii="Arial Narrow" w:hAnsi="Arial Narrow" w:cs="Arial Narrow"/>
                <w:color w:val="000000"/>
                <w:sz w:val="18"/>
                <w:szCs w:val="18"/>
              </w:rPr>
            </w:pPr>
            <w:r w:rsidRPr="00FD1A22">
              <w:rPr>
                <w:rFonts w:ascii="Arial Narrow" w:hAnsi="Arial Narrow" w:cs="Arial"/>
                <w:color w:val="000000"/>
                <w:sz w:val="18"/>
                <w:szCs w:val="18"/>
              </w:rPr>
              <w:t>-0,5</w:t>
            </w:r>
          </w:p>
        </w:tc>
        <w:tc>
          <w:tcPr>
            <w:tcW w:w="1346" w:type="dxa"/>
            <w:vAlign w:val="center"/>
          </w:tcPr>
          <w:p w14:paraId="7B7F838A" w14:textId="5163DA23" w:rsidR="00153D89" w:rsidRPr="00E60E3E" w:rsidRDefault="00153D89" w:rsidP="00153D89">
            <w:pPr>
              <w:jc w:val="center"/>
              <w:rPr>
                <w:rFonts w:ascii="Arial Narrow" w:hAnsi="Arial Narrow" w:cs="Arial Narrow"/>
                <w:color w:val="000000"/>
                <w:sz w:val="18"/>
                <w:szCs w:val="18"/>
              </w:rPr>
            </w:pPr>
            <w:r w:rsidRPr="00FD1A22">
              <w:rPr>
                <w:rFonts w:ascii="Arial Narrow" w:hAnsi="Arial Narrow" w:cs="Arial"/>
                <w:color w:val="000000"/>
                <w:sz w:val="18"/>
                <w:szCs w:val="18"/>
              </w:rPr>
              <w:t>+1,0</w:t>
            </w:r>
          </w:p>
        </w:tc>
      </w:tr>
      <w:tr w:rsidR="00153D89" w:rsidRPr="00452E5E" w14:paraId="7C03E05E" w14:textId="77777777" w:rsidTr="00C13EB9">
        <w:trPr>
          <w:gridAfter w:val="1"/>
          <w:wAfter w:w="12" w:type="dxa"/>
          <w:cantSplit/>
          <w:trHeight w:val="255"/>
        </w:trPr>
        <w:tc>
          <w:tcPr>
            <w:tcW w:w="2317" w:type="dxa"/>
            <w:vAlign w:val="center"/>
          </w:tcPr>
          <w:p w14:paraId="4E1E64A4" w14:textId="77777777" w:rsidR="00153D89" w:rsidRPr="007F2CF0" w:rsidRDefault="00153D89" w:rsidP="00153D89">
            <w:pPr>
              <w:spacing w:before="40" w:after="20"/>
              <w:rPr>
                <w:rFonts w:ascii="Arial Narrow" w:hAnsi="Arial Narrow" w:cs="Arial"/>
                <w:sz w:val="18"/>
                <w:szCs w:val="18"/>
              </w:rPr>
            </w:pPr>
            <w:r w:rsidRPr="007F2CF0">
              <w:rPr>
                <w:rFonts w:ascii="Arial Narrow" w:hAnsi="Arial Narrow" w:cs="Arial"/>
                <w:sz w:val="18"/>
                <w:szCs w:val="18"/>
              </w:rPr>
              <w:t xml:space="preserve">  non durevoli</w:t>
            </w:r>
          </w:p>
        </w:tc>
        <w:tc>
          <w:tcPr>
            <w:tcW w:w="1157" w:type="dxa"/>
            <w:shd w:val="clear" w:color="auto" w:fill="D9D9D9"/>
            <w:vAlign w:val="center"/>
          </w:tcPr>
          <w:p w14:paraId="7F07C7EF" w14:textId="6626F50C" w:rsidR="00153D89" w:rsidRPr="00E60E3E" w:rsidRDefault="00153D89" w:rsidP="00153D89">
            <w:pPr>
              <w:jc w:val="center"/>
              <w:rPr>
                <w:rFonts w:ascii="Arial Narrow" w:hAnsi="Arial Narrow" w:cs="Arial Narrow"/>
                <w:color w:val="000000"/>
                <w:sz w:val="18"/>
                <w:szCs w:val="18"/>
              </w:rPr>
            </w:pPr>
            <w:r w:rsidRPr="00FD1A22">
              <w:rPr>
                <w:rFonts w:ascii="Arial Narrow" w:hAnsi="Arial Narrow" w:cs="Arial"/>
                <w:color w:val="000000"/>
                <w:sz w:val="18"/>
                <w:szCs w:val="18"/>
              </w:rPr>
              <w:t>-0,2</w:t>
            </w:r>
          </w:p>
        </w:tc>
        <w:tc>
          <w:tcPr>
            <w:tcW w:w="1334" w:type="dxa"/>
            <w:tcMar>
              <w:left w:w="0" w:type="dxa"/>
            </w:tcMar>
            <w:vAlign w:val="center"/>
          </w:tcPr>
          <w:p w14:paraId="688E0C4A" w14:textId="635069D9" w:rsidR="00153D89" w:rsidRPr="00E60E3E" w:rsidRDefault="00153D89" w:rsidP="00153D89">
            <w:pPr>
              <w:jc w:val="center"/>
              <w:rPr>
                <w:rFonts w:ascii="Arial Narrow" w:hAnsi="Arial Narrow" w:cs="Arial Narrow"/>
                <w:color w:val="000000"/>
                <w:sz w:val="18"/>
                <w:szCs w:val="18"/>
              </w:rPr>
            </w:pPr>
            <w:r w:rsidRPr="00FD1A22">
              <w:rPr>
                <w:rFonts w:ascii="Arial Narrow" w:hAnsi="Arial Narrow" w:cs="Arial"/>
                <w:color w:val="000000"/>
                <w:sz w:val="18"/>
                <w:szCs w:val="18"/>
              </w:rPr>
              <w:t>-0,6</w:t>
            </w:r>
          </w:p>
        </w:tc>
        <w:tc>
          <w:tcPr>
            <w:tcW w:w="1346" w:type="dxa"/>
            <w:shd w:val="clear" w:color="auto" w:fill="D9D9D9"/>
            <w:vAlign w:val="center"/>
          </w:tcPr>
          <w:p w14:paraId="2C7A6573" w14:textId="65542E1F" w:rsidR="00153D89" w:rsidRPr="00E60E3E" w:rsidRDefault="00153D89" w:rsidP="00153D89">
            <w:pPr>
              <w:jc w:val="center"/>
              <w:rPr>
                <w:rFonts w:ascii="Arial Narrow" w:hAnsi="Arial Narrow" w:cs="Arial Narrow"/>
                <w:color w:val="000000"/>
                <w:sz w:val="18"/>
                <w:szCs w:val="18"/>
              </w:rPr>
            </w:pPr>
            <w:r w:rsidRPr="00FD1A22">
              <w:rPr>
                <w:rFonts w:ascii="Arial Narrow" w:hAnsi="Arial Narrow" w:cs="Arial"/>
                <w:color w:val="000000"/>
                <w:sz w:val="18"/>
                <w:szCs w:val="18"/>
              </w:rPr>
              <w:t>+0,1</w:t>
            </w:r>
          </w:p>
        </w:tc>
        <w:tc>
          <w:tcPr>
            <w:tcW w:w="1349" w:type="dxa"/>
            <w:vAlign w:val="center"/>
          </w:tcPr>
          <w:p w14:paraId="6E92BC33" w14:textId="1111AF96" w:rsidR="00153D89" w:rsidRPr="00E60E3E" w:rsidRDefault="00153D89" w:rsidP="00153D89">
            <w:pPr>
              <w:jc w:val="center"/>
              <w:rPr>
                <w:rFonts w:ascii="Arial Narrow" w:hAnsi="Arial Narrow" w:cs="Arial Narrow"/>
                <w:color w:val="000000"/>
                <w:sz w:val="18"/>
                <w:szCs w:val="18"/>
              </w:rPr>
            </w:pPr>
            <w:r w:rsidRPr="00FD1A22">
              <w:rPr>
                <w:rFonts w:ascii="Arial Narrow" w:hAnsi="Arial Narrow" w:cs="Arial"/>
                <w:color w:val="000000"/>
                <w:sz w:val="18"/>
                <w:szCs w:val="18"/>
              </w:rPr>
              <w:t>+2,2</w:t>
            </w:r>
          </w:p>
        </w:tc>
        <w:tc>
          <w:tcPr>
            <w:tcW w:w="1345" w:type="dxa"/>
            <w:shd w:val="clear" w:color="auto" w:fill="D9D9D9"/>
            <w:vAlign w:val="center"/>
          </w:tcPr>
          <w:p w14:paraId="0E4ADF0D" w14:textId="3527427E" w:rsidR="00153D89" w:rsidRPr="00E60E3E" w:rsidRDefault="00153D89" w:rsidP="00153D89">
            <w:pPr>
              <w:jc w:val="center"/>
              <w:rPr>
                <w:rFonts w:ascii="Arial Narrow" w:hAnsi="Arial Narrow" w:cs="Arial Narrow"/>
                <w:color w:val="000000"/>
                <w:sz w:val="18"/>
                <w:szCs w:val="18"/>
              </w:rPr>
            </w:pPr>
            <w:r w:rsidRPr="00FD1A22">
              <w:rPr>
                <w:rFonts w:ascii="Arial Narrow" w:hAnsi="Arial Narrow" w:cs="Arial"/>
                <w:color w:val="000000"/>
                <w:sz w:val="18"/>
                <w:szCs w:val="18"/>
              </w:rPr>
              <w:t>-0,6</w:t>
            </w:r>
          </w:p>
        </w:tc>
        <w:tc>
          <w:tcPr>
            <w:tcW w:w="1346" w:type="dxa"/>
            <w:vAlign w:val="center"/>
          </w:tcPr>
          <w:p w14:paraId="695BA633" w14:textId="1E8D35A5" w:rsidR="00153D89" w:rsidRPr="00E60E3E" w:rsidRDefault="00153D89" w:rsidP="00153D89">
            <w:pPr>
              <w:jc w:val="center"/>
              <w:rPr>
                <w:rFonts w:ascii="Arial Narrow" w:hAnsi="Arial Narrow" w:cs="Arial Narrow"/>
                <w:color w:val="000000"/>
                <w:sz w:val="18"/>
                <w:szCs w:val="18"/>
              </w:rPr>
            </w:pPr>
            <w:r w:rsidRPr="00FD1A22">
              <w:rPr>
                <w:rFonts w:ascii="Arial Narrow" w:hAnsi="Arial Narrow" w:cs="Arial"/>
                <w:color w:val="000000"/>
                <w:sz w:val="18"/>
                <w:szCs w:val="18"/>
              </w:rPr>
              <w:t>-4,5</w:t>
            </w:r>
          </w:p>
        </w:tc>
      </w:tr>
      <w:tr w:rsidR="00153D89" w:rsidRPr="00452E5E" w14:paraId="738407B7" w14:textId="77777777" w:rsidTr="00C13EB9">
        <w:trPr>
          <w:gridAfter w:val="1"/>
          <w:wAfter w:w="12" w:type="dxa"/>
          <w:cantSplit/>
          <w:trHeight w:val="255"/>
        </w:trPr>
        <w:tc>
          <w:tcPr>
            <w:tcW w:w="2317" w:type="dxa"/>
            <w:vAlign w:val="center"/>
          </w:tcPr>
          <w:p w14:paraId="3BC3814A" w14:textId="77777777" w:rsidR="00153D89" w:rsidRPr="001C01EA" w:rsidRDefault="00153D89" w:rsidP="00153D89">
            <w:pPr>
              <w:spacing w:before="40" w:after="20"/>
              <w:rPr>
                <w:rFonts w:ascii="Arial Narrow" w:hAnsi="Arial Narrow" w:cs="Arial"/>
                <w:sz w:val="18"/>
                <w:szCs w:val="18"/>
              </w:rPr>
            </w:pPr>
            <w:r w:rsidRPr="001C01EA">
              <w:rPr>
                <w:rFonts w:ascii="Arial Narrow" w:hAnsi="Arial Narrow" w:cs="Arial"/>
                <w:sz w:val="18"/>
                <w:szCs w:val="18"/>
              </w:rPr>
              <w:t>Beni strumentali</w:t>
            </w:r>
          </w:p>
        </w:tc>
        <w:tc>
          <w:tcPr>
            <w:tcW w:w="1157" w:type="dxa"/>
            <w:shd w:val="clear" w:color="auto" w:fill="D9D9D9"/>
            <w:vAlign w:val="center"/>
          </w:tcPr>
          <w:p w14:paraId="5643D98F" w14:textId="4EFCC3DE" w:rsidR="00153D89" w:rsidRPr="00E60E3E" w:rsidRDefault="00153D89" w:rsidP="00153D89">
            <w:pPr>
              <w:jc w:val="center"/>
              <w:rPr>
                <w:rFonts w:ascii="Arial Narrow" w:hAnsi="Arial Narrow" w:cs="Arial Narrow"/>
                <w:color w:val="000000"/>
                <w:sz w:val="18"/>
                <w:szCs w:val="18"/>
              </w:rPr>
            </w:pPr>
            <w:r w:rsidRPr="00FD1A22">
              <w:rPr>
                <w:rFonts w:ascii="Arial Narrow" w:hAnsi="Arial Narrow" w:cs="Arial"/>
                <w:color w:val="000000"/>
                <w:sz w:val="18"/>
                <w:szCs w:val="18"/>
              </w:rPr>
              <w:t>+0,2</w:t>
            </w:r>
          </w:p>
        </w:tc>
        <w:tc>
          <w:tcPr>
            <w:tcW w:w="1334" w:type="dxa"/>
            <w:tcMar>
              <w:left w:w="0" w:type="dxa"/>
            </w:tcMar>
            <w:vAlign w:val="center"/>
          </w:tcPr>
          <w:p w14:paraId="03FE2F73" w14:textId="7366EF8F" w:rsidR="00153D89" w:rsidRPr="00E60E3E" w:rsidRDefault="00153D89" w:rsidP="00153D89">
            <w:pPr>
              <w:jc w:val="center"/>
              <w:rPr>
                <w:rFonts w:ascii="Arial Narrow" w:hAnsi="Arial Narrow" w:cs="Arial Narrow"/>
                <w:color w:val="000000"/>
                <w:sz w:val="18"/>
                <w:szCs w:val="18"/>
              </w:rPr>
            </w:pPr>
            <w:r w:rsidRPr="00FD1A22">
              <w:rPr>
                <w:rFonts w:ascii="Arial Narrow" w:hAnsi="Arial Narrow" w:cs="Arial"/>
                <w:color w:val="000000"/>
                <w:sz w:val="18"/>
                <w:szCs w:val="18"/>
              </w:rPr>
              <w:t>+2,3</w:t>
            </w:r>
          </w:p>
        </w:tc>
        <w:tc>
          <w:tcPr>
            <w:tcW w:w="1346" w:type="dxa"/>
            <w:shd w:val="clear" w:color="auto" w:fill="D9D9D9"/>
            <w:vAlign w:val="center"/>
          </w:tcPr>
          <w:p w14:paraId="496F02DA" w14:textId="7C169EF7" w:rsidR="00153D89" w:rsidRPr="00E60E3E" w:rsidRDefault="00153D89" w:rsidP="00153D89">
            <w:pPr>
              <w:jc w:val="center"/>
              <w:rPr>
                <w:rFonts w:ascii="Arial Narrow" w:hAnsi="Arial Narrow" w:cs="Arial Narrow"/>
                <w:color w:val="000000"/>
                <w:sz w:val="18"/>
                <w:szCs w:val="18"/>
              </w:rPr>
            </w:pPr>
            <w:r w:rsidRPr="00FD1A22">
              <w:rPr>
                <w:rFonts w:ascii="Arial Narrow" w:hAnsi="Arial Narrow" w:cs="Arial"/>
                <w:color w:val="000000"/>
                <w:sz w:val="18"/>
                <w:szCs w:val="18"/>
              </w:rPr>
              <w:t>+0,3</w:t>
            </w:r>
          </w:p>
        </w:tc>
        <w:tc>
          <w:tcPr>
            <w:tcW w:w="1349" w:type="dxa"/>
            <w:vAlign w:val="center"/>
          </w:tcPr>
          <w:p w14:paraId="42CD4840" w14:textId="6C131D89" w:rsidR="00153D89" w:rsidRPr="00E60E3E" w:rsidRDefault="00153D89" w:rsidP="00153D89">
            <w:pPr>
              <w:jc w:val="center"/>
              <w:rPr>
                <w:rFonts w:ascii="Arial Narrow" w:hAnsi="Arial Narrow" w:cs="Arial Narrow"/>
                <w:color w:val="000000"/>
                <w:sz w:val="18"/>
                <w:szCs w:val="18"/>
              </w:rPr>
            </w:pPr>
            <w:r w:rsidRPr="00FD1A22">
              <w:rPr>
                <w:rFonts w:ascii="Arial Narrow" w:hAnsi="Arial Narrow" w:cs="Arial"/>
                <w:color w:val="000000"/>
                <w:sz w:val="18"/>
                <w:szCs w:val="18"/>
              </w:rPr>
              <w:t>+2,8</w:t>
            </w:r>
          </w:p>
        </w:tc>
        <w:tc>
          <w:tcPr>
            <w:tcW w:w="1345" w:type="dxa"/>
            <w:shd w:val="clear" w:color="auto" w:fill="D9D9D9"/>
            <w:vAlign w:val="center"/>
          </w:tcPr>
          <w:p w14:paraId="58599E08" w14:textId="09342509" w:rsidR="00153D89" w:rsidRPr="00E60E3E" w:rsidRDefault="00153D89" w:rsidP="00153D89">
            <w:pPr>
              <w:jc w:val="center"/>
              <w:rPr>
                <w:rFonts w:ascii="Arial Narrow" w:hAnsi="Arial Narrow" w:cs="Arial Narrow"/>
                <w:color w:val="000000"/>
                <w:sz w:val="18"/>
                <w:szCs w:val="18"/>
              </w:rPr>
            </w:pPr>
            <w:r w:rsidRPr="00FD1A22">
              <w:rPr>
                <w:rFonts w:ascii="Arial Narrow" w:hAnsi="Arial Narrow" w:cs="Arial"/>
                <w:color w:val="000000"/>
                <w:sz w:val="18"/>
                <w:szCs w:val="18"/>
              </w:rPr>
              <w:t>+0,1</w:t>
            </w:r>
          </w:p>
        </w:tc>
        <w:tc>
          <w:tcPr>
            <w:tcW w:w="1346" w:type="dxa"/>
            <w:vAlign w:val="center"/>
          </w:tcPr>
          <w:p w14:paraId="0110907F" w14:textId="58E37ED8" w:rsidR="00153D89" w:rsidRPr="00E60E3E" w:rsidRDefault="00153D89" w:rsidP="00153D89">
            <w:pPr>
              <w:jc w:val="center"/>
              <w:rPr>
                <w:rFonts w:ascii="Arial Narrow" w:hAnsi="Arial Narrow" w:cs="Arial Narrow"/>
                <w:color w:val="000000"/>
                <w:sz w:val="18"/>
                <w:szCs w:val="18"/>
              </w:rPr>
            </w:pPr>
            <w:r w:rsidRPr="00FD1A22">
              <w:rPr>
                <w:rFonts w:ascii="Arial Narrow" w:hAnsi="Arial Narrow" w:cs="Arial"/>
                <w:color w:val="000000"/>
                <w:sz w:val="18"/>
                <w:szCs w:val="18"/>
              </w:rPr>
              <w:t>+1,7</w:t>
            </w:r>
          </w:p>
        </w:tc>
      </w:tr>
      <w:tr w:rsidR="00153D89" w:rsidRPr="00452E5E" w14:paraId="22147477" w14:textId="77777777" w:rsidTr="00C13EB9">
        <w:trPr>
          <w:gridAfter w:val="1"/>
          <w:wAfter w:w="12" w:type="dxa"/>
          <w:cantSplit/>
          <w:trHeight w:val="255"/>
        </w:trPr>
        <w:tc>
          <w:tcPr>
            <w:tcW w:w="2317" w:type="dxa"/>
            <w:vAlign w:val="center"/>
          </w:tcPr>
          <w:p w14:paraId="2B28DE6F" w14:textId="77777777" w:rsidR="00153D89" w:rsidRPr="001C01EA" w:rsidRDefault="00153D89" w:rsidP="00153D89">
            <w:pPr>
              <w:spacing w:before="40" w:after="20"/>
              <w:rPr>
                <w:rFonts w:ascii="Arial Narrow" w:hAnsi="Arial Narrow" w:cs="Arial"/>
                <w:sz w:val="18"/>
                <w:szCs w:val="18"/>
              </w:rPr>
            </w:pPr>
            <w:r w:rsidRPr="001C01EA">
              <w:rPr>
                <w:rFonts w:ascii="Arial Narrow" w:hAnsi="Arial Narrow" w:cs="Arial"/>
                <w:sz w:val="18"/>
                <w:szCs w:val="18"/>
              </w:rPr>
              <w:t>Beni intermedi</w:t>
            </w:r>
          </w:p>
        </w:tc>
        <w:tc>
          <w:tcPr>
            <w:tcW w:w="1157" w:type="dxa"/>
            <w:tcBorders>
              <w:bottom w:val="single" w:sz="4" w:space="0" w:color="333333"/>
            </w:tcBorders>
            <w:shd w:val="clear" w:color="auto" w:fill="D9D9D9"/>
            <w:vAlign w:val="center"/>
          </w:tcPr>
          <w:p w14:paraId="59EA1D5E" w14:textId="714350D3" w:rsidR="00153D89" w:rsidRPr="00E60E3E" w:rsidRDefault="00153D89" w:rsidP="00153D89">
            <w:pPr>
              <w:jc w:val="center"/>
              <w:rPr>
                <w:rFonts w:ascii="Arial Narrow" w:hAnsi="Arial Narrow" w:cs="Arial Narrow"/>
                <w:color w:val="000000"/>
                <w:sz w:val="18"/>
                <w:szCs w:val="18"/>
              </w:rPr>
            </w:pPr>
            <w:r w:rsidRPr="00FD1A22">
              <w:rPr>
                <w:rFonts w:ascii="Arial Narrow" w:hAnsi="Arial Narrow" w:cs="Arial"/>
                <w:color w:val="000000"/>
                <w:sz w:val="18"/>
                <w:szCs w:val="18"/>
              </w:rPr>
              <w:t>+0,3</w:t>
            </w:r>
          </w:p>
        </w:tc>
        <w:tc>
          <w:tcPr>
            <w:tcW w:w="1334" w:type="dxa"/>
            <w:tcMar>
              <w:left w:w="0" w:type="dxa"/>
            </w:tcMar>
            <w:vAlign w:val="center"/>
          </w:tcPr>
          <w:p w14:paraId="05757F36" w14:textId="69EBF770" w:rsidR="00153D89" w:rsidRPr="00E60E3E" w:rsidRDefault="00153D89" w:rsidP="00153D89">
            <w:pPr>
              <w:jc w:val="center"/>
              <w:rPr>
                <w:rFonts w:ascii="Arial Narrow" w:hAnsi="Arial Narrow" w:cs="Arial Narrow"/>
                <w:color w:val="000000"/>
                <w:sz w:val="18"/>
                <w:szCs w:val="18"/>
              </w:rPr>
            </w:pPr>
            <w:r w:rsidRPr="00FD1A22">
              <w:rPr>
                <w:rFonts w:ascii="Arial Narrow" w:hAnsi="Arial Narrow" w:cs="Arial"/>
                <w:color w:val="000000"/>
                <w:sz w:val="18"/>
                <w:szCs w:val="18"/>
              </w:rPr>
              <w:t>-8,1</w:t>
            </w:r>
          </w:p>
        </w:tc>
        <w:tc>
          <w:tcPr>
            <w:tcW w:w="1346" w:type="dxa"/>
            <w:tcBorders>
              <w:bottom w:val="single" w:sz="4" w:space="0" w:color="333333"/>
            </w:tcBorders>
            <w:shd w:val="clear" w:color="auto" w:fill="D9D9D9"/>
            <w:vAlign w:val="center"/>
          </w:tcPr>
          <w:p w14:paraId="079DE8DA" w14:textId="07D244B4" w:rsidR="00153D89" w:rsidRPr="00E60E3E" w:rsidRDefault="00153D89" w:rsidP="00153D89">
            <w:pPr>
              <w:jc w:val="center"/>
              <w:rPr>
                <w:rFonts w:ascii="Arial Narrow" w:hAnsi="Arial Narrow" w:cs="Arial Narrow"/>
                <w:color w:val="000000"/>
                <w:sz w:val="18"/>
                <w:szCs w:val="18"/>
              </w:rPr>
            </w:pPr>
            <w:r w:rsidRPr="00FD1A22">
              <w:rPr>
                <w:rFonts w:ascii="Arial Narrow" w:hAnsi="Arial Narrow" w:cs="Arial"/>
                <w:color w:val="000000"/>
                <w:sz w:val="18"/>
                <w:szCs w:val="18"/>
              </w:rPr>
              <w:t>-0,2</w:t>
            </w:r>
          </w:p>
        </w:tc>
        <w:tc>
          <w:tcPr>
            <w:tcW w:w="1349" w:type="dxa"/>
            <w:vAlign w:val="center"/>
          </w:tcPr>
          <w:p w14:paraId="4FFAA971" w14:textId="7A004415" w:rsidR="00153D89" w:rsidRPr="00E60E3E" w:rsidRDefault="00153D89" w:rsidP="00153D89">
            <w:pPr>
              <w:jc w:val="center"/>
              <w:rPr>
                <w:rFonts w:ascii="Arial Narrow" w:hAnsi="Arial Narrow" w:cs="Arial Narrow"/>
                <w:color w:val="000000"/>
                <w:sz w:val="18"/>
                <w:szCs w:val="18"/>
              </w:rPr>
            </w:pPr>
            <w:r w:rsidRPr="00FD1A22">
              <w:rPr>
                <w:rFonts w:ascii="Arial Narrow" w:hAnsi="Arial Narrow" w:cs="Arial"/>
                <w:color w:val="000000"/>
                <w:sz w:val="18"/>
                <w:szCs w:val="18"/>
              </w:rPr>
              <w:t>-8,8</w:t>
            </w:r>
          </w:p>
        </w:tc>
        <w:tc>
          <w:tcPr>
            <w:tcW w:w="1345" w:type="dxa"/>
            <w:tcBorders>
              <w:bottom w:val="single" w:sz="4" w:space="0" w:color="333333"/>
            </w:tcBorders>
            <w:shd w:val="clear" w:color="auto" w:fill="D9D9D9"/>
            <w:vAlign w:val="center"/>
          </w:tcPr>
          <w:p w14:paraId="5E43415F" w14:textId="0D08BCAE" w:rsidR="00153D89" w:rsidRPr="00E60E3E" w:rsidRDefault="00153D89" w:rsidP="00153D89">
            <w:pPr>
              <w:jc w:val="center"/>
              <w:rPr>
                <w:rFonts w:ascii="Arial Narrow" w:hAnsi="Arial Narrow" w:cs="Arial Narrow"/>
                <w:color w:val="000000"/>
                <w:sz w:val="18"/>
                <w:szCs w:val="18"/>
              </w:rPr>
            </w:pPr>
            <w:r w:rsidRPr="00FD1A22">
              <w:rPr>
                <w:rFonts w:ascii="Arial Narrow" w:hAnsi="Arial Narrow" w:cs="Arial"/>
                <w:color w:val="000000"/>
                <w:sz w:val="18"/>
                <w:szCs w:val="18"/>
              </w:rPr>
              <w:t>+0,8</w:t>
            </w:r>
          </w:p>
        </w:tc>
        <w:tc>
          <w:tcPr>
            <w:tcW w:w="1346" w:type="dxa"/>
            <w:vAlign w:val="center"/>
          </w:tcPr>
          <w:p w14:paraId="552FB3E0" w14:textId="2C9937FD" w:rsidR="00153D89" w:rsidRPr="00E60E3E" w:rsidRDefault="00153D89" w:rsidP="00153D89">
            <w:pPr>
              <w:jc w:val="center"/>
              <w:rPr>
                <w:rFonts w:ascii="Arial Narrow" w:hAnsi="Arial Narrow" w:cs="Arial Narrow"/>
                <w:color w:val="000000"/>
                <w:sz w:val="18"/>
                <w:szCs w:val="18"/>
              </w:rPr>
            </w:pPr>
            <w:r w:rsidRPr="00FD1A22">
              <w:rPr>
                <w:rFonts w:ascii="Arial Narrow" w:hAnsi="Arial Narrow" w:cs="Arial"/>
                <w:color w:val="000000"/>
                <w:sz w:val="18"/>
                <w:szCs w:val="18"/>
              </w:rPr>
              <w:t>-7,3</w:t>
            </w:r>
          </w:p>
        </w:tc>
      </w:tr>
      <w:tr w:rsidR="00153D89" w:rsidRPr="00452E5E" w14:paraId="564705F3" w14:textId="77777777" w:rsidTr="00C13EB9">
        <w:trPr>
          <w:gridAfter w:val="1"/>
          <w:wAfter w:w="12" w:type="dxa"/>
          <w:cantSplit/>
          <w:trHeight w:val="255"/>
        </w:trPr>
        <w:tc>
          <w:tcPr>
            <w:tcW w:w="2317" w:type="dxa"/>
            <w:tcBorders>
              <w:bottom w:val="single" w:sz="4" w:space="0" w:color="333333"/>
            </w:tcBorders>
            <w:vAlign w:val="center"/>
          </w:tcPr>
          <w:p w14:paraId="05C4B5C7" w14:textId="77777777" w:rsidR="00153D89" w:rsidRPr="001C01EA" w:rsidRDefault="00153D89" w:rsidP="00153D89">
            <w:pPr>
              <w:spacing w:before="40" w:after="20"/>
              <w:rPr>
                <w:rFonts w:ascii="Arial Narrow" w:hAnsi="Arial Narrow" w:cs="Arial"/>
                <w:sz w:val="18"/>
                <w:szCs w:val="18"/>
              </w:rPr>
            </w:pPr>
            <w:r w:rsidRPr="001C01EA">
              <w:rPr>
                <w:rFonts w:ascii="Arial Narrow" w:hAnsi="Arial Narrow" w:cs="Arial"/>
                <w:sz w:val="18"/>
                <w:szCs w:val="18"/>
              </w:rPr>
              <w:t>Energia</w:t>
            </w:r>
          </w:p>
        </w:tc>
        <w:tc>
          <w:tcPr>
            <w:tcW w:w="1157" w:type="dxa"/>
            <w:tcBorders>
              <w:bottom w:val="single" w:sz="4" w:space="0" w:color="333333"/>
            </w:tcBorders>
            <w:shd w:val="clear" w:color="auto" w:fill="D9D9D9"/>
            <w:vAlign w:val="center"/>
          </w:tcPr>
          <w:p w14:paraId="667E3DC6" w14:textId="3056DEB7" w:rsidR="00153D89" w:rsidRPr="00E60E3E" w:rsidRDefault="00153D89" w:rsidP="00153D89">
            <w:pPr>
              <w:jc w:val="center"/>
              <w:rPr>
                <w:rFonts w:ascii="Arial Narrow" w:hAnsi="Arial Narrow" w:cs="Arial Narrow"/>
                <w:color w:val="000000"/>
                <w:sz w:val="18"/>
                <w:szCs w:val="18"/>
              </w:rPr>
            </w:pPr>
            <w:r w:rsidRPr="00FD1A22">
              <w:rPr>
                <w:rFonts w:ascii="Arial Narrow" w:hAnsi="Arial Narrow" w:cs="Arial"/>
                <w:color w:val="000000"/>
                <w:sz w:val="18"/>
                <w:szCs w:val="18"/>
              </w:rPr>
              <w:t>+6,8</w:t>
            </w:r>
          </w:p>
        </w:tc>
        <w:tc>
          <w:tcPr>
            <w:tcW w:w="1334" w:type="dxa"/>
            <w:tcBorders>
              <w:bottom w:val="single" w:sz="4" w:space="0" w:color="333333"/>
            </w:tcBorders>
            <w:tcMar>
              <w:left w:w="0" w:type="dxa"/>
            </w:tcMar>
            <w:vAlign w:val="center"/>
          </w:tcPr>
          <w:p w14:paraId="1414D4C3" w14:textId="2B94D353" w:rsidR="00153D89" w:rsidRPr="00E60E3E" w:rsidRDefault="00153D89" w:rsidP="00153D89">
            <w:pPr>
              <w:jc w:val="center"/>
              <w:rPr>
                <w:rFonts w:ascii="Arial Narrow" w:hAnsi="Arial Narrow" w:cs="Arial Narrow"/>
                <w:color w:val="000000"/>
                <w:sz w:val="18"/>
                <w:szCs w:val="18"/>
              </w:rPr>
            </w:pPr>
            <w:r w:rsidRPr="00FD1A22">
              <w:rPr>
                <w:rFonts w:ascii="Arial Narrow" w:hAnsi="Arial Narrow" w:cs="Arial"/>
                <w:color w:val="000000"/>
                <w:sz w:val="18"/>
                <w:szCs w:val="18"/>
              </w:rPr>
              <w:t>-38,5</w:t>
            </w:r>
          </w:p>
        </w:tc>
        <w:tc>
          <w:tcPr>
            <w:tcW w:w="1346" w:type="dxa"/>
            <w:tcBorders>
              <w:bottom w:val="single" w:sz="4" w:space="0" w:color="333333"/>
            </w:tcBorders>
            <w:shd w:val="clear" w:color="auto" w:fill="D9D9D9"/>
            <w:vAlign w:val="center"/>
          </w:tcPr>
          <w:p w14:paraId="7E32EBAB" w14:textId="3643EFB1" w:rsidR="00153D89" w:rsidRPr="00E60E3E" w:rsidRDefault="00153D89" w:rsidP="00153D89">
            <w:pPr>
              <w:jc w:val="center"/>
              <w:rPr>
                <w:rFonts w:ascii="Arial Narrow" w:hAnsi="Arial Narrow" w:cs="Arial Narrow"/>
                <w:color w:val="000000"/>
                <w:sz w:val="18"/>
                <w:szCs w:val="18"/>
              </w:rPr>
            </w:pPr>
            <w:r w:rsidRPr="00FD1A22">
              <w:rPr>
                <w:rFonts w:ascii="Arial Narrow" w:hAnsi="Arial Narrow" w:cs="Arial"/>
                <w:color w:val="000000"/>
                <w:sz w:val="18"/>
                <w:szCs w:val="18"/>
              </w:rPr>
              <w:t>+3,4</w:t>
            </w:r>
          </w:p>
        </w:tc>
        <w:tc>
          <w:tcPr>
            <w:tcW w:w="1349" w:type="dxa"/>
            <w:tcBorders>
              <w:bottom w:val="single" w:sz="4" w:space="0" w:color="333333"/>
            </w:tcBorders>
            <w:vAlign w:val="center"/>
          </w:tcPr>
          <w:p w14:paraId="0287ED1F" w14:textId="62A951EC" w:rsidR="00153D89" w:rsidRPr="00E60E3E" w:rsidRDefault="00153D89" w:rsidP="00153D89">
            <w:pPr>
              <w:jc w:val="center"/>
              <w:rPr>
                <w:rFonts w:ascii="Arial Narrow" w:hAnsi="Arial Narrow" w:cs="Arial Narrow"/>
                <w:color w:val="000000"/>
                <w:sz w:val="18"/>
                <w:szCs w:val="18"/>
              </w:rPr>
            </w:pPr>
            <w:r w:rsidRPr="00FD1A22">
              <w:rPr>
                <w:rFonts w:ascii="Arial Narrow" w:hAnsi="Arial Narrow" w:cs="Arial"/>
                <w:color w:val="000000"/>
                <w:sz w:val="18"/>
                <w:szCs w:val="18"/>
              </w:rPr>
              <w:t>-26,8</w:t>
            </w:r>
          </w:p>
        </w:tc>
        <w:tc>
          <w:tcPr>
            <w:tcW w:w="1345" w:type="dxa"/>
            <w:tcBorders>
              <w:bottom w:val="single" w:sz="4" w:space="0" w:color="333333"/>
            </w:tcBorders>
            <w:shd w:val="clear" w:color="auto" w:fill="D9D9D9"/>
            <w:vAlign w:val="center"/>
          </w:tcPr>
          <w:p w14:paraId="33A06440" w14:textId="0ED87BAD" w:rsidR="00153D89" w:rsidRPr="00E60E3E" w:rsidRDefault="00153D89" w:rsidP="00153D89">
            <w:pPr>
              <w:jc w:val="center"/>
              <w:rPr>
                <w:rFonts w:ascii="Arial Narrow" w:hAnsi="Arial Narrow" w:cs="Arial Narrow"/>
                <w:color w:val="000000"/>
                <w:sz w:val="18"/>
                <w:szCs w:val="18"/>
              </w:rPr>
            </w:pPr>
            <w:r w:rsidRPr="00FD1A22">
              <w:rPr>
                <w:rFonts w:ascii="Arial Narrow" w:hAnsi="Arial Narrow" w:cs="Arial"/>
                <w:color w:val="000000"/>
                <w:sz w:val="18"/>
                <w:szCs w:val="18"/>
              </w:rPr>
              <w:t>+7,0</w:t>
            </w:r>
          </w:p>
        </w:tc>
        <w:tc>
          <w:tcPr>
            <w:tcW w:w="1346" w:type="dxa"/>
            <w:tcBorders>
              <w:bottom w:val="single" w:sz="4" w:space="0" w:color="333333"/>
            </w:tcBorders>
            <w:vAlign w:val="center"/>
          </w:tcPr>
          <w:p w14:paraId="2B32C89D" w14:textId="7363F7ED" w:rsidR="00153D89" w:rsidRPr="00E60E3E" w:rsidRDefault="00153D89" w:rsidP="00153D89">
            <w:pPr>
              <w:jc w:val="center"/>
              <w:rPr>
                <w:rFonts w:ascii="Arial Narrow" w:hAnsi="Arial Narrow" w:cs="Arial Narrow"/>
                <w:color w:val="000000"/>
                <w:sz w:val="18"/>
                <w:szCs w:val="18"/>
              </w:rPr>
            </w:pPr>
            <w:r w:rsidRPr="00FD1A22">
              <w:rPr>
                <w:rFonts w:ascii="Arial Narrow" w:hAnsi="Arial Narrow" w:cs="Arial"/>
                <w:color w:val="000000"/>
                <w:sz w:val="18"/>
                <w:szCs w:val="18"/>
              </w:rPr>
              <w:t>-39,4</w:t>
            </w:r>
          </w:p>
        </w:tc>
      </w:tr>
      <w:tr w:rsidR="00153D89" w:rsidRPr="00452E5E" w14:paraId="30B9DD00" w14:textId="77777777" w:rsidTr="00C13EB9">
        <w:trPr>
          <w:gridAfter w:val="1"/>
          <w:wAfter w:w="12" w:type="dxa"/>
          <w:cantSplit/>
          <w:trHeight w:val="255"/>
        </w:trPr>
        <w:tc>
          <w:tcPr>
            <w:tcW w:w="2317" w:type="dxa"/>
            <w:shd w:val="clear" w:color="auto" w:fill="auto"/>
            <w:vAlign w:val="center"/>
          </w:tcPr>
          <w:p w14:paraId="7DBC3016" w14:textId="77777777" w:rsidR="00153D89" w:rsidRPr="007F2CF0" w:rsidRDefault="00153D89" w:rsidP="00153D89">
            <w:pPr>
              <w:spacing w:before="40" w:after="20"/>
              <w:rPr>
                <w:rFonts w:ascii="Arial Narrow" w:hAnsi="Arial Narrow" w:cs="Arial"/>
                <w:sz w:val="18"/>
                <w:szCs w:val="18"/>
              </w:rPr>
            </w:pPr>
            <w:r w:rsidRPr="001C01EA">
              <w:rPr>
                <w:rFonts w:ascii="Arial Narrow" w:hAnsi="Arial Narrow" w:cs="Arial"/>
                <w:sz w:val="18"/>
                <w:szCs w:val="18"/>
              </w:rPr>
              <w:t>Totale al netto dell’energia</w:t>
            </w:r>
          </w:p>
        </w:tc>
        <w:tc>
          <w:tcPr>
            <w:tcW w:w="1157" w:type="dxa"/>
            <w:shd w:val="clear" w:color="auto" w:fill="D9D9D9"/>
            <w:vAlign w:val="center"/>
          </w:tcPr>
          <w:p w14:paraId="378DC304" w14:textId="5CAA1B6E" w:rsidR="00153D89" w:rsidRPr="00E60E3E" w:rsidRDefault="00153D89" w:rsidP="00153D89">
            <w:pPr>
              <w:jc w:val="center"/>
              <w:rPr>
                <w:rFonts w:ascii="Arial Narrow" w:hAnsi="Arial Narrow" w:cs="Arial Narrow"/>
                <w:color w:val="000000"/>
                <w:sz w:val="18"/>
                <w:szCs w:val="18"/>
              </w:rPr>
            </w:pPr>
            <w:r w:rsidRPr="00FD1A22">
              <w:rPr>
                <w:rFonts w:ascii="Arial Narrow" w:hAnsi="Arial Narrow" w:cs="Arial"/>
                <w:color w:val="000000"/>
                <w:sz w:val="18"/>
                <w:szCs w:val="18"/>
              </w:rPr>
              <w:t>+0,1</w:t>
            </w:r>
          </w:p>
        </w:tc>
        <w:tc>
          <w:tcPr>
            <w:tcW w:w="1334" w:type="dxa"/>
            <w:shd w:val="clear" w:color="auto" w:fill="auto"/>
            <w:tcMar>
              <w:left w:w="0" w:type="dxa"/>
            </w:tcMar>
            <w:vAlign w:val="center"/>
          </w:tcPr>
          <w:p w14:paraId="547F3037" w14:textId="4C097CFB" w:rsidR="00153D89" w:rsidRPr="00E60E3E" w:rsidRDefault="00153D89" w:rsidP="00153D89">
            <w:pPr>
              <w:jc w:val="center"/>
              <w:rPr>
                <w:rFonts w:ascii="Arial Narrow" w:hAnsi="Arial Narrow" w:cs="Arial Narrow"/>
                <w:color w:val="000000"/>
                <w:sz w:val="18"/>
                <w:szCs w:val="18"/>
              </w:rPr>
            </w:pPr>
            <w:r w:rsidRPr="00FD1A22">
              <w:rPr>
                <w:rFonts w:ascii="Arial Narrow" w:hAnsi="Arial Narrow" w:cs="Arial"/>
                <w:color w:val="000000"/>
                <w:sz w:val="18"/>
                <w:szCs w:val="18"/>
              </w:rPr>
              <w:t>-3,2</w:t>
            </w:r>
          </w:p>
        </w:tc>
        <w:tc>
          <w:tcPr>
            <w:tcW w:w="1346" w:type="dxa"/>
            <w:shd w:val="clear" w:color="auto" w:fill="D9D9D9"/>
            <w:vAlign w:val="center"/>
          </w:tcPr>
          <w:p w14:paraId="2E699DED" w14:textId="322AED6E" w:rsidR="00153D89" w:rsidRPr="00E60E3E" w:rsidRDefault="00153D89" w:rsidP="00153D89">
            <w:pPr>
              <w:jc w:val="center"/>
              <w:rPr>
                <w:rFonts w:ascii="Arial Narrow" w:hAnsi="Arial Narrow" w:cs="Arial Narrow"/>
                <w:color w:val="000000"/>
                <w:sz w:val="18"/>
                <w:szCs w:val="18"/>
              </w:rPr>
            </w:pPr>
            <w:r w:rsidRPr="00FD1A22">
              <w:rPr>
                <w:rFonts w:ascii="Arial Narrow" w:hAnsi="Arial Narrow" w:cs="Arial"/>
                <w:color w:val="000000"/>
                <w:sz w:val="18"/>
                <w:szCs w:val="18"/>
              </w:rPr>
              <w:t>0,0</w:t>
            </w:r>
          </w:p>
        </w:tc>
        <w:tc>
          <w:tcPr>
            <w:tcW w:w="1349" w:type="dxa"/>
            <w:shd w:val="clear" w:color="auto" w:fill="auto"/>
            <w:vAlign w:val="center"/>
          </w:tcPr>
          <w:p w14:paraId="24DC4ED0" w14:textId="3601ECF3" w:rsidR="00153D89" w:rsidRPr="00E60E3E" w:rsidRDefault="00153D89" w:rsidP="00153D89">
            <w:pPr>
              <w:jc w:val="center"/>
              <w:rPr>
                <w:rFonts w:ascii="Arial Narrow" w:hAnsi="Arial Narrow" w:cs="Arial Narrow"/>
                <w:color w:val="000000"/>
                <w:sz w:val="18"/>
                <w:szCs w:val="18"/>
              </w:rPr>
            </w:pPr>
            <w:r w:rsidRPr="00FD1A22">
              <w:rPr>
                <w:rFonts w:ascii="Arial Narrow" w:hAnsi="Arial Narrow" w:cs="Arial"/>
                <w:color w:val="000000"/>
                <w:sz w:val="18"/>
                <w:szCs w:val="18"/>
              </w:rPr>
              <w:t>-2,3</w:t>
            </w:r>
          </w:p>
        </w:tc>
        <w:tc>
          <w:tcPr>
            <w:tcW w:w="1345" w:type="dxa"/>
            <w:shd w:val="clear" w:color="auto" w:fill="D9D9D9"/>
            <w:vAlign w:val="center"/>
          </w:tcPr>
          <w:p w14:paraId="32C84081" w14:textId="30A28988" w:rsidR="00153D89" w:rsidRPr="00E60E3E" w:rsidRDefault="00153D89" w:rsidP="00153D89">
            <w:pPr>
              <w:jc w:val="center"/>
              <w:rPr>
                <w:rFonts w:ascii="Arial Narrow" w:hAnsi="Arial Narrow" w:cs="Arial Narrow"/>
                <w:color w:val="000000"/>
                <w:sz w:val="18"/>
                <w:szCs w:val="18"/>
              </w:rPr>
            </w:pPr>
            <w:r w:rsidRPr="00FD1A22">
              <w:rPr>
                <w:rFonts w:ascii="Arial Narrow" w:hAnsi="Arial Narrow" w:cs="Arial"/>
                <w:color w:val="000000"/>
                <w:sz w:val="18"/>
                <w:szCs w:val="18"/>
              </w:rPr>
              <w:t>+0,2</w:t>
            </w:r>
          </w:p>
        </w:tc>
        <w:tc>
          <w:tcPr>
            <w:tcW w:w="1346" w:type="dxa"/>
            <w:shd w:val="clear" w:color="auto" w:fill="auto"/>
            <w:vAlign w:val="center"/>
          </w:tcPr>
          <w:p w14:paraId="475F5E85" w14:textId="49124C0E" w:rsidR="00153D89" w:rsidRPr="00E60E3E" w:rsidRDefault="00153D89" w:rsidP="00153D89">
            <w:pPr>
              <w:jc w:val="center"/>
              <w:rPr>
                <w:rFonts w:ascii="Arial Narrow" w:hAnsi="Arial Narrow" w:cs="Arial Narrow"/>
                <w:color w:val="000000"/>
                <w:sz w:val="18"/>
                <w:szCs w:val="18"/>
              </w:rPr>
            </w:pPr>
            <w:r w:rsidRPr="00FD1A22">
              <w:rPr>
                <w:rFonts w:ascii="Arial Narrow" w:hAnsi="Arial Narrow" w:cs="Arial"/>
                <w:color w:val="000000"/>
                <w:sz w:val="18"/>
                <w:szCs w:val="18"/>
              </w:rPr>
              <w:t>-4,1</w:t>
            </w:r>
          </w:p>
        </w:tc>
      </w:tr>
      <w:tr w:rsidR="00153D89" w:rsidRPr="00E60E3E" w14:paraId="4CB9BBE1" w14:textId="77777777" w:rsidTr="00C13EB9">
        <w:trPr>
          <w:gridAfter w:val="1"/>
          <w:wAfter w:w="12" w:type="dxa"/>
          <w:cantSplit/>
          <w:trHeight w:val="255"/>
        </w:trPr>
        <w:tc>
          <w:tcPr>
            <w:tcW w:w="2317" w:type="dxa"/>
            <w:shd w:val="clear" w:color="auto" w:fill="FF0000"/>
            <w:vAlign w:val="center"/>
          </w:tcPr>
          <w:p w14:paraId="656003D1" w14:textId="77777777" w:rsidR="00153D89" w:rsidRPr="00E60E3E" w:rsidRDefault="00153D89" w:rsidP="00153D89">
            <w:pPr>
              <w:spacing w:before="40" w:after="20"/>
              <w:rPr>
                <w:rFonts w:ascii="Arial Narrow" w:hAnsi="Arial Narrow" w:cs="Arial"/>
                <w:b/>
                <w:color w:val="FFFFFF" w:themeColor="background1"/>
                <w:sz w:val="18"/>
                <w:szCs w:val="18"/>
              </w:rPr>
            </w:pPr>
            <w:r w:rsidRPr="00E60E3E">
              <w:rPr>
                <w:rFonts w:ascii="Arial Narrow" w:hAnsi="Arial Narrow" w:cs="Arial"/>
                <w:b/>
                <w:color w:val="FFFFFF" w:themeColor="background1"/>
                <w:sz w:val="18"/>
                <w:szCs w:val="18"/>
              </w:rPr>
              <w:t>Totale</w:t>
            </w:r>
          </w:p>
        </w:tc>
        <w:tc>
          <w:tcPr>
            <w:tcW w:w="1157" w:type="dxa"/>
            <w:shd w:val="clear" w:color="auto" w:fill="FF0000"/>
            <w:vAlign w:val="center"/>
          </w:tcPr>
          <w:p w14:paraId="2F7F5952" w14:textId="3DAAA445" w:rsidR="00153D89" w:rsidRPr="00E60E3E" w:rsidRDefault="00153D89" w:rsidP="00153D89">
            <w:pPr>
              <w:spacing w:before="40" w:after="20"/>
              <w:jc w:val="center"/>
              <w:rPr>
                <w:rFonts w:ascii="Arial Narrow" w:hAnsi="Arial Narrow" w:cs="Arial"/>
                <w:b/>
                <w:color w:val="FFFFFF" w:themeColor="background1"/>
                <w:sz w:val="18"/>
                <w:szCs w:val="18"/>
              </w:rPr>
            </w:pPr>
            <w:r w:rsidRPr="00FD1A22">
              <w:rPr>
                <w:rFonts w:ascii="Arial Narrow" w:hAnsi="Arial Narrow" w:cs="Arial"/>
                <w:b/>
                <w:color w:val="FFFFFF" w:themeColor="background1"/>
                <w:sz w:val="18"/>
                <w:szCs w:val="18"/>
              </w:rPr>
              <w:t>+1,1</w:t>
            </w:r>
          </w:p>
        </w:tc>
        <w:tc>
          <w:tcPr>
            <w:tcW w:w="1334" w:type="dxa"/>
            <w:shd w:val="clear" w:color="auto" w:fill="FF0000"/>
            <w:tcMar>
              <w:left w:w="0" w:type="dxa"/>
            </w:tcMar>
            <w:vAlign w:val="center"/>
          </w:tcPr>
          <w:p w14:paraId="439263F3" w14:textId="246659FE" w:rsidR="00153D89" w:rsidRPr="00E60E3E" w:rsidRDefault="00153D89" w:rsidP="00153D89">
            <w:pPr>
              <w:spacing w:before="40" w:after="20"/>
              <w:jc w:val="center"/>
              <w:rPr>
                <w:rFonts w:ascii="Arial Narrow" w:hAnsi="Arial Narrow" w:cs="Arial"/>
                <w:b/>
                <w:color w:val="FFFFFF" w:themeColor="background1"/>
                <w:sz w:val="18"/>
                <w:szCs w:val="18"/>
              </w:rPr>
            </w:pPr>
            <w:r w:rsidRPr="00FD1A22">
              <w:rPr>
                <w:rFonts w:ascii="Arial Narrow" w:hAnsi="Arial Narrow" w:cs="Arial"/>
                <w:b/>
                <w:color w:val="FFFFFF" w:themeColor="background1"/>
                <w:sz w:val="18"/>
                <w:szCs w:val="18"/>
              </w:rPr>
              <w:t>-10,2</w:t>
            </w:r>
          </w:p>
        </w:tc>
        <w:tc>
          <w:tcPr>
            <w:tcW w:w="1346" w:type="dxa"/>
            <w:shd w:val="clear" w:color="auto" w:fill="FF0000"/>
            <w:vAlign w:val="center"/>
          </w:tcPr>
          <w:p w14:paraId="62112DDA" w14:textId="12637AFE" w:rsidR="00153D89" w:rsidRPr="00E60E3E" w:rsidRDefault="00153D89" w:rsidP="00153D89">
            <w:pPr>
              <w:spacing w:before="40" w:after="20"/>
              <w:jc w:val="center"/>
              <w:rPr>
                <w:rFonts w:ascii="Arial Narrow" w:hAnsi="Arial Narrow" w:cs="Arial"/>
                <w:b/>
                <w:color w:val="FFFFFF" w:themeColor="background1"/>
                <w:sz w:val="18"/>
                <w:szCs w:val="18"/>
              </w:rPr>
            </w:pPr>
            <w:r w:rsidRPr="00FD1A22">
              <w:rPr>
                <w:rFonts w:ascii="Arial Narrow" w:hAnsi="Arial Narrow" w:cs="Arial"/>
                <w:b/>
                <w:color w:val="FFFFFF" w:themeColor="background1"/>
                <w:sz w:val="18"/>
                <w:szCs w:val="18"/>
              </w:rPr>
              <w:t>+0,1</w:t>
            </w:r>
          </w:p>
        </w:tc>
        <w:tc>
          <w:tcPr>
            <w:tcW w:w="1349" w:type="dxa"/>
            <w:shd w:val="clear" w:color="auto" w:fill="FF0000"/>
            <w:vAlign w:val="center"/>
          </w:tcPr>
          <w:p w14:paraId="4818F676" w14:textId="6CD03763" w:rsidR="00153D89" w:rsidRPr="00E60E3E" w:rsidRDefault="00153D89" w:rsidP="00153D89">
            <w:pPr>
              <w:spacing w:before="40" w:after="20"/>
              <w:jc w:val="center"/>
              <w:rPr>
                <w:rFonts w:ascii="Arial Narrow" w:hAnsi="Arial Narrow" w:cs="Arial"/>
                <w:b/>
                <w:color w:val="FFFFFF" w:themeColor="background1"/>
                <w:sz w:val="18"/>
                <w:szCs w:val="18"/>
              </w:rPr>
            </w:pPr>
            <w:r w:rsidRPr="00FD1A22">
              <w:rPr>
                <w:rFonts w:ascii="Arial Narrow" w:hAnsi="Arial Narrow" w:cs="Arial"/>
                <w:b/>
                <w:color w:val="FFFFFF" w:themeColor="background1"/>
                <w:sz w:val="18"/>
                <w:szCs w:val="18"/>
              </w:rPr>
              <w:t>-2,9</w:t>
            </w:r>
          </w:p>
        </w:tc>
        <w:tc>
          <w:tcPr>
            <w:tcW w:w="1345" w:type="dxa"/>
            <w:shd w:val="clear" w:color="auto" w:fill="FF0000"/>
            <w:vAlign w:val="center"/>
          </w:tcPr>
          <w:p w14:paraId="00B3E6C9" w14:textId="42082A0C" w:rsidR="00153D89" w:rsidRPr="00E60E3E" w:rsidRDefault="00153D89" w:rsidP="00153D89">
            <w:pPr>
              <w:spacing w:before="40" w:after="20"/>
              <w:jc w:val="center"/>
              <w:rPr>
                <w:rFonts w:ascii="Arial Narrow" w:hAnsi="Arial Narrow" w:cs="Arial"/>
                <w:b/>
                <w:color w:val="FFFFFF" w:themeColor="background1"/>
                <w:sz w:val="18"/>
                <w:szCs w:val="18"/>
              </w:rPr>
            </w:pPr>
            <w:r w:rsidRPr="00FD1A22">
              <w:rPr>
                <w:rFonts w:ascii="Arial Narrow" w:hAnsi="Arial Narrow" w:cs="Arial"/>
                <w:b/>
                <w:color w:val="FFFFFF" w:themeColor="background1"/>
                <w:sz w:val="18"/>
                <w:szCs w:val="18"/>
              </w:rPr>
              <w:t>+1,8</w:t>
            </w:r>
          </w:p>
        </w:tc>
        <w:tc>
          <w:tcPr>
            <w:tcW w:w="1346" w:type="dxa"/>
            <w:shd w:val="clear" w:color="auto" w:fill="FF0000"/>
            <w:vAlign w:val="center"/>
          </w:tcPr>
          <w:p w14:paraId="10A95F4D" w14:textId="51EB98E5" w:rsidR="00153D89" w:rsidRPr="00E60E3E" w:rsidRDefault="00153D89" w:rsidP="00153D89">
            <w:pPr>
              <w:spacing w:before="40" w:after="20"/>
              <w:jc w:val="center"/>
              <w:rPr>
                <w:rFonts w:ascii="Arial Narrow" w:hAnsi="Arial Narrow" w:cs="Arial"/>
                <w:b/>
                <w:color w:val="FFFFFF" w:themeColor="background1"/>
                <w:sz w:val="18"/>
                <w:szCs w:val="18"/>
              </w:rPr>
            </w:pPr>
            <w:r w:rsidRPr="00FD1A22">
              <w:rPr>
                <w:rFonts w:ascii="Arial Narrow" w:hAnsi="Arial Narrow" w:cs="Arial"/>
                <w:b/>
                <w:color w:val="FFFFFF" w:themeColor="background1"/>
                <w:sz w:val="18"/>
                <w:szCs w:val="18"/>
              </w:rPr>
              <w:t>-16,1</w:t>
            </w:r>
          </w:p>
        </w:tc>
      </w:tr>
    </w:tbl>
    <w:p w14:paraId="63FF4D1B" w14:textId="77777777" w:rsidR="00000A85" w:rsidRPr="00932F32" w:rsidRDefault="00000A85" w:rsidP="00000A85">
      <w:pPr>
        <w:spacing w:before="60" w:after="120"/>
        <w:jc w:val="both"/>
        <w:rPr>
          <w:rFonts w:ascii="Arial Narrow" w:hAnsi="Arial Narrow" w:cs="Arial"/>
          <w:color w:val="5F5F5F"/>
        </w:rPr>
      </w:pPr>
      <w:r w:rsidRPr="00932F32">
        <w:rPr>
          <w:rFonts w:ascii="Arial Narrow" w:hAnsi="Arial Narrow" w:cs="Arial"/>
          <w:sz w:val="15"/>
          <w:szCs w:val="15"/>
        </w:rPr>
        <w:t>(a) Dati provvisori</w:t>
      </w:r>
    </w:p>
    <w:p w14:paraId="543DE790" w14:textId="12AF01A3" w:rsidR="00EE07EE" w:rsidRDefault="00EE07EE" w:rsidP="00000A85">
      <w:pPr>
        <w:spacing w:after="60"/>
        <w:rPr>
          <w:rFonts w:ascii="Arial" w:hAnsi="Arial"/>
          <w:kern w:val="28"/>
          <w:sz w:val="21"/>
          <w:szCs w:val="21"/>
        </w:rPr>
      </w:pPr>
    </w:p>
    <w:p w14:paraId="6B7B793F" w14:textId="4A07F7E4" w:rsidR="00153D89" w:rsidRPr="007E417B" w:rsidRDefault="00153D89" w:rsidP="00153D89">
      <w:pPr>
        <w:pStyle w:val="001TitoloBolocco"/>
        <w:pBdr>
          <w:bottom w:val="none" w:sz="0" w:space="0" w:color="auto"/>
        </w:pBdr>
        <w:spacing w:after="100"/>
        <w:rPr>
          <w:rFonts w:ascii="Arial" w:hAnsi="Arial" w:cs="Times New Roman"/>
          <w:b w:val="0"/>
          <w:bCs w:val="0"/>
          <w:caps w:val="0"/>
          <w:color w:val="auto"/>
          <w:kern w:val="28"/>
          <w:sz w:val="21"/>
          <w:szCs w:val="21"/>
        </w:rPr>
      </w:pPr>
      <w:r w:rsidRPr="007E417B">
        <w:rPr>
          <w:rFonts w:ascii="Arial" w:hAnsi="Arial" w:cs="Times New Roman"/>
          <w:b w:val="0"/>
          <w:bCs w:val="0"/>
          <w:caps w:val="0"/>
          <w:color w:val="auto"/>
          <w:kern w:val="28"/>
          <w:sz w:val="21"/>
          <w:szCs w:val="21"/>
        </w:rPr>
        <w:t>A</w:t>
      </w:r>
      <w:r>
        <w:rPr>
          <w:rFonts w:ascii="Arial" w:hAnsi="Arial" w:cs="Times New Roman"/>
          <w:b w:val="0"/>
          <w:bCs w:val="0"/>
          <w:caps w:val="0"/>
          <w:color w:val="auto"/>
          <w:kern w:val="28"/>
          <w:sz w:val="21"/>
          <w:szCs w:val="21"/>
        </w:rPr>
        <w:t xml:space="preserve"> ottobre 2023, nel complesso,</w:t>
      </w:r>
      <w:r w:rsidRPr="007E417B">
        <w:rPr>
          <w:rFonts w:ascii="Arial" w:hAnsi="Arial" w:cs="Times New Roman"/>
          <w:b w:val="0"/>
          <w:bCs w:val="0"/>
          <w:caps w:val="0"/>
          <w:color w:val="auto"/>
          <w:kern w:val="28"/>
          <w:sz w:val="21"/>
          <w:szCs w:val="21"/>
        </w:rPr>
        <w:t xml:space="preserve"> i prezzi all’importazio</w:t>
      </w:r>
      <w:r>
        <w:rPr>
          <w:rFonts w:ascii="Arial" w:hAnsi="Arial" w:cs="Times New Roman"/>
          <w:b w:val="0"/>
          <w:bCs w:val="0"/>
          <w:caps w:val="0"/>
          <w:color w:val="auto"/>
          <w:kern w:val="28"/>
          <w:sz w:val="21"/>
          <w:szCs w:val="21"/>
        </w:rPr>
        <w:t xml:space="preserve">ne dei </w:t>
      </w:r>
      <w:r w:rsidRPr="00921351">
        <w:rPr>
          <w:rFonts w:ascii="Arial" w:hAnsi="Arial" w:cs="Times New Roman"/>
          <w:b w:val="0"/>
          <w:bCs w:val="0"/>
          <w:caps w:val="0"/>
          <w:color w:val="auto"/>
          <w:kern w:val="28"/>
          <w:sz w:val="21"/>
          <w:szCs w:val="21"/>
        </w:rPr>
        <w:t xml:space="preserve">beni di consumo </w:t>
      </w:r>
      <w:r>
        <w:rPr>
          <w:rFonts w:ascii="Arial" w:hAnsi="Arial" w:cs="Times New Roman"/>
          <w:b w:val="0"/>
          <w:bCs w:val="0"/>
          <w:caps w:val="0"/>
          <w:color w:val="auto"/>
          <w:kern w:val="28"/>
          <w:sz w:val="21"/>
          <w:szCs w:val="21"/>
        </w:rPr>
        <w:t>diminuiscono</w:t>
      </w:r>
      <w:r w:rsidRPr="00921351">
        <w:rPr>
          <w:rFonts w:ascii="Arial" w:hAnsi="Arial" w:cs="Times New Roman"/>
          <w:b w:val="0"/>
          <w:bCs w:val="0"/>
          <w:caps w:val="0"/>
          <w:color w:val="auto"/>
          <w:kern w:val="28"/>
          <w:sz w:val="21"/>
          <w:szCs w:val="21"/>
        </w:rPr>
        <w:t xml:space="preserve"> </w:t>
      </w:r>
      <w:r>
        <w:rPr>
          <w:rFonts w:ascii="Arial" w:hAnsi="Arial" w:cs="Times New Roman"/>
          <w:b w:val="0"/>
          <w:bCs w:val="0"/>
          <w:caps w:val="0"/>
          <w:color w:val="auto"/>
          <w:kern w:val="28"/>
          <w:sz w:val="21"/>
          <w:szCs w:val="21"/>
        </w:rPr>
        <w:t>dello 0,3</w:t>
      </w:r>
      <w:r w:rsidRPr="00921351">
        <w:rPr>
          <w:rFonts w:ascii="Arial" w:hAnsi="Arial" w:cs="Times New Roman"/>
          <w:b w:val="0"/>
          <w:bCs w:val="0"/>
          <w:caps w:val="0"/>
          <w:color w:val="auto"/>
          <w:kern w:val="28"/>
          <w:sz w:val="21"/>
          <w:szCs w:val="21"/>
        </w:rPr>
        <w:t xml:space="preserve">% </w:t>
      </w:r>
      <w:r>
        <w:rPr>
          <w:rFonts w:ascii="Arial" w:hAnsi="Arial" w:cs="Times New Roman"/>
          <w:b w:val="0"/>
          <w:bCs w:val="0"/>
          <w:caps w:val="0"/>
          <w:color w:val="auto"/>
          <w:kern w:val="28"/>
          <w:sz w:val="21"/>
          <w:szCs w:val="21"/>
        </w:rPr>
        <w:t>su base congiunturale</w:t>
      </w:r>
      <w:r w:rsidRPr="00921351">
        <w:rPr>
          <w:rFonts w:ascii="Arial" w:hAnsi="Arial" w:cs="Times New Roman"/>
          <w:b w:val="0"/>
          <w:bCs w:val="0"/>
          <w:caps w:val="0"/>
          <w:color w:val="auto"/>
          <w:kern w:val="28"/>
          <w:sz w:val="21"/>
          <w:szCs w:val="21"/>
        </w:rPr>
        <w:t xml:space="preserve"> </w:t>
      </w:r>
      <w:r>
        <w:rPr>
          <w:rFonts w:ascii="Arial" w:hAnsi="Arial" w:cs="Times New Roman"/>
          <w:b w:val="0"/>
          <w:bCs w:val="0"/>
          <w:caps w:val="0"/>
          <w:color w:val="auto"/>
          <w:kern w:val="28"/>
          <w:sz w:val="21"/>
          <w:szCs w:val="21"/>
        </w:rPr>
        <w:t>(</w:t>
      </w:r>
      <w:r w:rsidR="00C65C49">
        <w:rPr>
          <w:rFonts w:ascii="Arial" w:hAnsi="Arial" w:cs="Times New Roman"/>
          <w:b w:val="0"/>
          <w:bCs w:val="0"/>
          <w:caps w:val="0"/>
          <w:color w:val="auto"/>
          <w:kern w:val="28"/>
          <w:sz w:val="21"/>
          <w:szCs w:val="21"/>
        </w:rPr>
        <w:t xml:space="preserve">invariati </w:t>
      </w:r>
      <w:r>
        <w:rPr>
          <w:rFonts w:ascii="Arial" w:hAnsi="Arial" w:cs="Times New Roman"/>
          <w:b w:val="0"/>
          <w:bCs w:val="0"/>
          <w:caps w:val="0"/>
          <w:color w:val="auto"/>
          <w:kern w:val="28"/>
          <w:sz w:val="21"/>
          <w:szCs w:val="21"/>
        </w:rPr>
        <w:t>per l’Area euro, -0,6</w:t>
      </w:r>
      <w:r w:rsidRPr="00921351">
        <w:rPr>
          <w:rFonts w:ascii="Arial" w:hAnsi="Arial" w:cs="Times New Roman"/>
          <w:b w:val="0"/>
          <w:bCs w:val="0"/>
          <w:caps w:val="0"/>
          <w:color w:val="auto"/>
          <w:kern w:val="28"/>
          <w:sz w:val="21"/>
          <w:szCs w:val="21"/>
        </w:rPr>
        <w:t xml:space="preserve">% </w:t>
      </w:r>
      <w:r w:rsidR="00C65C49">
        <w:rPr>
          <w:rFonts w:ascii="Arial" w:hAnsi="Arial" w:cs="Times New Roman"/>
          <w:b w:val="0"/>
          <w:bCs w:val="0"/>
          <w:caps w:val="0"/>
          <w:color w:val="auto"/>
          <w:kern w:val="28"/>
          <w:sz w:val="21"/>
          <w:szCs w:val="21"/>
        </w:rPr>
        <w:t>per l’</w:t>
      </w:r>
      <w:r w:rsidRPr="00921351">
        <w:rPr>
          <w:rFonts w:ascii="Arial" w:hAnsi="Arial" w:cs="Times New Roman"/>
          <w:b w:val="0"/>
          <w:bCs w:val="0"/>
          <w:caps w:val="0"/>
          <w:color w:val="auto"/>
          <w:kern w:val="28"/>
          <w:sz w:val="21"/>
          <w:szCs w:val="21"/>
        </w:rPr>
        <w:t>Area non euro)</w:t>
      </w:r>
      <w:r w:rsidR="00C65C49">
        <w:rPr>
          <w:rFonts w:ascii="Arial" w:hAnsi="Arial" w:cs="Times New Roman"/>
          <w:b w:val="0"/>
          <w:bCs w:val="0"/>
          <w:caps w:val="0"/>
          <w:color w:val="auto"/>
          <w:kern w:val="28"/>
          <w:sz w:val="21"/>
          <w:szCs w:val="21"/>
        </w:rPr>
        <w:t xml:space="preserve">; su base tendenziale, registrano una flessione </w:t>
      </w:r>
      <w:r>
        <w:rPr>
          <w:rFonts w:ascii="Arial" w:hAnsi="Arial" w:cs="Times New Roman"/>
          <w:b w:val="0"/>
          <w:bCs w:val="0"/>
          <w:caps w:val="0"/>
          <w:color w:val="auto"/>
          <w:kern w:val="28"/>
          <w:sz w:val="21"/>
          <w:szCs w:val="21"/>
        </w:rPr>
        <w:t>dello 0,5</w:t>
      </w:r>
      <w:r w:rsidR="00C65C49">
        <w:rPr>
          <w:rFonts w:ascii="Arial" w:hAnsi="Arial" w:cs="Times New Roman"/>
          <w:b w:val="0"/>
          <w:bCs w:val="0"/>
          <w:caps w:val="0"/>
          <w:color w:val="auto"/>
          <w:kern w:val="28"/>
          <w:sz w:val="21"/>
          <w:szCs w:val="21"/>
        </w:rPr>
        <w:t>%</w:t>
      </w:r>
      <w:r>
        <w:rPr>
          <w:rFonts w:ascii="Arial" w:hAnsi="Arial" w:cs="Times New Roman"/>
          <w:b w:val="0"/>
          <w:bCs w:val="0"/>
          <w:caps w:val="0"/>
          <w:color w:val="auto"/>
          <w:kern w:val="28"/>
          <w:sz w:val="21"/>
          <w:szCs w:val="21"/>
        </w:rPr>
        <w:t>, sintesi di dinamiche opposte per le due aree</w:t>
      </w:r>
      <w:r w:rsidR="00C65C49">
        <w:rPr>
          <w:rFonts w:ascii="Arial" w:hAnsi="Arial" w:cs="Times New Roman"/>
          <w:b w:val="0"/>
          <w:bCs w:val="0"/>
          <w:caps w:val="0"/>
          <w:color w:val="auto"/>
          <w:kern w:val="28"/>
          <w:sz w:val="21"/>
          <w:szCs w:val="21"/>
        </w:rPr>
        <w:t xml:space="preserve">, euro </w:t>
      </w:r>
      <w:r>
        <w:rPr>
          <w:rFonts w:ascii="Arial" w:hAnsi="Arial" w:cs="Times New Roman"/>
          <w:b w:val="0"/>
          <w:bCs w:val="0"/>
          <w:caps w:val="0"/>
          <w:color w:val="auto"/>
          <w:kern w:val="28"/>
          <w:sz w:val="21"/>
          <w:szCs w:val="21"/>
        </w:rPr>
        <w:t>(+2,0%</w:t>
      </w:r>
      <w:r w:rsidR="00C65C49">
        <w:rPr>
          <w:rFonts w:ascii="Arial" w:hAnsi="Arial" w:cs="Times New Roman"/>
          <w:b w:val="0"/>
          <w:bCs w:val="0"/>
          <w:caps w:val="0"/>
          <w:color w:val="auto"/>
          <w:kern w:val="28"/>
          <w:sz w:val="21"/>
          <w:szCs w:val="21"/>
        </w:rPr>
        <w:t>) e non euro (</w:t>
      </w:r>
      <w:r>
        <w:rPr>
          <w:rFonts w:ascii="Arial" w:hAnsi="Arial" w:cs="Times New Roman"/>
          <w:b w:val="0"/>
          <w:bCs w:val="0"/>
          <w:caps w:val="0"/>
          <w:color w:val="auto"/>
          <w:kern w:val="28"/>
          <w:sz w:val="21"/>
          <w:szCs w:val="21"/>
        </w:rPr>
        <w:t>-3</w:t>
      </w:r>
      <w:r w:rsidRPr="00921351">
        <w:rPr>
          <w:rFonts w:ascii="Arial" w:hAnsi="Arial" w:cs="Times New Roman"/>
          <w:b w:val="0"/>
          <w:bCs w:val="0"/>
          <w:caps w:val="0"/>
          <w:color w:val="auto"/>
          <w:kern w:val="28"/>
          <w:sz w:val="21"/>
          <w:szCs w:val="21"/>
        </w:rPr>
        <w:t>,</w:t>
      </w:r>
      <w:r>
        <w:rPr>
          <w:rFonts w:ascii="Arial" w:hAnsi="Arial" w:cs="Times New Roman"/>
          <w:b w:val="0"/>
          <w:bCs w:val="0"/>
          <w:caps w:val="0"/>
          <w:color w:val="auto"/>
          <w:kern w:val="28"/>
          <w:sz w:val="21"/>
          <w:szCs w:val="21"/>
        </w:rPr>
        <w:t>3</w:t>
      </w:r>
      <w:r w:rsidRPr="00921351">
        <w:rPr>
          <w:rFonts w:ascii="Arial" w:hAnsi="Arial" w:cs="Times New Roman"/>
          <w:b w:val="0"/>
          <w:bCs w:val="0"/>
          <w:caps w:val="0"/>
          <w:color w:val="auto"/>
          <w:kern w:val="28"/>
          <w:sz w:val="21"/>
          <w:szCs w:val="21"/>
        </w:rPr>
        <w:t>%</w:t>
      </w:r>
      <w:r w:rsidR="00C65C49">
        <w:rPr>
          <w:rFonts w:ascii="Arial" w:hAnsi="Arial" w:cs="Times New Roman"/>
          <w:b w:val="0"/>
          <w:bCs w:val="0"/>
          <w:caps w:val="0"/>
          <w:color w:val="auto"/>
          <w:kern w:val="28"/>
          <w:sz w:val="21"/>
          <w:szCs w:val="21"/>
        </w:rPr>
        <w:t>).</w:t>
      </w:r>
    </w:p>
    <w:p w14:paraId="7AE75D78" w14:textId="77777777" w:rsidR="00153D89" w:rsidRPr="007E417B" w:rsidRDefault="00153D89" w:rsidP="00153D89">
      <w:pPr>
        <w:pStyle w:val="001TitoloBolocco"/>
        <w:pBdr>
          <w:bottom w:val="none" w:sz="0" w:space="0" w:color="auto"/>
        </w:pBdr>
        <w:spacing w:after="100"/>
        <w:rPr>
          <w:rFonts w:ascii="Arial" w:hAnsi="Arial" w:cs="Times New Roman"/>
          <w:b w:val="0"/>
          <w:bCs w:val="0"/>
          <w:caps w:val="0"/>
          <w:color w:val="auto"/>
          <w:kern w:val="28"/>
          <w:sz w:val="21"/>
          <w:szCs w:val="21"/>
        </w:rPr>
      </w:pPr>
      <w:r w:rsidRPr="007E417B">
        <w:rPr>
          <w:rFonts w:ascii="Arial" w:hAnsi="Arial" w:cs="Times New Roman"/>
          <w:b w:val="0"/>
          <w:bCs w:val="0"/>
          <w:caps w:val="0"/>
          <w:color w:val="auto"/>
          <w:kern w:val="28"/>
          <w:sz w:val="21"/>
          <w:szCs w:val="21"/>
        </w:rPr>
        <w:t xml:space="preserve">I prezzi all’importazione dei beni strumentali </w:t>
      </w:r>
      <w:r>
        <w:rPr>
          <w:rFonts w:ascii="Arial" w:hAnsi="Arial" w:cs="Times New Roman"/>
          <w:b w:val="0"/>
          <w:bCs w:val="0"/>
          <w:caps w:val="0"/>
          <w:color w:val="auto"/>
          <w:kern w:val="28"/>
          <w:sz w:val="21"/>
          <w:szCs w:val="21"/>
        </w:rPr>
        <w:t>aumentano dello 0,2% su base mensile (+0,3% Area euro, +0,1</w:t>
      </w:r>
      <w:r w:rsidRPr="007E417B">
        <w:rPr>
          <w:rFonts w:ascii="Arial" w:hAnsi="Arial" w:cs="Times New Roman"/>
          <w:b w:val="0"/>
          <w:bCs w:val="0"/>
          <w:caps w:val="0"/>
          <w:color w:val="auto"/>
          <w:kern w:val="28"/>
          <w:sz w:val="21"/>
          <w:szCs w:val="21"/>
        </w:rPr>
        <w:t>% Area non euro)</w:t>
      </w:r>
      <w:r>
        <w:rPr>
          <w:rFonts w:ascii="Arial" w:hAnsi="Arial" w:cs="Times New Roman"/>
          <w:b w:val="0"/>
          <w:bCs w:val="0"/>
          <w:caps w:val="0"/>
          <w:color w:val="auto"/>
          <w:kern w:val="28"/>
          <w:sz w:val="21"/>
          <w:szCs w:val="21"/>
        </w:rPr>
        <w:t xml:space="preserve"> e del 2,3% su base annua (+2,8% Area euro, +1,7</w:t>
      </w:r>
      <w:r w:rsidRPr="007E417B">
        <w:rPr>
          <w:rFonts w:ascii="Arial" w:hAnsi="Arial" w:cs="Times New Roman"/>
          <w:b w:val="0"/>
          <w:bCs w:val="0"/>
          <w:caps w:val="0"/>
          <w:color w:val="auto"/>
          <w:kern w:val="28"/>
          <w:sz w:val="21"/>
          <w:szCs w:val="21"/>
        </w:rPr>
        <w:t xml:space="preserve">% Area non euro). </w:t>
      </w:r>
    </w:p>
    <w:p w14:paraId="18F9C0E7" w14:textId="4DB9B617" w:rsidR="00153D89" w:rsidRPr="0045009B" w:rsidRDefault="00153D89" w:rsidP="00153D89">
      <w:pPr>
        <w:pStyle w:val="001TitoloBolocco"/>
        <w:pBdr>
          <w:bottom w:val="none" w:sz="0" w:space="0" w:color="auto"/>
        </w:pBdr>
        <w:spacing w:after="120"/>
        <w:rPr>
          <w:rFonts w:ascii="Arial" w:hAnsi="Arial" w:cs="Times New Roman"/>
          <w:b w:val="0"/>
          <w:bCs w:val="0"/>
          <w:caps w:val="0"/>
          <w:color w:val="auto"/>
          <w:kern w:val="28"/>
          <w:sz w:val="21"/>
          <w:szCs w:val="21"/>
        </w:rPr>
      </w:pPr>
      <w:r>
        <w:rPr>
          <w:rFonts w:ascii="Arial" w:hAnsi="Arial" w:cs="Times New Roman"/>
          <w:b w:val="0"/>
          <w:bCs w:val="0"/>
          <w:caps w:val="0"/>
          <w:color w:val="auto"/>
          <w:kern w:val="28"/>
          <w:sz w:val="21"/>
          <w:szCs w:val="21"/>
        </w:rPr>
        <w:t>I prezzi all’importazione dei beni intermedi</w:t>
      </w:r>
      <w:r w:rsidR="004E5CE0">
        <w:rPr>
          <w:rFonts w:ascii="Arial" w:hAnsi="Arial" w:cs="Times New Roman"/>
          <w:b w:val="0"/>
          <w:bCs w:val="0"/>
          <w:caps w:val="0"/>
          <w:color w:val="auto"/>
          <w:kern w:val="28"/>
          <w:sz w:val="21"/>
          <w:szCs w:val="21"/>
        </w:rPr>
        <w:t xml:space="preserve"> </w:t>
      </w:r>
      <w:r>
        <w:rPr>
          <w:rFonts w:ascii="Arial" w:hAnsi="Arial" w:cs="Times New Roman"/>
          <w:b w:val="0"/>
          <w:bCs w:val="0"/>
          <w:caps w:val="0"/>
          <w:color w:val="auto"/>
          <w:kern w:val="28"/>
          <w:sz w:val="21"/>
          <w:szCs w:val="21"/>
        </w:rPr>
        <w:t>aumentano, rispetto al mese precedente, dello 0,3% (-0,2% Area euro, +0,8</w:t>
      </w:r>
      <w:r w:rsidRPr="007E417B">
        <w:rPr>
          <w:rFonts w:ascii="Arial" w:hAnsi="Arial" w:cs="Times New Roman"/>
          <w:b w:val="0"/>
          <w:bCs w:val="0"/>
          <w:caps w:val="0"/>
          <w:color w:val="auto"/>
          <w:kern w:val="28"/>
          <w:sz w:val="21"/>
          <w:szCs w:val="21"/>
        </w:rPr>
        <w:t>% Area non euro)</w:t>
      </w:r>
      <w:r>
        <w:rPr>
          <w:rFonts w:ascii="Arial" w:hAnsi="Arial" w:cs="Times New Roman"/>
          <w:b w:val="0"/>
          <w:bCs w:val="0"/>
          <w:caps w:val="0"/>
          <w:color w:val="auto"/>
          <w:kern w:val="28"/>
          <w:sz w:val="21"/>
          <w:szCs w:val="21"/>
        </w:rPr>
        <w:t xml:space="preserve"> e flettono dell’8,1</w:t>
      </w:r>
      <w:r w:rsidRPr="0045009B">
        <w:rPr>
          <w:rFonts w:ascii="Arial" w:hAnsi="Arial" w:cs="Times New Roman"/>
          <w:b w:val="0"/>
          <w:bCs w:val="0"/>
          <w:caps w:val="0"/>
          <w:color w:val="auto"/>
          <w:kern w:val="28"/>
          <w:sz w:val="21"/>
          <w:szCs w:val="21"/>
        </w:rPr>
        <w:t>% in termini tendenziali (-</w:t>
      </w:r>
      <w:r>
        <w:rPr>
          <w:rFonts w:ascii="Arial" w:hAnsi="Arial" w:cs="Times New Roman"/>
          <w:b w:val="0"/>
          <w:bCs w:val="0"/>
          <w:caps w:val="0"/>
          <w:color w:val="auto"/>
          <w:kern w:val="28"/>
          <w:sz w:val="21"/>
          <w:szCs w:val="21"/>
        </w:rPr>
        <w:t>8,8</w:t>
      </w:r>
      <w:r w:rsidRPr="0045009B">
        <w:rPr>
          <w:rFonts w:ascii="Arial" w:hAnsi="Arial" w:cs="Times New Roman"/>
          <w:b w:val="0"/>
          <w:bCs w:val="0"/>
          <w:caps w:val="0"/>
          <w:color w:val="auto"/>
          <w:kern w:val="28"/>
          <w:sz w:val="21"/>
          <w:szCs w:val="21"/>
        </w:rPr>
        <w:t>% Area euro, -</w:t>
      </w:r>
      <w:r>
        <w:rPr>
          <w:rFonts w:ascii="Arial" w:hAnsi="Arial" w:cs="Times New Roman"/>
          <w:b w:val="0"/>
          <w:bCs w:val="0"/>
          <w:caps w:val="0"/>
          <w:color w:val="auto"/>
          <w:kern w:val="28"/>
          <w:sz w:val="21"/>
          <w:szCs w:val="21"/>
        </w:rPr>
        <w:t>7,3% Area non euro)</w:t>
      </w:r>
      <w:r w:rsidRPr="0045009B">
        <w:rPr>
          <w:rFonts w:ascii="Arial" w:hAnsi="Arial" w:cs="Times New Roman"/>
          <w:b w:val="0"/>
          <w:bCs w:val="0"/>
          <w:caps w:val="0"/>
          <w:color w:val="auto"/>
          <w:kern w:val="28"/>
          <w:sz w:val="21"/>
          <w:szCs w:val="21"/>
        </w:rPr>
        <w:t>.</w:t>
      </w:r>
    </w:p>
    <w:p w14:paraId="17EFFB22" w14:textId="77777777" w:rsidR="00502CDC" w:rsidRPr="0045009B" w:rsidRDefault="00502CDC" w:rsidP="00921351">
      <w:pPr>
        <w:pStyle w:val="001TitoloBolocco"/>
        <w:pBdr>
          <w:bottom w:val="none" w:sz="0" w:space="0" w:color="auto"/>
        </w:pBdr>
        <w:spacing w:after="60"/>
        <w:rPr>
          <w:rFonts w:ascii="Arial" w:hAnsi="Arial" w:cs="Times New Roman"/>
          <w:b w:val="0"/>
          <w:bCs w:val="0"/>
          <w:caps w:val="0"/>
          <w:color w:val="auto"/>
          <w:kern w:val="28"/>
          <w:sz w:val="21"/>
          <w:szCs w:val="21"/>
        </w:rPr>
      </w:pPr>
    </w:p>
    <w:p w14:paraId="6C82168C" w14:textId="77777777" w:rsidR="007A6B65" w:rsidRPr="0045009B" w:rsidRDefault="007A6B65" w:rsidP="007A6B65">
      <w:pPr>
        <w:pStyle w:val="001TitoloBolocco"/>
        <w:spacing w:after="120" w:line="240" w:lineRule="auto"/>
      </w:pPr>
      <w:r w:rsidRPr="0045009B">
        <w:t>settori di attività economica</w:t>
      </w:r>
    </w:p>
    <w:p w14:paraId="55A7F8D6" w14:textId="77777777" w:rsidR="007A6B65" w:rsidRPr="00275637" w:rsidRDefault="007A6B65" w:rsidP="007A6B65">
      <w:pPr>
        <w:jc w:val="both"/>
        <w:rPr>
          <w:rFonts w:ascii="Arial Narrow" w:hAnsi="Arial Narrow" w:cs="Arial"/>
          <w:b/>
          <w:color w:val="E42618"/>
          <w:kern w:val="28"/>
          <w:sz w:val="22"/>
          <w:szCs w:val="22"/>
        </w:rPr>
      </w:pPr>
      <w:r w:rsidRPr="00275637">
        <w:rPr>
          <w:rFonts w:ascii="Arial Narrow" w:hAnsi="Arial Narrow" w:cs="Arial"/>
          <w:b/>
          <w:color w:val="E42618"/>
          <w:kern w:val="28"/>
          <w:sz w:val="22"/>
          <w:szCs w:val="22"/>
        </w:rPr>
        <w:t xml:space="preserve">FIGURA 11. </w:t>
      </w:r>
      <w:r w:rsidRPr="00275637">
        <w:rPr>
          <w:rFonts w:ascii="Arial Narrow" w:hAnsi="Arial Narrow" w:cs="Arial"/>
          <w:b/>
          <w:color w:val="5F5F5F"/>
          <w:sz w:val="22"/>
          <w:szCs w:val="22"/>
        </w:rPr>
        <w:t>PREZZI ALL’IMPORTAZIONE PER SETTORE DI ATTIVITÀ ECONOMICA</w:t>
      </w:r>
    </w:p>
    <w:p w14:paraId="28020CE0" w14:textId="00D63151" w:rsidR="007A6B65" w:rsidRDefault="00E52CA6" w:rsidP="00275637">
      <w:pPr>
        <w:pStyle w:val="Corpodeltesto1"/>
        <w:spacing w:after="60"/>
        <w:jc w:val="left"/>
        <w:rPr>
          <w:rFonts w:ascii="Arial Narrow" w:hAnsi="Arial Narrow" w:cs="Arial"/>
          <w:b w:val="0"/>
          <w:color w:val="5F5F5F"/>
          <w:kern w:val="28"/>
          <w:sz w:val="20"/>
          <w:szCs w:val="20"/>
        </w:rPr>
      </w:pPr>
      <w:r>
        <w:rPr>
          <w:rFonts w:ascii="Arial Narrow" w:hAnsi="Arial Narrow" w:cs="Arial"/>
          <w:b w:val="0"/>
          <w:color w:val="5F5F5F"/>
          <w:kern w:val="28"/>
          <w:sz w:val="20"/>
          <w:szCs w:val="20"/>
        </w:rPr>
        <w:t>Ottobre</w:t>
      </w:r>
      <w:r w:rsidRPr="00B31D3C">
        <w:rPr>
          <w:rFonts w:ascii="Arial Narrow" w:hAnsi="Arial Narrow" w:cs="Arial"/>
          <w:b w:val="0"/>
          <w:color w:val="5F5F5F"/>
          <w:kern w:val="28"/>
          <w:sz w:val="20"/>
          <w:szCs w:val="20"/>
        </w:rPr>
        <w:t xml:space="preserve"> </w:t>
      </w:r>
      <w:r w:rsidR="00E31B50" w:rsidRPr="00275637">
        <w:rPr>
          <w:rFonts w:ascii="Arial Narrow" w:hAnsi="Arial Narrow" w:cs="Arial"/>
          <w:b w:val="0"/>
          <w:color w:val="5F5F5F"/>
          <w:kern w:val="28"/>
          <w:sz w:val="20"/>
          <w:szCs w:val="20"/>
        </w:rPr>
        <w:t>2023</w:t>
      </w:r>
      <w:r w:rsidR="007A6B65" w:rsidRPr="00275637">
        <w:rPr>
          <w:rFonts w:ascii="Arial Narrow" w:hAnsi="Arial Narrow" w:cs="Arial"/>
          <w:b w:val="0"/>
          <w:color w:val="5F5F5F"/>
          <w:kern w:val="28"/>
          <w:sz w:val="20"/>
          <w:szCs w:val="20"/>
        </w:rPr>
        <w:t>, variazioni percentuali tendenziali (base 2015=100)</w:t>
      </w:r>
    </w:p>
    <w:p w14:paraId="0954C28F" w14:textId="6C87F3FF" w:rsidR="00DF02F5" w:rsidRDefault="00153D89" w:rsidP="00275637">
      <w:pPr>
        <w:pStyle w:val="Corpodeltesto1"/>
        <w:spacing w:after="60"/>
        <w:jc w:val="left"/>
        <w:rPr>
          <w:rFonts w:ascii="Arial Narrow" w:hAnsi="Arial Narrow" w:cs="Arial"/>
          <w:b w:val="0"/>
          <w:color w:val="5F5F5F"/>
          <w:kern w:val="28"/>
          <w:sz w:val="20"/>
          <w:szCs w:val="20"/>
        </w:rPr>
      </w:pPr>
      <w:r>
        <w:rPr>
          <w:noProof/>
        </w:rPr>
        <w:drawing>
          <wp:inline distT="0" distB="0" distL="0" distR="0" wp14:anchorId="36A87E70" wp14:editId="6C3FB51C">
            <wp:extent cx="6660000" cy="2160000"/>
            <wp:effectExtent l="0" t="0" r="7620" b="0"/>
            <wp:docPr id="23" name="Gra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B54A84E" w14:textId="77777777" w:rsidR="00E05DFF" w:rsidRPr="00E05DFF" w:rsidRDefault="00E05DFF" w:rsidP="00E05DFF">
      <w:pPr>
        <w:jc w:val="both"/>
        <w:rPr>
          <w:rFonts w:ascii="Arial Narrow" w:hAnsi="Arial Narrow" w:cs="Arial"/>
          <w:color w:val="000000"/>
          <w:sz w:val="15"/>
          <w:szCs w:val="15"/>
        </w:rPr>
      </w:pPr>
      <w:r>
        <w:rPr>
          <w:rFonts w:ascii="Arial Narrow" w:hAnsi="Arial Narrow" w:cs="Calibri"/>
          <w:sz w:val="15"/>
          <w:szCs w:val="15"/>
        </w:rPr>
        <w:t>Codifiche</w:t>
      </w:r>
      <w:r>
        <w:rPr>
          <w:rFonts w:ascii="Arial Narrow" w:hAnsi="Arial Narrow"/>
          <w:sz w:val="15"/>
          <w:szCs w:val="15"/>
        </w:rPr>
        <w:t xml:space="preserve"> dei settori di attività economica</w:t>
      </w:r>
      <w:r w:rsidRPr="004D645B">
        <w:rPr>
          <w:rFonts w:ascii="Arial Narrow" w:hAnsi="Arial Narrow"/>
          <w:sz w:val="15"/>
          <w:szCs w:val="15"/>
        </w:rPr>
        <w:t>:</w:t>
      </w:r>
      <w:r w:rsidRPr="004D645B">
        <w:rPr>
          <w:rFonts w:ascii="Arial Narrow" w:hAnsi="Arial Narrow" w:cs="Calibri"/>
          <w:sz w:val="15"/>
          <w:szCs w:val="15"/>
        </w:rPr>
        <w:t xml:space="preserve"> </w:t>
      </w:r>
      <w:r>
        <w:rPr>
          <w:rFonts w:ascii="Arial Narrow" w:hAnsi="Arial Narrow" w:cs="Calibri"/>
          <w:sz w:val="15"/>
          <w:szCs w:val="15"/>
        </w:rPr>
        <w:t xml:space="preserve"> </w:t>
      </w:r>
      <w:r w:rsidRPr="00E05DFF">
        <w:rPr>
          <w:rFonts w:ascii="Arial Narrow" w:hAnsi="Arial Narrow" w:cs="Arial"/>
          <w:color w:val="000000"/>
          <w:sz w:val="15"/>
          <w:szCs w:val="15"/>
        </w:rPr>
        <w:t>CA - Industrie alimentari, bevande e tabacco; CB - Industrie tessili, abbigliamento, pelli e accessori; CC - Industria del legno, della carta e stampa; CD - Fabbricazione di coke e prodotti petroliferi raffinati; CE - Fabbricazione di prodotti chimici; CF - Produzione di prodotti farmaceutici di base e preparati farmaceutici; CG - Fabbricazione di articoli in gomma e materie plastiche, altri prodotti della lavorazione di minerali non metalliferi; CH - Metallurgia e fabbricazione di prodotti in metallo (esclusi macchine e impianti); CI - Fabbricazione di computer, prodotti di elettronica e ottica, apparecchi elettromedicali, apparecchi di misurazione e orologi; CJ - Fabbricazione di apparecchiature elettriche e apparecchiature per uso domestico non elettriche; CK - Fabbricazione di macchinari e attrezzature n.c.a.; CL - Fabbricazione di mezzi di trasporto; CM - Altre industrie manifatturiere, riparazione e installazione di macchine e apparecchiature.</w:t>
      </w:r>
    </w:p>
    <w:p w14:paraId="39C98EBB" w14:textId="77777777" w:rsidR="00123742" w:rsidRPr="00505B4F" w:rsidRDefault="00123742" w:rsidP="00391ADB">
      <w:pPr>
        <w:jc w:val="both"/>
        <w:rPr>
          <w:rFonts w:ascii="Arial" w:hAnsi="Arial" w:cs="Arial"/>
          <w:color w:val="000000"/>
          <w:sz w:val="6"/>
          <w:szCs w:val="16"/>
        </w:rPr>
      </w:pPr>
    </w:p>
    <w:p w14:paraId="04755FF9" w14:textId="77777777" w:rsidR="00DF597A" w:rsidRDefault="00DF597A" w:rsidP="00A84F05">
      <w:pPr>
        <w:jc w:val="both"/>
        <w:rPr>
          <w:rFonts w:ascii="Arial" w:hAnsi="Arial" w:cs="Arial"/>
          <w:color w:val="000000"/>
          <w:sz w:val="21"/>
          <w:szCs w:val="21"/>
        </w:rPr>
      </w:pPr>
    </w:p>
    <w:p w14:paraId="25EF843D" w14:textId="1E02C3A2" w:rsidR="00AA206D" w:rsidRDefault="00AA206D" w:rsidP="00A84F05">
      <w:pPr>
        <w:jc w:val="both"/>
        <w:rPr>
          <w:rFonts w:ascii="Arial" w:hAnsi="Arial" w:cs="Arial"/>
          <w:color w:val="000000"/>
          <w:sz w:val="21"/>
          <w:szCs w:val="21"/>
        </w:rPr>
      </w:pPr>
    </w:p>
    <w:p w14:paraId="6F32C24A" w14:textId="77777777" w:rsidR="00EB6DB5" w:rsidRDefault="00EB6DB5" w:rsidP="00A84F05">
      <w:pPr>
        <w:jc w:val="both"/>
        <w:rPr>
          <w:rFonts w:ascii="Arial" w:hAnsi="Arial" w:cs="Arial"/>
          <w:color w:val="000000"/>
          <w:sz w:val="21"/>
          <w:szCs w:val="21"/>
        </w:rPr>
      </w:pPr>
    </w:p>
    <w:p w14:paraId="6A536902" w14:textId="77777777" w:rsidR="00122675" w:rsidRDefault="00122675" w:rsidP="00B1458F">
      <w:pPr>
        <w:jc w:val="both"/>
        <w:rPr>
          <w:rFonts w:ascii="Arial" w:hAnsi="Arial" w:cs="Arial"/>
          <w:sz w:val="21"/>
          <w:szCs w:val="21"/>
        </w:rPr>
      </w:pPr>
    </w:p>
    <w:p w14:paraId="309AA0D3" w14:textId="77777777" w:rsidR="00122675" w:rsidRDefault="00122675" w:rsidP="00B1458F">
      <w:pPr>
        <w:jc w:val="both"/>
        <w:rPr>
          <w:rFonts w:ascii="Arial" w:hAnsi="Arial" w:cs="Arial"/>
          <w:sz w:val="21"/>
          <w:szCs w:val="21"/>
        </w:rPr>
      </w:pPr>
    </w:p>
    <w:p w14:paraId="7D5DB438" w14:textId="6AA0FE64" w:rsidR="00153D89" w:rsidRDefault="00153D89" w:rsidP="00153D89">
      <w:pPr>
        <w:jc w:val="both"/>
        <w:rPr>
          <w:rFonts w:ascii="Arial" w:hAnsi="Arial" w:cs="Arial"/>
          <w:sz w:val="21"/>
          <w:szCs w:val="21"/>
        </w:rPr>
      </w:pPr>
      <w:r>
        <w:rPr>
          <w:rFonts w:ascii="Arial" w:hAnsi="Arial" w:cs="Arial"/>
          <w:sz w:val="21"/>
          <w:szCs w:val="21"/>
        </w:rPr>
        <w:t xml:space="preserve">Con riferimento al comparto manifatturiero, i decrementi tendenziali più ampi riguardano i seguenti settori: </w:t>
      </w:r>
      <w:r w:rsidRPr="0045009B">
        <w:rPr>
          <w:rFonts w:ascii="Arial" w:hAnsi="Arial" w:cs="Arial"/>
          <w:sz w:val="21"/>
          <w:szCs w:val="21"/>
        </w:rPr>
        <w:t xml:space="preserve">industria del </w:t>
      </w:r>
      <w:r>
        <w:rPr>
          <w:rFonts w:ascii="Arial" w:hAnsi="Arial" w:cs="Arial"/>
          <w:sz w:val="21"/>
          <w:szCs w:val="21"/>
        </w:rPr>
        <w:t>legno, della carta e stampa (-19,2</w:t>
      </w:r>
      <w:r w:rsidRPr="0045009B">
        <w:rPr>
          <w:rFonts w:ascii="Arial" w:hAnsi="Arial" w:cs="Arial"/>
          <w:sz w:val="21"/>
          <w:szCs w:val="21"/>
        </w:rPr>
        <w:t>% Area euro, -</w:t>
      </w:r>
      <w:r>
        <w:rPr>
          <w:rFonts w:ascii="Arial" w:hAnsi="Arial" w:cs="Arial"/>
          <w:sz w:val="21"/>
          <w:szCs w:val="21"/>
        </w:rPr>
        <w:t>17,5</w:t>
      </w:r>
      <w:r w:rsidRPr="0045009B">
        <w:rPr>
          <w:rFonts w:ascii="Arial" w:hAnsi="Arial" w:cs="Arial"/>
          <w:sz w:val="21"/>
          <w:szCs w:val="21"/>
        </w:rPr>
        <w:t>% Area non euro)</w:t>
      </w:r>
      <w:r>
        <w:rPr>
          <w:rFonts w:ascii="Arial" w:hAnsi="Arial" w:cs="Arial"/>
          <w:sz w:val="21"/>
          <w:szCs w:val="21"/>
        </w:rPr>
        <w:t xml:space="preserve">, </w:t>
      </w:r>
      <w:r w:rsidR="004E5CE0">
        <w:rPr>
          <w:rFonts w:ascii="Arial" w:hAnsi="Arial" w:cs="Arial"/>
          <w:sz w:val="21"/>
          <w:szCs w:val="21"/>
        </w:rPr>
        <w:t xml:space="preserve">fabbricazione di prodotti chimici (-11,4% Area euro, -15,6% Area non euro), </w:t>
      </w:r>
      <w:r w:rsidRPr="00AA452A">
        <w:rPr>
          <w:rFonts w:ascii="Arial" w:hAnsi="Arial" w:cs="Arial"/>
          <w:sz w:val="21"/>
          <w:szCs w:val="21"/>
        </w:rPr>
        <w:t xml:space="preserve">fabbricazione di coke e prodotti petroliferi raffinati </w:t>
      </w:r>
      <w:r>
        <w:rPr>
          <w:rFonts w:ascii="Arial" w:hAnsi="Arial" w:cs="Arial"/>
          <w:sz w:val="21"/>
          <w:szCs w:val="21"/>
        </w:rPr>
        <w:t xml:space="preserve">(-12,8% </w:t>
      </w:r>
      <w:r w:rsidRPr="00AA452A">
        <w:rPr>
          <w:rFonts w:ascii="Arial" w:hAnsi="Arial" w:cs="Arial"/>
          <w:sz w:val="21"/>
          <w:szCs w:val="21"/>
        </w:rPr>
        <w:t>Area euro</w:t>
      </w:r>
      <w:r w:rsidR="004E5CE0">
        <w:rPr>
          <w:rFonts w:ascii="Arial" w:hAnsi="Arial" w:cs="Arial"/>
          <w:sz w:val="21"/>
          <w:szCs w:val="21"/>
        </w:rPr>
        <w:t>),</w:t>
      </w:r>
      <w:r>
        <w:rPr>
          <w:rFonts w:ascii="Arial" w:hAnsi="Arial" w:cs="Arial"/>
          <w:sz w:val="21"/>
          <w:szCs w:val="21"/>
        </w:rPr>
        <w:t xml:space="preserve"> m</w:t>
      </w:r>
      <w:r w:rsidRPr="00BB4100">
        <w:rPr>
          <w:rFonts w:ascii="Arial" w:hAnsi="Arial" w:cs="Arial"/>
          <w:sz w:val="21"/>
          <w:szCs w:val="21"/>
        </w:rPr>
        <w:t>etallurgia e fabbricazione di prodotti in metall</w:t>
      </w:r>
      <w:r>
        <w:rPr>
          <w:rFonts w:ascii="Arial" w:hAnsi="Arial" w:cs="Arial"/>
          <w:sz w:val="21"/>
          <w:szCs w:val="21"/>
        </w:rPr>
        <w:t>o (-8,3% Area euro, -4,5% Area non euro)</w:t>
      </w:r>
      <w:r w:rsidR="004E5CE0">
        <w:rPr>
          <w:rFonts w:ascii="Arial" w:hAnsi="Arial" w:cs="Arial"/>
          <w:sz w:val="21"/>
          <w:szCs w:val="21"/>
        </w:rPr>
        <w:t xml:space="preserve"> e industrie alimentari, bevande e tabacco (-6,7% Area non euro)</w:t>
      </w:r>
      <w:r>
        <w:rPr>
          <w:rFonts w:ascii="Arial" w:hAnsi="Arial" w:cs="Arial"/>
          <w:sz w:val="21"/>
          <w:szCs w:val="21"/>
        </w:rPr>
        <w:t>.</w:t>
      </w:r>
    </w:p>
    <w:p w14:paraId="0ED7C4E1" w14:textId="4D57F92D" w:rsidR="00153D89" w:rsidRDefault="00153D89" w:rsidP="00153D89">
      <w:pPr>
        <w:jc w:val="both"/>
        <w:rPr>
          <w:rFonts w:ascii="Arial" w:hAnsi="Arial" w:cs="Arial"/>
          <w:sz w:val="21"/>
          <w:szCs w:val="21"/>
        </w:rPr>
      </w:pPr>
      <w:r>
        <w:rPr>
          <w:rFonts w:ascii="Arial" w:hAnsi="Arial" w:cs="Arial"/>
          <w:sz w:val="21"/>
          <w:szCs w:val="21"/>
        </w:rPr>
        <w:t xml:space="preserve">Gli incrementi tendenziali più marcati si registrano, invece, per </w:t>
      </w:r>
      <w:r w:rsidRPr="00AA452A">
        <w:rPr>
          <w:rFonts w:ascii="Arial" w:hAnsi="Arial" w:cs="Arial"/>
          <w:sz w:val="21"/>
          <w:szCs w:val="21"/>
        </w:rPr>
        <w:t>industrie alim</w:t>
      </w:r>
      <w:r>
        <w:rPr>
          <w:rFonts w:ascii="Arial" w:hAnsi="Arial" w:cs="Arial"/>
          <w:sz w:val="21"/>
          <w:szCs w:val="21"/>
        </w:rPr>
        <w:t>entari, bevande e tabacco (+5,4% Area euro), f</w:t>
      </w:r>
      <w:r w:rsidRPr="00C53011">
        <w:rPr>
          <w:rFonts w:ascii="Arial" w:hAnsi="Arial" w:cs="Arial"/>
          <w:sz w:val="21"/>
          <w:szCs w:val="21"/>
        </w:rPr>
        <w:t xml:space="preserve">abbricazione di </w:t>
      </w:r>
      <w:r>
        <w:rPr>
          <w:rFonts w:ascii="Arial" w:hAnsi="Arial" w:cs="Arial"/>
          <w:sz w:val="21"/>
          <w:szCs w:val="21"/>
        </w:rPr>
        <w:t>mezzi di trasporto (+4,7% Area euro, +3,7% Area non euro) e f</w:t>
      </w:r>
      <w:r w:rsidRPr="00082226">
        <w:rPr>
          <w:rFonts w:ascii="Arial" w:hAnsi="Arial" w:cs="Arial"/>
          <w:sz w:val="21"/>
          <w:szCs w:val="21"/>
        </w:rPr>
        <w:t>abbricazione di macchinari e attrezzature n.c.a.</w:t>
      </w:r>
      <w:r>
        <w:rPr>
          <w:rFonts w:ascii="Arial" w:hAnsi="Arial" w:cs="Arial"/>
          <w:sz w:val="21"/>
          <w:szCs w:val="21"/>
        </w:rPr>
        <w:t xml:space="preserve"> (+3,7% Area euro).</w:t>
      </w:r>
    </w:p>
    <w:p w14:paraId="4065B03A" w14:textId="1F47A5E0" w:rsidR="00FF0E7D" w:rsidRDefault="00FF0E7D" w:rsidP="00FF0E7D">
      <w:pPr>
        <w:jc w:val="both"/>
        <w:rPr>
          <w:rFonts w:ascii="Arial" w:hAnsi="Arial" w:cs="Arial"/>
          <w:sz w:val="21"/>
          <w:szCs w:val="21"/>
        </w:rPr>
      </w:pPr>
    </w:p>
    <w:p w14:paraId="18268627" w14:textId="77777777" w:rsidR="002417BB" w:rsidRDefault="002417BB" w:rsidP="002417BB">
      <w:pPr>
        <w:jc w:val="both"/>
        <w:rPr>
          <w:rFonts w:ascii="Arial" w:hAnsi="Arial" w:cs="Arial"/>
          <w:sz w:val="21"/>
          <w:szCs w:val="21"/>
        </w:rPr>
      </w:pPr>
    </w:p>
    <w:p w14:paraId="18F53AEC" w14:textId="77777777" w:rsidR="00BD2C14" w:rsidRDefault="00BD2C14" w:rsidP="009B2E91">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b/>
          <w:spacing w:val="-3"/>
        </w:rPr>
        <w:sectPr w:rsidR="00BD2C14" w:rsidSect="009B2E91">
          <w:headerReference w:type="default" r:id="rId40"/>
          <w:pgSz w:w="11907" w:h="16840" w:code="9"/>
          <w:pgMar w:top="1534" w:right="851" w:bottom="680" w:left="851" w:header="567" w:footer="567" w:gutter="0"/>
          <w:cols w:space="720"/>
          <w:noEndnote/>
          <w:docGrid w:linePitch="272"/>
        </w:sectPr>
      </w:pPr>
    </w:p>
    <w:p w14:paraId="12E21E6B" w14:textId="77777777" w:rsidR="00FE069A" w:rsidRDefault="00FE069A" w:rsidP="00010C7B">
      <w:pPr>
        <w:ind w:right="57"/>
        <w:jc w:val="both"/>
        <w:rPr>
          <w:rFonts w:ascii="Arial Narrow" w:hAnsi="Arial Narrow" w:cs="Arial"/>
          <w:b/>
          <w:color w:val="E42618"/>
          <w:sz w:val="22"/>
          <w:szCs w:val="22"/>
        </w:rPr>
      </w:pPr>
    </w:p>
    <w:p w14:paraId="07B5A892" w14:textId="1717CA1D" w:rsidR="007E417B" w:rsidRPr="00AD4483" w:rsidRDefault="007E417B" w:rsidP="007E417B">
      <w:pPr>
        <w:ind w:right="57"/>
        <w:jc w:val="both"/>
        <w:rPr>
          <w:rFonts w:ascii="Arial Narrow" w:hAnsi="Arial Narrow" w:cs="Arial"/>
          <w:b/>
          <w:color w:val="5F5F5F"/>
          <w:sz w:val="22"/>
          <w:szCs w:val="22"/>
        </w:rPr>
      </w:pPr>
      <w:r w:rsidRPr="00AD4483">
        <w:rPr>
          <w:rFonts w:ascii="Arial Narrow" w:hAnsi="Arial Narrow" w:cs="Arial"/>
          <w:b/>
          <w:color w:val="E42618"/>
          <w:sz w:val="22"/>
          <w:szCs w:val="22"/>
        </w:rPr>
        <w:t>PROSPETTO 6</w:t>
      </w:r>
      <w:r>
        <w:rPr>
          <w:rFonts w:ascii="Arial Narrow" w:hAnsi="Arial Narrow" w:cs="Arial"/>
          <w:b/>
          <w:color w:val="E42618"/>
          <w:sz w:val="22"/>
          <w:szCs w:val="22"/>
        </w:rPr>
        <w:t>.</w:t>
      </w:r>
      <w:r w:rsidRPr="00AD4483">
        <w:rPr>
          <w:rFonts w:ascii="Arial Narrow" w:hAnsi="Arial Narrow" w:cs="Arial"/>
          <w:b/>
          <w:color w:val="5F5F5F"/>
        </w:rPr>
        <w:t xml:space="preserve"> </w:t>
      </w:r>
      <w:r w:rsidRPr="00AD4483">
        <w:rPr>
          <w:rFonts w:ascii="Arial Narrow" w:hAnsi="Arial Narrow" w:cs="Arial"/>
          <w:b/>
          <w:color w:val="5F5F5F"/>
          <w:sz w:val="22"/>
          <w:szCs w:val="22"/>
        </w:rPr>
        <w:t>ESPORTAZIONI E IMPORTAZIONI DI MERCI IN VALORE</w:t>
      </w:r>
    </w:p>
    <w:p w14:paraId="5F109745" w14:textId="41B69A39" w:rsidR="007E417B" w:rsidRPr="00FF4F6A" w:rsidRDefault="00E52CA6" w:rsidP="007E417B">
      <w:pPr>
        <w:pStyle w:val="Corpodeltesto1"/>
        <w:spacing w:after="120"/>
        <w:jc w:val="left"/>
        <w:rPr>
          <w:rFonts w:ascii="Arial Narrow" w:hAnsi="Arial Narrow" w:cs="Arial"/>
          <w:b w:val="0"/>
          <w:color w:val="5F5F5F"/>
          <w:kern w:val="28"/>
          <w:sz w:val="20"/>
          <w:szCs w:val="20"/>
        </w:rPr>
      </w:pPr>
      <w:r>
        <w:rPr>
          <w:rFonts w:ascii="Arial Narrow" w:hAnsi="Arial Narrow" w:cs="Arial"/>
          <w:b w:val="0"/>
          <w:color w:val="5F5F5F"/>
          <w:kern w:val="28"/>
          <w:sz w:val="20"/>
          <w:szCs w:val="20"/>
        </w:rPr>
        <w:t>Ottobre</w:t>
      </w:r>
      <w:r w:rsidRPr="00B31D3C">
        <w:rPr>
          <w:rFonts w:ascii="Arial Narrow" w:hAnsi="Arial Narrow" w:cs="Arial"/>
          <w:b w:val="0"/>
          <w:color w:val="5F5F5F"/>
          <w:kern w:val="28"/>
          <w:sz w:val="20"/>
          <w:szCs w:val="20"/>
        </w:rPr>
        <w:t xml:space="preserve"> </w:t>
      </w:r>
      <w:r w:rsidR="000D31F1">
        <w:rPr>
          <w:rFonts w:ascii="Arial Narrow" w:hAnsi="Arial Narrow" w:cs="Arial"/>
          <w:b w:val="0"/>
          <w:color w:val="5F5F5F"/>
          <w:kern w:val="28"/>
          <w:sz w:val="20"/>
          <w:szCs w:val="20"/>
        </w:rPr>
        <w:t xml:space="preserve">e </w:t>
      </w:r>
      <w:r>
        <w:rPr>
          <w:rFonts w:ascii="Arial Narrow" w:hAnsi="Arial Narrow" w:cs="Arial"/>
          <w:b w:val="0"/>
          <w:color w:val="5F5F5F"/>
          <w:kern w:val="28"/>
          <w:sz w:val="20"/>
          <w:szCs w:val="20"/>
        </w:rPr>
        <w:t>settembre</w:t>
      </w:r>
      <w:r w:rsidR="00134EEC" w:rsidRPr="00275637">
        <w:rPr>
          <w:rFonts w:ascii="Arial Narrow" w:hAnsi="Arial Narrow" w:cs="Arial"/>
          <w:b w:val="0"/>
          <w:color w:val="5F5F5F"/>
          <w:kern w:val="28"/>
          <w:sz w:val="20"/>
          <w:szCs w:val="20"/>
        </w:rPr>
        <w:t xml:space="preserve"> </w:t>
      </w:r>
      <w:r w:rsidR="00E31B50">
        <w:rPr>
          <w:rFonts w:ascii="Arial Narrow" w:hAnsi="Arial Narrow" w:cs="Arial"/>
          <w:b w:val="0"/>
          <w:color w:val="5F5F5F"/>
          <w:kern w:val="28"/>
          <w:sz w:val="20"/>
          <w:szCs w:val="20"/>
        </w:rPr>
        <w:t>2023</w:t>
      </w:r>
      <w:r w:rsidR="007E417B" w:rsidRPr="00AD4483">
        <w:rPr>
          <w:rFonts w:ascii="Arial Narrow" w:hAnsi="Arial Narrow" w:cs="Arial"/>
          <w:b w:val="0"/>
          <w:color w:val="5F5F5F"/>
          <w:kern w:val="28"/>
          <w:sz w:val="20"/>
          <w:szCs w:val="20"/>
        </w:rPr>
        <w:t>, revisioni delle variazioni percentuali, differenze in punti percentuali</w:t>
      </w:r>
    </w:p>
    <w:tbl>
      <w:tblPr>
        <w:tblW w:w="10206" w:type="dxa"/>
        <w:tblBorders>
          <w:top w:val="single" w:sz="4" w:space="0" w:color="333333"/>
          <w:bottom w:val="single" w:sz="4" w:space="0" w:color="333333"/>
          <w:insideH w:val="single" w:sz="4" w:space="0" w:color="333333"/>
        </w:tblBorders>
        <w:tblLook w:val="01E0" w:firstRow="1" w:lastRow="1" w:firstColumn="1" w:lastColumn="1" w:noHBand="0" w:noVBand="0"/>
      </w:tblPr>
      <w:tblGrid>
        <w:gridCol w:w="1458"/>
        <w:gridCol w:w="1456"/>
        <w:gridCol w:w="1456"/>
        <w:gridCol w:w="1410"/>
        <w:gridCol w:w="1531"/>
        <w:gridCol w:w="1426"/>
        <w:gridCol w:w="1469"/>
      </w:tblGrid>
      <w:tr w:rsidR="007E417B" w:rsidRPr="001C01EA" w14:paraId="2C753F93" w14:textId="77777777" w:rsidTr="007E417B">
        <w:trPr>
          <w:trHeight w:val="255"/>
        </w:trPr>
        <w:tc>
          <w:tcPr>
            <w:tcW w:w="1458" w:type="dxa"/>
            <w:tcBorders>
              <w:bottom w:val="nil"/>
            </w:tcBorders>
            <w:shd w:val="clear" w:color="auto" w:fill="auto"/>
            <w:vAlign w:val="center"/>
          </w:tcPr>
          <w:p w14:paraId="1A880EAE" w14:textId="77777777" w:rsidR="007E417B" w:rsidRPr="001C01EA" w:rsidRDefault="007E417B" w:rsidP="007E417B">
            <w:pPr>
              <w:spacing w:before="40" w:after="20"/>
              <w:ind w:firstLine="142"/>
              <w:jc w:val="center"/>
              <w:rPr>
                <w:rFonts w:ascii="Arial Narrow" w:hAnsi="Arial Narrow" w:cs="Arial"/>
                <w:b/>
                <w:bCs/>
                <w:sz w:val="18"/>
                <w:szCs w:val="18"/>
              </w:rPr>
            </w:pPr>
          </w:p>
        </w:tc>
        <w:tc>
          <w:tcPr>
            <w:tcW w:w="2912" w:type="dxa"/>
            <w:gridSpan w:val="2"/>
            <w:tcBorders>
              <w:bottom w:val="single" w:sz="4" w:space="0" w:color="333333"/>
            </w:tcBorders>
            <w:shd w:val="clear" w:color="auto" w:fill="E6E6E6"/>
            <w:vAlign w:val="center"/>
          </w:tcPr>
          <w:p w14:paraId="70A7F02A" w14:textId="77777777" w:rsidR="007E417B" w:rsidRPr="001C01EA" w:rsidRDefault="007E417B" w:rsidP="007E417B">
            <w:pPr>
              <w:spacing w:before="40" w:after="20"/>
              <w:ind w:firstLine="142"/>
              <w:jc w:val="center"/>
              <w:rPr>
                <w:rFonts w:ascii="Arial Narrow" w:hAnsi="Arial Narrow" w:cs="Arial"/>
                <w:b/>
                <w:bCs/>
                <w:sz w:val="18"/>
                <w:szCs w:val="18"/>
              </w:rPr>
            </w:pPr>
            <w:r w:rsidRPr="001C01EA">
              <w:rPr>
                <w:rFonts w:ascii="Arial Narrow" w:hAnsi="Arial Narrow" w:cs="Arial"/>
                <w:b/>
                <w:bCs/>
                <w:sz w:val="18"/>
                <w:szCs w:val="18"/>
              </w:rPr>
              <w:t>Mondo</w:t>
            </w:r>
          </w:p>
        </w:tc>
        <w:tc>
          <w:tcPr>
            <w:tcW w:w="2941" w:type="dxa"/>
            <w:gridSpan w:val="2"/>
            <w:tcBorders>
              <w:bottom w:val="single" w:sz="4" w:space="0" w:color="333333"/>
            </w:tcBorders>
            <w:vAlign w:val="center"/>
          </w:tcPr>
          <w:p w14:paraId="75B57BFB" w14:textId="77777777" w:rsidR="007E417B" w:rsidRPr="001C01EA" w:rsidRDefault="007E417B" w:rsidP="007E417B">
            <w:pPr>
              <w:spacing w:before="40" w:after="20"/>
              <w:jc w:val="center"/>
              <w:rPr>
                <w:rFonts w:ascii="Arial Narrow" w:hAnsi="Arial Narrow" w:cs="Arial"/>
                <w:b/>
                <w:bCs/>
                <w:sz w:val="18"/>
                <w:szCs w:val="18"/>
              </w:rPr>
            </w:pPr>
            <w:r w:rsidRPr="001C01EA">
              <w:rPr>
                <w:rFonts w:ascii="Arial Narrow" w:hAnsi="Arial Narrow" w:cs="Arial"/>
                <w:b/>
                <w:bCs/>
                <w:sz w:val="18"/>
                <w:szCs w:val="18"/>
              </w:rPr>
              <w:t xml:space="preserve">Paesi </w:t>
            </w:r>
            <w:r w:rsidRPr="00C00E9F">
              <w:rPr>
                <w:rFonts w:ascii="Arial Narrow" w:hAnsi="Arial Narrow" w:cs="Arial"/>
                <w:b/>
                <w:bCs/>
                <w:sz w:val="18"/>
                <w:szCs w:val="18"/>
              </w:rPr>
              <w:t xml:space="preserve">Ue27 </w:t>
            </w:r>
          </w:p>
        </w:tc>
        <w:tc>
          <w:tcPr>
            <w:tcW w:w="2895" w:type="dxa"/>
            <w:gridSpan w:val="2"/>
            <w:tcBorders>
              <w:bottom w:val="single" w:sz="4" w:space="0" w:color="333333"/>
            </w:tcBorders>
            <w:shd w:val="clear" w:color="auto" w:fill="E6E6E6"/>
            <w:vAlign w:val="center"/>
          </w:tcPr>
          <w:p w14:paraId="4E624EC8" w14:textId="77777777" w:rsidR="007E417B" w:rsidRPr="001C01EA" w:rsidRDefault="007E417B" w:rsidP="007E417B">
            <w:pPr>
              <w:spacing w:before="40" w:after="20"/>
              <w:jc w:val="center"/>
              <w:rPr>
                <w:rFonts w:ascii="Arial Narrow" w:hAnsi="Arial Narrow" w:cs="Arial"/>
                <w:b/>
                <w:bCs/>
                <w:sz w:val="18"/>
                <w:szCs w:val="18"/>
              </w:rPr>
            </w:pPr>
            <w:r w:rsidRPr="001C01EA">
              <w:rPr>
                <w:rFonts w:ascii="Arial Narrow" w:hAnsi="Arial Narrow" w:cs="Arial"/>
                <w:b/>
                <w:bCs/>
                <w:sz w:val="18"/>
                <w:szCs w:val="18"/>
              </w:rPr>
              <w:t>Paesi extra Ue</w:t>
            </w:r>
            <w:r>
              <w:rPr>
                <w:rFonts w:ascii="Arial Narrow" w:hAnsi="Arial Narrow" w:cs="Arial"/>
                <w:b/>
                <w:bCs/>
                <w:sz w:val="18"/>
                <w:szCs w:val="18"/>
              </w:rPr>
              <w:t>27</w:t>
            </w:r>
          </w:p>
        </w:tc>
      </w:tr>
      <w:tr w:rsidR="007E417B" w:rsidRPr="001C01EA" w14:paraId="02D2BDE7" w14:textId="77777777" w:rsidTr="007E417B">
        <w:trPr>
          <w:trHeight w:val="255"/>
        </w:trPr>
        <w:tc>
          <w:tcPr>
            <w:tcW w:w="1458" w:type="dxa"/>
            <w:tcBorders>
              <w:top w:val="nil"/>
              <w:bottom w:val="nil"/>
            </w:tcBorders>
            <w:shd w:val="clear" w:color="auto" w:fill="auto"/>
            <w:vAlign w:val="center"/>
          </w:tcPr>
          <w:p w14:paraId="2914B9FA" w14:textId="77777777" w:rsidR="007E417B" w:rsidRPr="001C01EA" w:rsidRDefault="007E417B" w:rsidP="007E417B">
            <w:pPr>
              <w:spacing w:before="40" w:after="20"/>
              <w:jc w:val="center"/>
              <w:rPr>
                <w:rFonts w:ascii="Arial Narrow" w:hAnsi="Arial Narrow" w:cs="Arial"/>
                <w:bCs/>
                <w:sz w:val="18"/>
                <w:szCs w:val="18"/>
              </w:rPr>
            </w:pPr>
          </w:p>
        </w:tc>
        <w:tc>
          <w:tcPr>
            <w:tcW w:w="1456" w:type="dxa"/>
            <w:shd w:val="clear" w:color="auto" w:fill="E6E6E6"/>
            <w:vAlign w:val="center"/>
          </w:tcPr>
          <w:p w14:paraId="1B2F81EA" w14:textId="77777777" w:rsidR="007E417B" w:rsidRPr="001C01EA" w:rsidRDefault="007E417B" w:rsidP="007E417B">
            <w:pPr>
              <w:spacing w:before="40" w:after="20"/>
              <w:jc w:val="center"/>
              <w:rPr>
                <w:rFonts w:ascii="Arial Narrow" w:hAnsi="Arial Narrow" w:cs="Arial"/>
                <w:bCs/>
                <w:sz w:val="18"/>
                <w:szCs w:val="18"/>
              </w:rPr>
            </w:pPr>
            <w:r>
              <w:rPr>
                <w:rFonts w:ascii="Arial Narrow" w:hAnsi="Arial Narrow" w:cs="Arial"/>
                <w:bCs/>
                <w:sz w:val="18"/>
                <w:szCs w:val="18"/>
              </w:rPr>
              <w:t>Tendenziali</w:t>
            </w:r>
          </w:p>
        </w:tc>
        <w:tc>
          <w:tcPr>
            <w:tcW w:w="1456" w:type="dxa"/>
            <w:vAlign w:val="center"/>
          </w:tcPr>
          <w:p w14:paraId="0897BC89" w14:textId="77777777" w:rsidR="007E417B" w:rsidRPr="001C01EA" w:rsidRDefault="007E417B" w:rsidP="007E417B">
            <w:pPr>
              <w:spacing w:before="40" w:after="20"/>
              <w:jc w:val="center"/>
              <w:rPr>
                <w:rFonts w:ascii="Arial Narrow" w:hAnsi="Arial Narrow" w:cs="Arial"/>
                <w:bCs/>
                <w:sz w:val="18"/>
                <w:szCs w:val="18"/>
              </w:rPr>
            </w:pPr>
            <w:r>
              <w:rPr>
                <w:rFonts w:ascii="Arial Narrow" w:hAnsi="Arial Narrow" w:cs="Arial"/>
                <w:bCs/>
                <w:sz w:val="18"/>
                <w:szCs w:val="18"/>
              </w:rPr>
              <w:t>Congiunturali</w:t>
            </w:r>
          </w:p>
        </w:tc>
        <w:tc>
          <w:tcPr>
            <w:tcW w:w="1410" w:type="dxa"/>
            <w:shd w:val="clear" w:color="auto" w:fill="E6E6E6"/>
            <w:vAlign w:val="center"/>
          </w:tcPr>
          <w:p w14:paraId="40289508" w14:textId="77777777" w:rsidR="007E417B" w:rsidRPr="001C01EA" w:rsidRDefault="007E417B" w:rsidP="007E417B">
            <w:pPr>
              <w:spacing w:before="40" w:after="20"/>
              <w:jc w:val="center"/>
              <w:rPr>
                <w:rFonts w:ascii="Arial Narrow" w:hAnsi="Arial Narrow" w:cs="Arial"/>
                <w:bCs/>
                <w:sz w:val="18"/>
                <w:szCs w:val="18"/>
              </w:rPr>
            </w:pPr>
            <w:r>
              <w:rPr>
                <w:rFonts w:ascii="Arial Narrow" w:hAnsi="Arial Narrow" w:cs="Arial"/>
                <w:bCs/>
                <w:sz w:val="18"/>
                <w:szCs w:val="18"/>
              </w:rPr>
              <w:t>Tendenziali</w:t>
            </w:r>
          </w:p>
        </w:tc>
        <w:tc>
          <w:tcPr>
            <w:tcW w:w="1531" w:type="dxa"/>
            <w:vAlign w:val="center"/>
          </w:tcPr>
          <w:p w14:paraId="6FEA35C3" w14:textId="77777777" w:rsidR="007E417B" w:rsidRPr="001C01EA" w:rsidRDefault="007E417B" w:rsidP="007E417B">
            <w:pPr>
              <w:spacing w:before="40" w:after="20"/>
              <w:jc w:val="center"/>
              <w:rPr>
                <w:rFonts w:ascii="Arial Narrow" w:hAnsi="Arial Narrow" w:cs="Arial"/>
                <w:bCs/>
                <w:sz w:val="18"/>
                <w:szCs w:val="18"/>
              </w:rPr>
            </w:pPr>
            <w:r>
              <w:rPr>
                <w:rFonts w:ascii="Arial Narrow" w:hAnsi="Arial Narrow" w:cs="Arial"/>
                <w:bCs/>
                <w:sz w:val="18"/>
                <w:szCs w:val="18"/>
              </w:rPr>
              <w:t>Congiunturali</w:t>
            </w:r>
          </w:p>
        </w:tc>
        <w:tc>
          <w:tcPr>
            <w:tcW w:w="1426" w:type="dxa"/>
            <w:shd w:val="clear" w:color="auto" w:fill="E6E6E6"/>
            <w:vAlign w:val="center"/>
          </w:tcPr>
          <w:p w14:paraId="071D5C39" w14:textId="77777777" w:rsidR="007E417B" w:rsidRPr="001C01EA" w:rsidRDefault="007E417B" w:rsidP="007E417B">
            <w:pPr>
              <w:spacing w:before="40" w:after="20"/>
              <w:jc w:val="center"/>
              <w:rPr>
                <w:rFonts w:ascii="Arial Narrow" w:hAnsi="Arial Narrow" w:cs="Arial"/>
                <w:bCs/>
                <w:sz w:val="18"/>
                <w:szCs w:val="18"/>
              </w:rPr>
            </w:pPr>
            <w:r>
              <w:rPr>
                <w:rFonts w:ascii="Arial Narrow" w:hAnsi="Arial Narrow" w:cs="Arial"/>
                <w:bCs/>
                <w:sz w:val="18"/>
                <w:szCs w:val="18"/>
              </w:rPr>
              <w:t>Tendenziali</w:t>
            </w:r>
          </w:p>
        </w:tc>
        <w:tc>
          <w:tcPr>
            <w:tcW w:w="1469" w:type="dxa"/>
            <w:vAlign w:val="center"/>
          </w:tcPr>
          <w:p w14:paraId="0C67BD38" w14:textId="77777777" w:rsidR="007E417B" w:rsidRPr="001C01EA" w:rsidRDefault="007E417B" w:rsidP="007E417B">
            <w:pPr>
              <w:spacing w:before="40" w:after="20"/>
              <w:jc w:val="center"/>
              <w:rPr>
                <w:rFonts w:ascii="Arial Narrow" w:hAnsi="Arial Narrow" w:cs="Arial"/>
                <w:bCs/>
                <w:sz w:val="18"/>
                <w:szCs w:val="18"/>
              </w:rPr>
            </w:pPr>
            <w:r>
              <w:rPr>
                <w:rFonts w:ascii="Arial Narrow" w:hAnsi="Arial Narrow" w:cs="Arial"/>
                <w:bCs/>
                <w:sz w:val="18"/>
                <w:szCs w:val="18"/>
              </w:rPr>
              <w:t>Congiunturali</w:t>
            </w:r>
          </w:p>
        </w:tc>
      </w:tr>
      <w:tr w:rsidR="007E417B" w:rsidRPr="001C01EA" w14:paraId="4F9CDA06" w14:textId="77777777" w:rsidTr="007E417B">
        <w:trPr>
          <w:trHeight w:val="255"/>
        </w:trPr>
        <w:tc>
          <w:tcPr>
            <w:tcW w:w="10206" w:type="dxa"/>
            <w:gridSpan w:val="7"/>
            <w:shd w:val="clear" w:color="auto" w:fill="FFFFFF"/>
            <w:vAlign w:val="center"/>
          </w:tcPr>
          <w:p w14:paraId="69CBEF01" w14:textId="3FF2B87D" w:rsidR="007E417B" w:rsidRPr="00010C7B" w:rsidRDefault="00E52CA6" w:rsidP="007E417B">
            <w:pPr>
              <w:spacing w:before="40" w:after="20"/>
              <w:jc w:val="center"/>
              <w:rPr>
                <w:rFonts w:ascii="Arial Narrow" w:hAnsi="Arial Narrow" w:cs="Arial Narrow"/>
                <w:b/>
                <w:color w:val="000000"/>
                <w:sz w:val="18"/>
                <w:szCs w:val="18"/>
              </w:rPr>
            </w:pPr>
            <w:r w:rsidRPr="00E52CA6">
              <w:rPr>
                <w:rFonts w:ascii="Arial Narrow" w:hAnsi="Arial Narrow" w:cs="Arial Narrow"/>
                <w:b/>
                <w:color w:val="000000"/>
                <w:sz w:val="18"/>
                <w:szCs w:val="18"/>
              </w:rPr>
              <w:t xml:space="preserve">Ottobre </w:t>
            </w:r>
            <w:r w:rsidR="007E417B">
              <w:rPr>
                <w:rFonts w:ascii="Arial Narrow" w:hAnsi="Arial Narrow" w:cs="Arial Narrow"/>
                <w:b/>
                <w:color w:val="000000"/>
                <w:sz w:val="18"/>
                <w:szCs w:val="18"/>
              </w:rPr>
              <w:t>202</w:t>
            </w:r>
            <w:r w:rsidR="00E31B50">
              <w:rPr>
                <w:rFonts w:ascii="Arial Narrow" w:hAnsi="Arial Narrow" w:cs="Arial Narrow"/>
                <w:b/>
                <w:color w:val="000000"/>
                <w:sz w:val="18"/>
                <w:szCs w:val="18"/>
              </w:rPr>
              <w:t>3</w:t>
            </w:r>
          </w:p>
        </w:tc>
      </w:tr>
      <w:tr w:rsidR="00812F7A" w:rsidRPr="008C0651" w14:paraId="450735DC" w14:textId="77777777" w:rsidTr="007E417B">
        <w:trPr>
          <w:trHeight w:val="255"/>
        </w:trPr>
        <w:tc>
          <w:tcPr>
            <w:tcW w:w="1458" w:type="dxa"/>
            <w:shd w:val="clear" w:color="auto" w:fill="E6E6E6"/>
            <w:vAlign w:val="center"/>
          </w:tcPr>
          <w:p w14:paraId="4F64EECC" w14:textId="77777777" w:rsidR="00812F7A" w:rsidRPr="00C479EF" w:rsidRDefault="00812F7A" w:rsidP="00812F7A">
            <w:pPr>
              <w:spacing w:before="40" w:after="20"/>
              <w:jc w:val="center"/>
              <w:rPr>
                <w:rFonts w:ascii="Arial Narrow" w:hAnsi="Arial Narrow" w:cs="Arial"/>
                <w:bCs/>
                <w:sz w:val="18"/>
                <w:szCs w:val="18"/>
              </w:rPr>
            </w:pPr>
            <w:r w:rsidRPr="00C479EF">
              <w:rPr>
                <w:rFonts w:ascii="Arial Narrow" w:hAnsi="Arial Narrow" w:cs="Arial"/>
                <w:bCs/>
                <w:sz w:val="18"/>
                <w:szCs w:val="18"/>
              </w:rPr>
              <w:t>Export</w:t>
            </w:r>
          </w:p>
        </w:tc>
        <w:tc>
          <w:tcPr>
            <w:tcW w:w="1456" w:type="dxa"/>
            <w:shd w:val="clear" w:color="auto" w:fill="E6E6E6"/>
            <w:vAlign w:val="center"/>
          </w:tcPr>
          <w:p w14:paraId="6E29E10C" w14:textId="77777777" w:rsidR="00812F7A" w:rsidRPr="00C479EF" w:rsidRDefault="00812F7A" w:rsidP="00812F7A">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456" w:type="dxa"/>
            <w:vAlign w:val="center"/>
          </w:tcPr>
          <w:p w14:paraId="57AB7A80" w14:textId="77777777" w:rsidR="00812F7A" w:rsidRPr="00C479EF" w:rsidRDefault="00812F7A" w:rsidP="00812F7A">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410" w:type="dxa"/>
            <w:shd w:val="clear" w:color="auto" w:fill="E6E6E6"/>
            <w:vAlign w:val="center"/>
          </w:tcPr>
          <w:p w14:paraId="68876520" w14:textId="77777777" w:rsidR="00812F7A" w:rsidRPr="00C479EF" w:rsidRDefault="00812F7A" w:rsidP="00812F7A">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531" w:type="dxa"/>
            <w:vAlign w:val="center"/>
          </w:tcPr>
          <w:p w14:paraId="2D3F7AA8" w14:textId="77777777" w:rsidR="00812F7A" w:rsidRPr="00C479EF" w:rsidRDefault="00812F7A" w:rsidP="00812F7A">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426" w:type="dxa"/>
            <w:shd w:val="clear" w:color="auto" w:fill="E6E6E6"/>
            <w:vAlign w:val="center"/>
          </w:tcPr>
          <w:p w14:paraId="7751466F" w14:textId="5F9E84C4" w:rsidR="00812F7A" w:rsidRDefault="00812F7A" w:rsidP="00812F7A">
            <w:pPr>
              <w:jc w:val="center"/>
              <w:rPr>
                <w:rFonts w:ascii="Arial Narrow" w:hAnsi="Arial Narrow"/>
                <w:color w:val="000000"/>
                <w:sz w:val="18"/>
                <w:szCs w:val="18"/>
              </w:rPr>
            </w:pPr>
            <w:r>
              <w:rPr>
                <w:rFonts w:ascii="Arial Narrow" w:hAnsi="Arial Narrow"/>
                <w:color w:val="000000"/>
                <w:sz w:val="18"/>
                <w:szCs w:val="18"/>
              </w:rPr>
              <w:t>+0,2</w:t>
            </w:r>
          </w:p>
        </w:tc>
        <w:tc>
          <w:tcPr>
            <w:tcW w:w="1469" w:type="dxa"/>
            <w:vAlign w:val="center"/>
          </w:tcPr>
          <w:p w14:paraId="04081480" w14:textId="56403F99" w:rsidR="00812F7A" w:rsidRDefault="00812F7A" w:rsidP="00812F7A">
            <w:pPr>
              <w:jc w:val="center"/>
              <w:rPr>
                <w:rFonts w:ascii="Arial Narrow" w:hAnsi="Arial Narrow"/>
                <w:color w:val="000000"/>
                <w:sz w:val="18"/>
                <w:szCs w:val="18"/>
              </w:rPr>
            </w:pPr>
            <w:r>
              <w:rPr>
                <w:rFonts w:ascii="Arial Narrow" w:hAnsi="Arial Narrow"/>
                <w:color w:val="000000"/>
                <w:sz w:val="18"/>
                <w:szCs w:val="18"/>
              </w:rPr>
              <w:t>+0,2</w:t>
            </w:r>
          </w:p>
        </w:tc>
      </w:tr>
      <w:tr w:rsidR="00812F7A" w:rsidRPr="008C0651" w14:paraId="066CE3CB" w14:textId="77777777" w:rsidTr="007E417B">
        <w:trPr>
          <w:trHeight w:val="255"/>
        </w:trPr>
        <w:tc>
          <w:tcPr>
            <w:tcW w:w="1458" w:type="dxa"/>
            <w:shd w:val="clear" w:color="auto" w:fill="E6E6E6"/>
            <w:vAlign w:val="center"/>
          </w:tcPr>
          <w:p w14:paraId="40AA1E13" w14:textId="77777777" w:rsidR="00812F7A" w:rsidRPr="00C479EF" w:rsidRDefault="00812F7A" w:rsidP="00812F7A">
            <w:pPr>
              <w:spacing w:before="40" w:after="20"/>
              <w:jc w:val="center"/>
              <w:rPr>
                <w:rFonts w:ascii="Arial Narrow" w:hAnsi="Arial Narrow" w:cs="Arial"/>
                <w:bCs/>
                <w:sz w:val="18"/>
                <w:szCs w:val="18"/>
              </w:rPr>
            </w:pPr>
            <w:r w:rsidRPr="00C479EF">
              <w:rPr>
                <w:rFonts w:ascii="Arial Narrow" w:hAnsi="Arial Narrow" w:cs="Arial"/>
                <w:bCs/>
                <w:sz w:val="18"/>
                <w:szCs w:val="18"/>
              </w:rPr>
              <w:t>Import</w:t>
            </w:r>
          </w:p>
        </w:tc>
        <w:tc>
          <w:tcPr>
            <w:tcW w:w="1456" w:type="dxa"/>
            <w:shd w:val="clear" w:color="auto" w:fill="E6E6E6"/>
            <w:vAlign w:val="center"/>
          </w:tcPr>
          <w:p w14:paraId="5950A0FB" w14:textId="77777777" w:rsidR="00812F7A" w:rsidRPr="00C479EF" w:rsidRDefault="00812F7A" w:rsidP="00812F7A">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456" w:type="dxa"/>
            <w:vAlign w:val="center"/>
          </w:tcPr>
          <w:p w14:paraId="053CB479" w14:textId="77777777" w:rsidR="00812F7A" w:rsidRPr="00C479EF" w:rsidRDefault="00812F7A" w:rsidP="00812F7A">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410" w:type="dxa"/>
            <w:shd w:val="clear" w:color="auto" w:fill="E6E6E6"/>
            <w:vAlign w:val="center"/>
          </w:tcPr>
          <w:p w14:paraId="04E44008" w14:textId="77777777" w:rsidR="00812F7A" w:rsidRPr="00C479EF" w:rsidRDefault="00812F7A" w:rsidP="00812F7A">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531" w:type="dxa"/>
            <w:vAlign w:val="center"/>
          </w:tcPr>
          <w:p w14:paraId="43791D9E" w14:textId="77777777" w:rsidR="00812F7A" w:rsidRPr="00C479EF" w:rsidRDefault="00812F7A" w:rsidP="00812F7A">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426" w:type="dxa"/>
            <w:shd w:val="clear" w:color="auto" w:fill="E6E6E6"/>
            <w:vAlign w:val="center"/>
          </w:tcPr>
          <w:p w14:paraId="1871FE68" w14:textId="6D810F94" w:rsidR="00812F7A" w:rsidRDefault="00812F7A" w:rsidP="00812F7A">
            <w:pPr>
              <w:jc w:val="center"/>
              <w:rPr>
                <w:rFonts w:ascii="Arial Narrow" w:hAnsi="Arial Narrow"/>
                <w:color w:val="000000"/>
                <w:sz w:val="18"/>
                <w:szCs w:val="18"/>
              </w:rPr>
            </w:pPr>
            <w:r>
              <w:rPr>
                <w:rFonts w:ascii="Arial Narrow" w:hAnsi="Arial Narrow"/>
                <w:color w:val="000000"/>
                <w:sz w:val="18"/>
                <w:szCs w:val="18"/>
              </w:rPr>
              <w:t>+0,1</w:t>
            </w:r>
          </w:p>
        </w:tc>
        <w:tc>
          <w:tcPr>
            <w:tcW w:w="1469" w:type="dxa"/>
            <w:vAlign w:val="center"/>
          </w:tcPr>
          <w:p w14:paraId="6839A49C" w14:textId="20463BEA" w:rsidR="00812F7A" w:rsidRDefault="00812F7A" w:rsidP="00812F7A">
            <w:pPr>
              <w:jc w:val="center"/>
              <w:rPr>
                <w:rFonts w:ascii="Arial Narrow" w:hAnsi="Arial Narrow"/>
                <w:color w:val="000000"/>
                <w:sz w:val="18"/>
                <w:szCs w:val="18"/>
              </w:rPr>
            </w:pPr>
            <w:r>
              <w:rPr>
                <w:rFonts w:ascii="Arial Narrow" w:hAnsi="Arial Narrow"/>
                <w:color w:val="000000"/>
                <w:sz w:val="18"/>
                <w:szCs w:val="18"/>
              </w:rPr>
              <w:t>+0,1</w:t>
            </w:r>
          </w:p>
        </w:tc>
      </w:tr>
      <w:tr w:rsidR="007E417B" w:rsidRPr="001C01EA" w14:paraId="2E93E1AE" w14:textId="77777777" w:rsidTr="007E417B">
        <w:trPr>
          <w:trHeight w:val="255"/>
        </w:trPr>
        <w:tc>
          <w:tcPr>
            <w:tcW w:w="10206" w:type="dxa"/>
            <w:gridSpan w:val="7"/>
            <w:shd w:val="clear" w:color="auto" w:fill="FFFFFF"/>
            <w:vAlign w:val="center"/>
          </w:tcPr>
          <w:p w14:paraId="1A6BA489" w14:textId="2CAF5B81" w:rsidR="007E417B" w:rsidRPr="00010C7B" w:rsidRDefault="00E52CA6" w:rsidP="007E417B">
            <w:pPr>
              <w:spacing w:before="40" w:after="20"/>
              <w:jc w:val="center"/>
              <w:rPr>
                <w:rFonts w:ascii="Arial Narrow" w:hAnsi="Arial Narrow" w:cs="Arial Narrow"/>
                <w:b/>
                <w:color w:val="000000"/>
                <w:sz w:val="18"/>
                <w:szCs w:val="18"/>
              </w:rPr>
            </w:pPr>
            <w:r>
              <w:rPr>
                <w:rFonts w:ascii="Arial Narrow" w:hAnsi="Arial Narrow" w:cs="Arial Narrow"/>
                <w:b/>
                <w:color w:val="000000"/>
                <w:sz w:val="18"/>
                <w:szCs w:val="18"/>
              </w:rPr>
              <w:t>Settembre</w:t>
            </w:r>
            <w:r w:rsidR="006D0922">
              <w:rPr>
                <w:rFonts w:ascii="Arial Narrow" w:hAnsi="Arial Narrow" w:cs="Arial Narrow"/>
                <w:b/>
                <w:color w:val="000000"/>
                <w:sz w:val="18"/>
                <w:szCs w:val="18"/>
              </w:rPr>
              <w:t xml:space="preserve"> 2023</w:t>
            </w:r>
            <w:r w:rsidR="007E417B">
              <w:rPr>
                <w:rFonts w:ascii="Arial Narrow" w:hAnsi="Arial Narrow" w:cs="Arial Narrow"/>
                <w:b/>
                <w:color w:val="000000"/>
                <w:sz w:val="18"/>
                <w:szCs w:val="18"/>
              </w:rPr>
              <w:t xml:space="preserve"> </w:t>
            </w:r>
          </w:p>
        </w:tc>
      </w:tr>
      <w:tr w:rsidR="00812F7A" w:rsidRPr="008C0651" w14:paraId="3DB5C21C" w14:textId="77777777" w:rsidTr="007E417B">
        <w:trPr>
          <w:trHeight w:val="255"/>
        </w:trPr>
        <w:tc>
          <w:tcPr>
            <w:tcW w:w="1458" w:type="dxa"/>
            <w:shd w:val="clear" w:color="auto" w:fill="E6E6E6"/>
            <w:vAlign w:val="center"/>
          </w:tcPr>
          <w:p w14:paraId="7A4595BE" w14:textId="77777777" w:rsidR="00812F7A" w:rsidRPr="00C479EF" w:rsidRDefault="00812F7A" w:rsidP="00812F7A">
            <w:pPr>
              <w:spacing w:before="40" w:after="20"/>
              <w:jc w:val="center"/>
              <w:rPr>
                <w:rFonts w:ascii="Arial Narrow" w:hAnsi="Arial Narrow" w:cs="Arial"/>
                <w:bCs/>
                <w:sz w:val="18"/>
                <w:szCs w:val="18"/>
              </w:rPr>
            </w:pPr>
            <w:r w:rsidRPr="00C479EF">
              <w:rPr>
                <w:rFonts w:ascii="Arial Narrow" w:hAnsi="Arial Narrow" w:cs="Arial"/>
                <w:bCs/>
                <w:sz w:val="18"/>
                <w:szCs w:val="18"/>
              </w:rPr>
              <w:t>Export</w:t>
            </w:r>
          </w:p>
        </w:tc>
        <w:tc>
          <w:tcPr>
            <w:tcW w:w="1456" w:type="dxa"/>
            <w:shd w:val="clear" w:color="auto" w:fill="E6E6E6"/>
            <w:vAlign w:val="center"/>
          </w:tcPr>
          <w:p w14:paraId="5A8E8971" w14:textId="64680719" w:rsidR="00812F7A" w:rsidRDefault="00812F7A" w:rsidP="00812F7A">
            <w:pPr>
              <w:jc w:val="center"/>
              <w:rPr>
                <w:rFonts w:ascii="Arial Narrow" w:hAnsi="Arial Narrow"/>
                <w:color w:val="000000"/>
                <w:sz w:val="18"/>
                <w:szCs w:val="18"/>
              </w:rPr>
            </w:pPr>
            <w:r>
              <w:rPr>
                <w:rFonts w:ascii="Arial Narrow" w:hAnsi="Arial Narrow"/>
                <w:color w:val="000000"/>
                <w:sz w:val="18"/>
                <w:szCs w:val="18"/>
              </w:rPr>
              <w:t>+0,2</w:t>
            </w:r>
          </w:p>
        </w:tc>
        <w:tc>
          <w:tcPr>
            <w:tcW w:w="1456" w:type="dxa"/>
            <w:vAlign w:val="center"/>
          </w:tcPr>
          <w:p w14:paraId="293B91CA" w14:textId="45630698" w:rsidR="00812F7A" w:rsidRPr="00610762" w:rsidRDefault="00812F7A" w:rsidP="00812F7A">
            <w:pPr>
              <w:jc w:val="center"/>
              <w:rPr>
                <w:rFonts w:ascii="Arial Narrow" w:hAnsi="Arial Narrow"/>
                <w:color w:val="000000"/>
                <w:sz w:val="18"/>
                <w:szCs w:val="18"/>
              </w:rPr>
            </w:pPr>
            <w:r>
              <w:rPr>
                <w:rFonts w:ascii="Arial Narrow" w:hAnsi="Arial Narrow"/>
                <w:color w:val="000000"/>
                <w:sz w:val="18"/>
                <w:szCs w:val="18"/>
              </w:rPr>
              <w:t>+0,2</w:t>
            </w:r>
          </w:p>
        </w:tc>
        <w:tc>
          <w:tcPr>
            <w:tcW w:w="1410" w:type="dxa"/>
            <w:shd w:val="clear" w:color="auto" w:fill="E6E6E6"/>
            <w:vAlign w:val="center"/>
          </w:tcPr>
          <w:p w14:paraId="6D54AEC6" w14:textId="4E906117" w:rsidR="00812F7A" w:rsidRPr="00610762" w:rsidRDefault="00812F7A" w:rsidP="00812F7A">
            <w:pPr>
              <w:jc w:val="center"/>
              <w:rPr>
                <w:rFonts w:ascii="Arial Narrow" w:hAnsi="Arial Narrow"/>
                <w:color w:val="000000"/>
                <w:sz w:val="18"/>
                <w:szCs w:val="18"/>
              </w:rPr>
            </w:pPr>
            <w:r>
              <w:rPr>
                <w:rFonts w:ascii="Arial Narrow" w:hAnsi="Arial Narrow"/>
                <w:color w:val="000000"/>
                <w:sz w:val="18"/>
                <w:szCs w:val="18"/>
              </w:rPr>
              <w:t>+0,4</w:t>
            </w:r>
          </w:p>
        </w:tc>
        <w:tc>
          <w:tcPr>
            <w:tcW w:w="1531" w:type="dxa"/>
            <w:vAlign w:val="center"/>
          </w:tcPr>
          <w:p w14:paraId="64C1CB34" w14:textId="018BE87B" w:rsidR="00812F7A" w:rsidRPr="00610762" w:rsidRDefault="00812F7A" w:rsidP="00812F7A">
            <w:pPr>
              <w:jc w:val="center"/>
              <w:rPr>
                <w:rFonts w:ascii="Arial Narrow" w:hAnsi="Arial Narrow"/>
                <w:color w:val="000000"/>
                <w:sz w:val="18"/>
                <w:szCs w:val="18"/>
              </w:rPr>
            </w:pPr>
            <w:r>
              <w:rPr>
                <w:rFonts w:ascii="Arial Narrow" w:hAnsi="Arial Narrow"/>
                <w:color w:val="000000"/>
                <w:sz w:val="18"/>
                <w:szCs w:val="18"/>
              </w:rPr>
              <w:t>+0,3</w:t>
            </w:r>
          </w:p>
        </w:tc>
        <w:tc>
          <w:tcPr>
            <w:tcW w:w="1426" w:type="dxa"/>
            <w:shd w:val="clear" w:color="auto" w:fill="E6E6E6"/>
            <w:vAlign w:val="center"/>
          </w:tcPr>
          <w:p w14:paraId="799D6BAB" w14:textId="2D531B49" w:rsidR="00812F7A" w:rsidRPr="007B415B" w:rsidRDefault="00812F7A" w:rsidP="00812F7A">
            <w:pPr>
              <w:jc w:val="center"/>
              <w:rPr>
                <w:rFonts w:ascii="Arial Narrow" w:hAnsi="Arial Narrow"/>
                <w:color w:val="000000"/>
                <w:sz w:val="18"/>
                <w:szCs w:val="18"/>
              </w:rPr>
            </w:pPr>
            <w:r>
              <w:rPr>
                <w:rFonts w:ascii="Arial Narrow" w:hAnsi="Arial Narrow"/>
                <w:color w:val="000000"/>
                <w:sz w:val="18"/>
                <w:szCs w:val="18"/>
              </w:rPr>
              <w:t>-</w:t>
            </w:r>
          </w:p>
        </w:tc>
        <w:tc>
          <w:tcPr>
            <w:tcW w:w="1469" w:type="dxa"/>
            <w:vAlign w:val="center"/>
          </w:tcPr>
          <w:p w14:paraId="273880E6" w14:textId="0E4F4E1A" w:rsidR="00812F7A" w:rsidRPr="00610762" w:rsidRDefault="00812F7A" w:rsidP="00812F7A">
            <w:pPr>
              <w:jc w:val="center"/>
              <w:rPr>
                <w:rFonts w:ascii="Arial Narrow" w:hAnsi="Arial Narrow"/>
                <w:color w:val="000000"/>
                <w:sz w:val="18"/>
                <w:szCs w:val="18"/>
              </w:rPr>
            </w:pPr>
            <w:r>
              <w:rPr>
                <w:rFonts w:ascii="Arial Narrow" w:hAnsi="Arial Narrow"/>
                <w:color w:val="000000"/>
                <w:sz w:val="18"/>
                <w:szCs w:val="18"/>
              </w:rPr>
              <w:t>+0,1</w:t>
            </w:r>
          </w:p>
        </w:tc>
      </w:tr>
      <w:tr w:rsidR="00812F7A" w:rsidRPr="008C0651" w14:paraId="394745A5" w14:textId="77777777" w:rsidTr="007E417B">
        <w:trPr>
          <w:trHeight w:val="255"/>
        </w:trPr>
        <w:tc>
          <w:tcPr>
            <w:tcW w:w="1458" w:type="dxa"/>
            <w:shd w:val="clear" w:color="auto" w:fill="E6E6E6"/>
            <w:vAlign w:val="center"/>
          </w:tcPr>
          <w:p w14:paraId="00E47BC0" w14:textId="77777777" w:rsidR="00812F7A" w:rsidRPr="00C479EF" w:rsidRDefault="00812F7A" w:rsidP="00812F7A">
            <w:pPr>
              <w:spacing w:before="40" w:after="20"/>
              <w:jc w:val="center"/>
              <w:rPr>
                <w:rFonts w:ascii="Arial Narrow" w:hAnsi="Arial Narrow" w:cs="Arial"/>
                <w:bCs/>
                <w:sz w:val="18"/>
                <w:szCs w:val="18"/>
              </w:rPr>
            </w:pPr>
            <w:r w:rsidRPr="00C479EF">
              <w:rPr>
                <w:rFonts w:ascii="Arial Narrow" w:hAnsi="Arial Narrow" w:cs="Arial"/>
                <w:bCs/>
                <w:sz w:val="18"/>
                <w:szCs w:val="18"/>
              </w:rPr>
              <w:t>Import</w:t>
            </w:r>
          </w:p>
        </w:tc>
        <w:tc>
          <w:tcPr>
            <w:tcW w:w="1456" w:type="dxa"/>
            <w:shd w:val="clear" w:color="auto" w:fill="E6E6E6"/>
            <w:vAlign w:val="center"/>
          </w:tcPr>
          <w:p w14:paraId="586C247A" w14:textId="611D6B5A" w:rsidR="00812F7A" w:rsidRDefault="00812F7A" w:rsidP="00812F7A">
            <w:pPr>
              <w:jc w:val="center"/>
              <w:rPr>
                <w:rFonts w:ascii="Arial Narrow" w:hAnsi="Arial Narrow"/>
                <w:color w:val="000000"/>
                <w:sz w:val="18"/>
                <w:szCs w:val="18"/>
              </w:rPr>
            </w:pPr>
            <w:r>
              <w:rPr>
                <w:rFonts w:ascii="Arial Narrow" w:hAnsi="Arial Narrow"/>
                <w:color w:val="000000"/>
                <w:sz w:val="18"/>
                <w:szCs w:val="18"/>
              </w:rPr>
              <w:t>+0,1</w:t>
            </w:r>
          </w:p>
        </w:tc>
        <w:tc>
          <w:tcPr>
            <w:tcW w:w="1456" w:type="dxa"/>
            <w:vAlign w:val="center"/>
          </w:tcPr>
          <w:p w14:paraId="47C05136" w14:textId="2EE6DCE2" w:rsidR="00812F7A" w:rsidRPr="00610762" w:rsidRDefault="00812F7A" w:rsidP="00812F7A">
            <w:pPr>
              <w:jc w:val="center"/>
              <w:rPr>
                <w:rFonts w:ascii="Arial Narrow" w:hAnsi="Arial Narrow"/>
                <w:color w:val="000000"/>
                <w:sz w:val="18"/>
                <w:szCs w:val="18"/>
              </w:rPr>
            </w:pPr>
            <w:r>
              <w:rPr>
                <w:rFonts w:ascii="Arial Narrow" w:hAnsi="Arial Narrow"/>
                <w:color w:val="000000"/>
                <w:sz w:val="18"/>
                <w:szCs w:val="18"/>
              </w:rPr>
              <w:t>+0,2</w:t>
            </w:r>
          </w:p>
        </w:tc>
        <w:tc>
          <w:tcPr>
            <w:tcW w:w="1410" w:type="dxa"/>
            <w:shd w:val="clear" w:color="auto" w:fill="E6E6E6"/>
            <w:vAlign w:val="center"/>
          </w:tcPr>
          <w:p w14:paraId="37F85158" w14:textId="512D6FCB" w:rsidR="00812F7A" w:rsidRPr="00610762" w:rsidRDefault="00812F7A" w:rsidP="00812F7A">
            <w:pPr>
              <w:jc w:val="center"/>
              <w:rPr>
                <w:rFonts w:ascii="Arial Narrow" w:hAnsi="Arial Narrow"/>
                <w:color w:val="000000"/>
                <w:sz w:val="18"/>
                <w:szCs w:val="18"/>
              </w:rPr>
            </w:pPr>
            <w:r>
              <w:rPr>
                <w:rFonts w:ascii="Arial Narrow" w:hAnsi="Arial Narrow"/>
                <w:color w:val="000000"/>
                <w:sz w:val="18"/>
                <w:szCs w:val="18"/>
              </w:rPr>
              <w:t>+0,2</w:t>
            </w:r>
          </w:p>
        </w:tc>
        <w:tc>
          <w:tcPr>
            <w:tcW w:w="1531" w:type="dxa"/>
            <w:vAlign w:val="center"/>
          </w:tcPr>
          <w:p w14:paraId="4C5576CF" w14:textId="7E5C884D" w:rsidR="00812F7A" w:rsidRPr="00610762" w:rsidRDefault="00812F7A" w:rsidP="00812F7A">
            <w:pPr>
              <w:jc w:val="center"/>
              <w:rPr>
                <w:rFonts w:ascii="Arial Narrow" w:hAnsi="Arial Narrow"/>
                <w:color w:val="000000"/>
                <w:sz w:val="18"/>
                <w:szCs w:val="18"/>
              </w:rPr>
            </w:pPr>
            <w:r>
              <w:rPr>
                <w:rFonts w:ascii="Arial Narrow" w:hAnsi="Arial Narrow"/>
                <w:color w:val="000000"/>
                <w:sz w:val="18"/>
                <w:szCs w:val="18"/>
              </w:rPr>
              <w:t>-0,1</w:t>
            </w:r>
          </w:p>
        </w:tc>
        <w:tc>
          <w:tcPr>
            <w:tcW w:w="1426" w:type="dxa"/>
            <w:shd w:val="clear" w:color="auto" w:fill="E6E6E6"/>
            <w:vAlign w:val="center"/>
          </w:tcPr>
          <w:p w14:paraId="05BBB4E0" w14:textId="133B601F" w:rsidR="00812F7A" w:rsidRPr="00610762" w:rsidRDefault="00812F7A" w:rsidP="00812F7A">
            <w:pPr>
              <w:jc w:val="center"/>
              <w:rPr>
                <w:rFonts w:ascii="Arial Narrow" w:hAnsi="Arial Narrow"/>
                <w:color w:val="000000"/>
                <w:sz w:val="18"/>
                <w:szCs w:val="18"/>
              </w:rPr>
            </w:pPr>
            <w:r>
              <w:rPr>
                <w:rFonts w:ascii="Arial Narrow" w:hAnsi="Arial Narrow"/>
                <w:color w:val="000000"/>
                <w:sz w:val="18"/>
                <w:szCs w:val="18"/>
              </w:rPr>
              <w:t>-</w:t>
            </w:r>
          </w:p>
        </w:tc>
        <w:tc>
          <w:tcPr>
            <w:tcW w:w="1469" w:type="dxa"/>
            <w:vAlign w:val="center"/>
          </w:tcPr>
          <w:p w14:paraId="0D16A868" w14:textId="11976CC2" w:rsidR="00812F7A" w:rsidRPr="00610762" w:rsidRDefault="00812F7A" w:rsidP="00812F7A">
            <w:pPr>
              <w:jc w:val="center"/>
              <w:rPr>
                <w:rFonts w:ascii="Arial Narrow" w:hAnsi="Arial Narrow"/>
                <w:color w:val="000000"/>
                <w:sz w:val="18"/>
                <w:szCs w:val="18"/>
              </w:rPr>
            </w:pPr>
            <w:r>
              <w:rPr>
                <w:rFonts w:ascii="Arial Narrow" w:hAnsi="Arial Narrow"/>
                <w:color w:val="000000"/>
                <w:sz w:val="18"/>
                <w:szCs w:val="18"/>
              </w:rPr>
              <w:t>+0,5</w:t>
            </w:r>
          </w:p>
        </w:tc>
      </w:tr>
    </w:tbl>
    <w:p w14:paraId="7E4796B1" w14:textId="46CC802B" w:rsidR="007E417B" w:rsidRPr="008C520C" w:rsidRDefault="007E417B" w:rsidP="007E417B">
      <w:pPr>
        <w:spacing w:before="60" w:after="120"/>
        <w:ind w:right="28"/>
        <w:jc w:val="both"/>
        <w:rPr>
          <w:rFonts w:ascii="Arial Narrow" w:hAnsi="Arial Narrow"/>
          <w:sz w:val="21"/>
          <w:szCs w:val="21"/>
        </w:rPr>
      </w:pPr>
    </w:p>
    <w:p w14:paraId="6D35E4F0" w14:textId="5BA17243" w:rsidR="00392BEF" w:rsidRPr="00FF4F6A" w:rsidRDefault="00392BEF" w:rsidP="00392BEF">
      <w:pPr>
        <w:pStyle w:val="Corpodeltesto1"/>
        <w:spacing w:after="120"/>
        <w:jc w:val="left"/>
        <w:rPr>
          <w:rFonts w:ascii="Arial Narrow" w:hAnsi="Arial Narrow" w:cs="Arial"/>
          <w:b w:val="0"/>
          <w:color w:val="5F5F5F"/>
          <w:kern w:val="28"/>
          <w:sz w:val="20"/>
          <w:szCs w:val="20"/>
        </w:rPr>
      </w:pPr>
    </w:p>
    <w:p w14:paraId="0B228D22" w14:textId="77777777" w:rsidR="00072C03" w:rsidRPr="0045009B" w:rsidRDefault="00B076CD" w:rsidP="00072C03">
      <w:pPr>
        <w:ind w:right="28"/>
        <w:jc w:val="both"/>
        <w:rPr>
          <w:rFonts w:ascii="Arial Narrow" w:hAnsi="Arial Narrow" w:cs="Arial"/>
          <w:b/>
          <w:color w:val="5F5F5F"/>
          <w:sz w:val="22"/>
          <w:szCs w:val="22"/>
        </w:rPr>
      </w:pPr>
      <w:r w:rsidRPr="0045009B">
        <w:rPr>
          <w:rFonts w:ascii="Arial Narrow" w:hAnsi="Arial Narrow" w:cs="Arial"/>
          <w:b/>
          <w:color w:val="E42618"/>
          <w:sz w:val="22"/>
          <w:szCs w:val="22"/>
        </w:rPr>
        <w:t xml:space="preserve">PROSPETTO </w:t>
      </w:r>
      <w:r w:rsidR="007D643E" w:rsidRPr="0045009B">
        <w:rPr>
          <w:rFonts w:ascii="Arial Narrow" w:hAnsi="Arial Narrow" w:cs="Arial"/>
          <w:b/>
          <w:color w:val="E42618"/>
          <w:sz w:val="22"/>
          <w:szCs w:val="22"/>
        </w:rPr>
        <w:t>7</w:t>
      </w:r>
      <w:r w:rsidRPr="0045009B">
        <w:rPr>
          <w:rFonts w:ascii="Arial Narrow" w:hAnsi="Arial Narrow" w:cs="Arial"/>
          <w:b/>
          <w:color w:val="E42618"/>
          <w:sz w:val="22"/>
          <w:szCs w:val="22"/>
        </w:rPr>
        <w:t>.</w:t>
      </w:r>
      <w:r w:rsidRPr="0045009B">
        <w:rPr>
          <w:rFonts w:ascii="Arial Narrow" w:hAnsi="Arial Narrow" w:cs="Arial"/>
          <w:b/>
          <w:color w:val="5F5F5F"/>
        </w:rPr>
        <w:t xml:space="preserve"> </w:t>
      </w:r>
      <w:r w:rsidR="00B13FB7" w:rsidRPr="0045009B">
        <w:rPr>
          <w:rFonts w:ascii="Arial Narrow" w:hAnsi="Arial Narrow" w:cs="Arial"/>
          <w:b/>
          <w:color w:val="5F5F5F"/>
          <w:sz w:val="22"/>
          <w:szCs w:val="22"/>
        </w:rPr>
        <w:t>PREZZI ALL’IMPORTAZIONE</w:t>
      </w:r>
    </w:p>
    <w:p w14:paraId="478CF864" w14:textId="31E4D9E8" w:rsidR="009370E6" w:rsidRPr="006304A5" w:rsidRDefault="00E52CA6" w:rsidP="009370E6">
      <w:pPr>
        <w:pStyle w:val="Corpodeltesto1"/>
        <w:spacing w:after="120"/>
        <w:jc w:val="left"/>
        <w:rPr>
          <w:rFonts w:ascii="Arial Narrow" w:hAnsi="Arial Narrow" w:cs="Arial"/>
          <w:b w:val="0"/>
          <w:bCs/>
          <w:sz w:val="19"/>
          <w:szCs w:val="19"/>
        </w:rPr>
      </w:pPr>
      <w:r>
        <w:rPr>
          <w:rFonts w:ascii="Arial Narrow" w:hAnsi="Arial Narrow" w:cs="Arial"/>
          <w:b w:val="0"/>
          <w:color w:val="5F5F5F"/>
          <w:kern w:val="28"/>
          <w:sz w:val="20"/>
          <w:szCs w:val="20"/>
        </w:rPr>
        <w:t>Settembre</w:t>
      </w:r>
      <w:r w:rsidR="00606941" w:rsidRPr="0045009B">
        <w:rPr>
          <w:rFonts w:ascii="Arial Narrow" w:hAnsi="Arial Narrow" w:cs="Arial"/>
          <w:b w:val="0"/>
          <w:color w:val="5F5F5F"/>
          <w:kern w:val="28"/>
          <w:sz w:val="20"/>
          <w:szCs w:val="20"/>
        </w:rPr>
        <w:t xml:space="preserve"> </w:t>
      </w:r>
      <w:r w:rsidR="006D0922" w:rsidRPr="0045009B">
        <w:rPr>
          <w:rFonts w:ascii="Arial Narrow" w:hAnsi="Arial Narrow" w:cs="Arial"/>
          <w:b w:val="0"/>
          <w:color w:val="5F5F5F"/>
          <w:kern w:val="28"/>
          <w:sz w:val="20"/>
          <w:szCs w:val="20"/>
        </w:rPr>
        <w:t>2023</w:t>
      </w:r>
      <w:r w:rsidR="00B076CD" w:rsidRPr="0045009B">
        <w:rPr>
          <w:rFonts w:ascii="Arial Narrow" w:hAnsi="Arial Narrow" w:cs="Arial"/>
          <w:b w:val="0"/>
          <w:color w:val="5F5F5F"/>
          <w:kern w:val="28"/>
          <w:sz w:val="20"/>
          <w:szCs w:val="20"/>
        </w:rPr>
        <w:t xml:space="preserve">, revisioni delle variazioni percentuali, differenze in punti percentuali </w:t>
      </w:r>
      <w:r w:rsidR="009370E6" w:rsidRPr="0045009B">
        <w:rPr>
          <w:rFonts w:ascii="Arial Narrow" w:hAnsi="Arial Narrow" w:cs="Arial"/>
          <w:b w:val="0"/>
          <w:color w:val="5F5F5F"/>
          <w:kern w:val="28"/>
          <w:sz w:val="20"/>
          <w:szCs w:val="20"/>
        </w:rPr>
        <w:t>(base 2015=100)</w:t>
      </w:r>
    </w:p>
    <w:tbl>
      <w:tblPr>
        <w:tblW w:w="10206" w:type="dxa"/>
        <w:tblBorders>
          <w:top w:val="single" w:sz="4" w:space="0" w:color="333333"/>
          <w:bottom w:val="single" w:sz="4" w:space="0" w:color="333333"/>
          <w:insideH w:val="single" w:sz="4" w:space="0" w:color="333333"/>
        </w:tblBorders>
        <w:tblLook w:val="01E0" w:firstRow="1" w:lastRow="1" w:firstColumn="1" w:lastColumn="1" w:noHBand="0" w:noVBand="0"/>
      </w:tblPr>
      <w:tblGrid>
        <w:gridCol w:w="1698"/>
        <w:gridCol w:w="1697"/>
        <w:gridCol w:w="1645"/>
        <w:gridCol w:w="1787"/>
        <w:gridCol w:w="1663"/>
        <w:gridCol w:w="1716"/>
      </w:tblGrid>
      <w:tr w:rsidR="00B076CD" w:rsidRPr="001C01EA" w14:paraId="5F9AE485" w14:textId="77777777" w:rsidTr="00D6552B">
        <w:trPr>
          <w:trHeight w:val="255"/>
        </w:trPr>
        <w:tc>
          <w:tcPr>
            <w:tcW w:w="3395" w:type="dxa"/>
            <w:gridSpan w:val="2"/>
            <w:tcBorders>
              <w:bottom w:val="single" w:sz="4" w:space="0" w:color="333333"/>
            </w:tcBorders>
            <w:shd w:val="clear" w:color="auto" w:fill="E6E6E6"/>
            <w:vAlign w:val="center"/>
          </w:tcPr>
          <w:p w14:paraId="0621E029" w14:textId="77777777" w:rsidR="00B076CD" w:rsidRPr="001C01EA" w:rsidRDefault="00B076CD" w:rsidP="00593C33">
            <w:pPr>
              <w:spacing w:before="40" w:after="20"/>
              <w:ind w:left="-142" w:firstLine="142"/>
              <w:jc w:val="center"/>
              <w:rPr>
                <w:rFonts w:ascii="Arial Narrow" w:hAnsi="Arial Narrow" w:cs="Arial"/>
                <w:b/>
                <w:bCs/>
                <w:sz w:val="18"/>
                <w:szCs w:val="18"/>
              </w:rPr>
            </w:pPr>
            <w:r w:rsidRPr="001C01EA">
              <w:rPr>
                <w:rFonts w:ascii="Arial Narrow" w:hAnsi="Arial Narrow" w:cs="Arial"/>
                <w:b/>
                <w:bCs/>
                <w:sz w:val="18"/>
                <w:szCs w:val="18"/>
              </w:rPr>
              <w:t>Totale</w:t>
            </w:r>
          </w:p>
        </w:tc>
        <w:tc>
          <w:tcPr>
            <w:tcW w:w="3432" w:type="dxa"/>
            <w:gridSpan w:val="2"/>
            <w:tcBorders>
              <w:bottom w:val="single" w:sz="4" w:space="0" w:color="333333"/>
            </w:tcBorders>
            <w:vAlign w:val="center"/>
          </w:tcPr>
          <w:p w14:paraId="5CA1317A" w14:textId="77777777" w:rsidR="00B076CD" w:rsidRPr="001C01EA" w:rsidRDefault="00B076CD" w:rsidP="00593C33">
            <w:pPr>
              <w:spacing w:before="40" w:after="20"/>
              <w:jc w:val="center"/>
              <w:rPr>
                <w:rFonts w:ascii="Arial Narrow" w:hAnsi="Arial Narrow" w:cs="Arial"/>
                <w:b/>
                <w:bCs/>
                <w:sz w:val="18"/>
                <w:szCs w:val="18"/>
              </w:rPr>
            </w:pPr>
            <w:r>
              <w:rPr>
                <w:rFonts w:ascii="Arial Narrow" w:hAnsi="Arial Narrow" w:cs="Arial"/>
                <w:b/>
                <w:bCs/>
                <w:sz w:val="18"/>
                <w:szCs w:val="18"/>
              </w:rPr>
              <w:t>Area euro</w:t>
            </w:r>
          </w:p>
        </w:tc>
        <w:tc>
          <w:tcPr>
            <w:tcW w:w="3379" w:type="dxa"/>
            <w:gridSpan w:val="2"/>
            <w:tcBorders>
              <w:bottom w:val="single" w:sz="4" w:space="0" w:color="333333"/>
            </w:tcBorders>
            <w:shd w:val="clear" w:color="auto" w:fill="E6E6E6"/>
            <w:vAlign w:val="center"/>
          </w:tcPr>
          <w:p w14:paraId="2EF3F215" w14:textId="77777777" w:rsidR="00B076CD" w:rsidRPr="001C01EA" w:rsidRDefault="00B076CD" w:rsidP="00593C33">
            <w:pPr>
              <w:spacing w:before="40" w:after="20"/>
              <w:jc w:val="center"/>
              <w:rPr>
                <w:rFonts w:ascii="Arial Narrow" w:hAnsi="Arial Narrow" w:cs="Arial"/>
                <w:b/>
                <w:bCs/>
                <w:sz w:val="18"/>
                <w:szCs w:val="18"/>
              </w:rPr>
            </w:pPr>
            <w:r>
              <w:rPr>
                <w:rFonts w:ascii="Arial Narrow" w:hAnsi="Arial Narrow" w:cs="Arial"/>
                <w:b/>
                <w:bCs/>
                <w:sz w:val="18"/>
                <w:szCs w:val="18"/>
              </w:rPr>
              <w:t>Area non euro</w:t>
            </w:r>
          </w:p>
        </w:tc>
      </w:tr>
      <w:tr w:rsidR="00072C03" w:rsidRPr="001C01EA" w14:paraId="07F01117" w14:textId="77777777" w:rsidTr="00D6552B">
        <w:trPr>
          <w:trHeight w:val="255"/>
        </w:trPr>
        <w:tc>
          <w:tcPr>
            <w:tcW w:w="1698" w:type="dxa"/>
            <w:shd w:val="clear" w:color="auto" w:fill="E6E6E6"/>
            <w:vAlign w:val="center"/>
          </w:tcPr>
          <w:p w14:paraId="543DBACD" w14:textId="77777777" w:rsidR="00072C03" w:rsidRPr="001C01EA" w:rsidRDefault="00072C03" w:rsidP="00593C33">
            <w:pPr>
              <w:spacing w:before="40" w:after="20"/>
              <w:jc w:val="center"/>
              <w:rPr>
                <w:rFonts w:ascii="Arial Narrow" w:hAnsi="Arial Narrow" w:cs="Arial"/>
                <w:bCs/>
                <w:sz w:val="18"/>
                <w:szCs w:val="18"/>
              </w:rPr>
            </w:pPr>
            <w:r>
              <w:rPr>
                <w:rFonts w:ascii="Arial Narrow" w:hAnsi="Arial Narrow" w:cs="Arial"/>
                <w:bCs/>
                <w:sz w:val="18"/>
                <w:szCs w:val="18"/>
              </w:rPr>
              <w:t>Tendenziali</w:t>
            </w:r>
          </w:p>
        </w:tc>
        <w:tc>
          <w:tcPr>
            <w:tcW w:w="1697" w:type="dxa"/>
            <w:vAlign w:val="center"/>
          </w:tcPr>
          <w:p w14:paraId="5F34274F" w14:textId="77777777" w:rsidR="00072C03" w:rsidRPr="001C01EA" w:rsidRDefault="00072C03" w:rsidP="00593C33">
            <w:pPr>
              <w:spacing w:before="40" w:after="20"/>
              <w:jc w:val="center"/>
              <w:rPr>
                <w:rFonts w:ascii="Arial Narrow" w:hAnsi="Arial Narrow" w:cs="Arial"/>
                <w:bCs/>
                <w:sz w:val="18"/>
                <w:szCs w:val="18"/>
              </w:rPr>
            </w:pPr>
            <w:r>
              <w:rPr>
                <w:rFonts w:ascii="Arial Narrow" w:hAnsi="Arial Narrow" w:cs="Arial"/>
                <w:bCs/>
                <w:sz w:val="18"/>
                <w:szCs w:val="18"/>
              </w:rPr>
              <w:t>Congiunturali</w:t>
            </w:r>
          </w:p>
        </w:tc>
        <w:tc>
          <w:tcPr>
            <w:tcW w:w="1645" w:type="dxa"/>
            <w:shd w:val="clear" w:color="auto" w:fill="E6E6E6"/>
            <w:vAlign w:val="center"/>
          </w:tcPr>
          <w:p w14:paraId="6ED4DD8F" w14:textId="77777777" w:rsidR="00072C03" w:rsidRPr="001C01EA" w:rsidRDefault="00072C03" w:rsidP="00246367">
            <w:pPr>
              <w:spacing w:before="40" w:after="20"/>
              <w:jc w:val="center"/>
              <w:rPr>
                <w:rFonts w:ascii="Arial Narrow" w:hAnsi="Arial Narrow" w:cs="Arial"/>
                <w:bCs/>
                <w:sz w:val="18"/>
                <w:szCs w:val="18"/>
              </w:rPr>
            </w:pPr>
            <w:r>
              <w:rPr>
                <w:rFonts w:ascii="Arial Narrow" w:hAnsi="Arial Narrow" w:cs="Arial"/>
                <w:bCs/>
                <w:sz w:val="18"/>
                <w:szCs w:val="18"/>
              </w:rPr>
              <w:t>Tendenziali</w:t>
            </w:r>
          </w:p>
        </w:tc>
        <w:tc>
          <w:tcPr>
            <w:tcW w:w="1787" w:type="dxa"/>
            <w:vAlign w:val="center"/>
          </w:tcPr>
          <w:p w14:paraId="7744AB4F" w14:textId="77777777" w:rsidR="00072C03" w:rsidRPr="001C01EA" w:rsidRDefault="00072C03" w:rsidP="00246367">
            <w:pPr>
              <w:spacing w:before="40" w:after="20"/>
              <w:jc w:val="center"/>
              <w:rPr>
                <w:rFonts w:ascii="Arial Narrow" w:hAnsi="Arial Narrow" w:cs="Arial"/>
                <w:bCs/>
                <w:sz w:val="18"/>
                <w:szCs w:val="18"/>
              </w:rPr>
            </w:pPr>
            <w:r>
              <w:rPr>
                <w:rFonts w:ascii="Arial Narrow" w:hAnsi="Arial Narrow" w:cs="Arial"/>
                <w:bCs/>
                <w:sz w:val="18"/>
                <w:szCs w:val="18"/>
              </w:rPr>
              <w:t>Congiunturali</w:t>
            </w:r>
          </w:p>
        </w:tc>
        <w:tc>
          <w:tcPr>
            <w:tcW w:w="1663" w:type="dxa"/>
            <w:shd w:val="clear" w:color="auto" w:fill="E6E6E6"/>
            <w:vAlign w:val="center"/>
          </w:tcPr>
          <w:p w14:paraId="206CF95A" w14:textId="77777777" w:rsidR="00072C03" w:rsidRPr="001C01EA" w:rsidRDefault="00072C03" w:rsidP="00246367">
            <w:pPr>
              <w:spacing w:before="40" w:after="20"/>
              <w:jc w:val="center"/>
              <w:rPr>
                <w:rFonts w:ascii="Arial Narrow" w:hAnsi="Arial Narrow" w:cs="Arial"/>
                <w:bCs/>
                <w:sz w:val="18"/>
                <w:szCs w:val="18"/>
              </w:rPr>
            </w:pPr>
            <w:r>
              <w:rPr>
                <w:rFonts w:ascii="Arial Narrow" w:hAnsi="Arial Narrow" w:cs="Arial"/>
                <w:bCs/>
                <w:sz w:val="18"/>
                <w:szCs w:val="18"/>
              </w:rPr>
              <w:t>Tendenziali</w:t>
            </w:r>
          </w:p>
        </w:tc>
        <w:tc>
          <w:tcPr>
            <w:tcW w:w="1716" w:type="dxa"/>
            <w:vAlign w:val="center"/>
          </w:tcPr>
          <w:p w14:paraId="0FA6AAB8" w14:textId="77777777" w:rsidR="00072C03" w:rsidRPr="001C01EA" w:rsidRDefault="00072C03" w:rsidP="00246367">
            <w:pPr>
              <w:spacing w:before="40" w:after="20"/>
              <w:jc w:val="center"/>
              <w:rPr>
                <w:rFonts w:ascii="Arial Narrow" w:hAnsi="Arial Narrow" w:cs="Arial"/>
                <w:bCs/>
                <w:sz w:val="18"/>
                <w:szCs w:val="18"/>
              </w:rPr>
            </w:pPr>
            <w:r>
              <w:rPr>
                <w:rFonts w:ascii="Arial Narrow" w:hAnsi="Arial Narrow" w:cs="Arial"/>
                <w:bCs/>
                <w:sz w:val="18"/>
                <w:szCs w:val="18"/>
              </w:rPr>
              <w:t>Congiunturali</w:t>
            </w:r>
          </w:p>
        </w:tc>
      </w:tr>
      <w:tr w:rsidR="00BF2B76" w:rsidRPr="00C201C1" w14:paraId="1FF33F6B" w14:textId="77777777" w:rsidTr="00A000A2">
        <w:trPr>
          <w:trHeight w:val="255"/>
        </w:trPr>
        <w:tc>
          <w:tcPr>
            <w:tcW w:w="1698" w:type="dxa"/>
            <w:shd w:val="clear" w:color="auto" w:fill="E6E6E6"/>
            <w:vAlign w:val="center"/>
          </w:tcPr>
          <w:p w14:paraId="6DF9318F" w14:textId="0BDFD2E7" w:rsidR="00BF2B76" w:rsidRPr="00687873" w:rsidRDefault="00BF2B76" w:rsidP="00BF2B76">
            <w:pPr>
              <w:spacing w:before="40" w:after="20"/>
              <w:jc w:val="center"/>
              <w:rPr>
                <w:rFonts w:ascii="Arial Narrow" w:hAnsi="Arial Narrow" w:cs="Arial"/>
                <w:bCs/>
                <w:sz w:val="18"/>
                <w:szCs w:val="18"/>
              </w:rPr>
            </w:pPr>
            <w:r>
              <w:rPr>
                <w:rFonts w:ascii="Arial Narrow" w:hAnsi="Arial Narrow" w:cs="Arial"/>
                <w:color w:val="000000"/>
                <w:sz w:val="18"/>
                <w:szCs w:val="18"/>
              </w:rPr>
              <w:t>0,0</w:t>
            </w:r>
          </w:p>
        </w:tc>
        <w:tc>
          <w:tcPr>
            <w:tcW w:w="1697" w:type="dxa"/>
            <w:vAlign w:val="center"/>
          </w:tcPr>
          <w:p w14:paraId="0BEF24E7" w14:textId="3F2F6DD7" w:rsidR="00BF2B76" w:rsidRPr="00687873" w:rsidRDefault="00BF2B76" w:rsidP="00BF2B76">
            <w:pPr>
              <w:spacing w:before="40" w:after="20"/>
              <w:jc w:val="center"/>
              <w:rPr>
                <w:rFonts w:ascii="Arial Narrow" w:hAnsi="Arial Narrow" w:cs="Arial"/>
                <w:bCs/>
                <w:sz w:val="18"/>
                <w:szCs w:val="18"/>
              </w:rPr>
            </w:pPr>
            <w:r>
              <w:rPr>
                <w:rFonts w:ascii="Arial Narrow" w:hAnsi="Arial Narrow" w:cs="Arial"/>
                <w:color w:val="000000"/>
                <w:sz w:val="18"/>
                <w:szCs w:val="18"/>
              </w:rPr>
              <w:t>0,0</w:t>
            </w:r>
          </w:p>
        </w:tc>
        <w:tc>
          <w:tcPr>
            <w:tcW w:w="1645" w:type="dxa"/>
            <w:shd w:val="clear" w:color="auto" w:fill="E6E6E6"/>
            <w:vAlign w:val="center"/>
          </w:tcPr>
          <w:p w14:paraId="70675F66" w14:textId="1C02CC27" w:rsidR="00BF2B76" w:rsidRPr="00687873" w:rsidRDefault="00BF2B76" w:rsidP="00BF2B76">
            <w:pPr>
              <w:spacing w:before="40" w:after="20"/>
              <w:jc w:val="center"/>
              <w:rPr>
                <w:rFonts w:ascii="Arial Narrow" w:hAnsi="Arial Narrow" w:cs="Arial"/>
                <w:bCs/>
                <w:sz w:val="18"/>
                <w:szCs w:val="18"/>
              </w:rPr>
            </w:pPr>
            <w:r>
              <w:rPr>
                <w:rFonts w:ascii="Arial Narrow" w:hAnsi="Arial Narrow" w:cs="Arial"/>
                <w:color w:val="000000"/>
                <w:sz w:val="18"/>
                <w:szCs w:val="18"/>
              </w:rPr>
              <w:t>0,0</w:t>
            </w:r>
          </w:p>
        </w:tc>
        <w:tc>
          <w:tcPr>
            <w:tcW w:w="1787" w:type="dxa"/>
            <w:vAlign w:val="center"/>
          </w:tcPr>
          <w:p w14:paraId="48C3AFB6" w14:textId="74B6D215" w:rsidR="00BF2B76" w:rsidRPr="00687873" w:rsidRDefault="00BF2B76" w:rsidP="00BF2B76">
            <w:pPr>
              <w:spacing w:before="40" w:after="20"/>
              <w:jc w:val="center"/>
              <w:rPr>
                <w:rFonts w:ascii="Arial Narrow" w:hAnsi="Arial Narrow" w:cs="Arial"/>
                <w:bCs/>
                <w:sz w:val="18"/>
                <w:szCs w:val="18"/>
              </w:rPr>
            </w:pPr>
            <w:r>
              <w:rPr>
                <w:rFonts w:ascii="Arial Narrow" w:hAnsi="Arial Narrow" w:cs="Arial"/>
                <w:color w:val="000000"/>
                <w:sz w:val="18"/>
                <w:szCs w:val="18"/>
              </w:rPr>
              <w:t>0,0</w:t>
            </w:r>
          </w:p>
        </w:tc>
        <w:tc>
          <w:tcPr>
            <w:tcW w:w="1663" w:type="dxa"/>
            <w:shd w:val="clear" w:color="auto" w:fill="E6E6E6"/>
            <w:vAlign w:val="center"/>
          </w:tcPr>
          <w:p w14:paraId="1638A313" w14:textId="216D60EC" w:rsidR="00BF2B76" w:rsidRPr="00687873" w:rsidRDefault="00BF2B76" w:rsidP="00BF2B76">
            <w:pPr>
              <w:spacing w:before="40" w:after="20"/>
              <w:jc w:val="center"/>
              <w:rPr>
                <w:rFonts w:ascii="Arial Narrow" w:hAnsi="Arial Narrow" w:cs="Arial"/>
                <w:bCs/>
                <w:sz w:val="18"/>
                <w:szCs w:val="18"/>
              </w:rPr>
            </w:pPr>
            <w:r>
              <w:rPr>
                <w:rFonts w:ascii="Arial Narrow" w:hAnsi="Arial Narrow" w:cs="Arial"/>
                <w:color w:val="000000"/>
                <w:sz w:val="18"/>
                <w:szCs w:val="18"/>
              </w:rPr>
              <w:t>0,0</w:t>
            </w:r>
          </w:p>
        </w:tc>
        <w:tc>
          <w:tcPr>
            <w:tcW w:w="1716" w:type="dxa"/>
            <w:vAlign w:val="center"/>
          </w:tcPr>
          <w:p w14:paraId="15D4CE19" w14:textId="3F3B7A7C" w:rsidR="00BF2B76" w:rsidRPr="00687873" w:rsidRDefault="00BF2B76" w:rsidP="00BF2B76">
            <w:pPr>
              <w:spacing w:before="40" w:after="20"/>
              <w:jc w:val="center"/>
              <w:rPr>
                <w:rFonts w:ascii="Arial Narrow" w:hAnsi="Arial Narrow" w:cs="Arial"/>
                <w:bCs/>
                <w:sz w:val="18"/>
                <w:szCs w:val="18"/>
              </w:rPr>
            </w:pPr>
            <w:r>
              <w:rPr>
                <w:rFonts w:ascii="Arial Narrow" w:hAnsi="Arial Narrow" w:cs="Arial"/>
                <w:color w:val="000000"/>
                <w:sz w:val="18"/>
                <w:szCs w:val="18"/>
              </w:rPr>
              <w:t>0,0</w:t>
            </w:r>
          </w:p>
        </w:tc>
      </w:tr>
    </w:tbl>
    <w:p w14:paraId="6E9D0DB5" w14:textId="77777777" w:rsidR="009B2E91" w:rsidRDefault="009B2E91" w:rsidP="009B2E91">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b/>
          <w:spacing w:val="-3"/>
        </w:rPr>
      </w:pPr>
    </w:p>
    <w:p w14:paraId="1A23CB3F" w14:textId="00052285" w:rsidR="00A1647D" w:rsidRDefault="00A1647D" w:rsidP="009B2E91">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b/>
          <w:spacing w:val="-3"/>
        </w:rPr>
      </w:pPr>
    </w:p>
    <w:p w14:paraId="6009F9C4" w14:textId="1BF5F382" w:rsidR="000D6036" w:rsidRDefault="000D6036" w:rsidP="009B2E91">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b/>
          <w:spacing w:val="-3"/>
        </w:rPr>
      </w:pPr>
    </w:p>
    <w:p w14:paraId="73F3F4BF" w14:textId="2BA9700A" w:rsidR="000D6036" w:rsidRPr="00FF4F6A" w:rsidRDefault="000D6036" w:rsidP="000D6036">
      <w:pPr>
        <w:pStyle w:val="Corpodeltesto1"/>
        <w:spacing w:after="60"/>
        <w:jc w:val="left"/>
        <w:rPr>
          <w:rFonts w:ascii="Arial Narrow" w:hAnsi="Arial Narrow" w:cs="Arial"/>
          <w:b w:val="0"/>
          <w:color w:val="5F5F5F"/>
          <w:kern w:val="28"/>
          <w:sz w:val="20"/>
          <w:szCs w:val="20"/>
        </w:rPr>
      </w:pPr>
    </w:p>
    <w:p w14:paraId="458B8271" w14:textId="77777777" w:rsidR="000D6036" w:rsidRDefault="000D6036" w:rsidP="009B2E91">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b/>
          <w:spacing w:val="-3"/>
        </w:rPr>
        <w:sectPr w:rsidR="000D6036" w:rsidSect="009B2E91">
          <w:headerReference w:type="default" r:id="rId41"/>
          <w:pgSz w:w="11907" w:h="16840" w:code="9"/>
          <w:pgMar w:top="1534" w:right="851" w:bottom="680" w:left="851" w:header="567" w:footer="567" w:gutter="0"/>
          <w:cols w:space="720"/>
          <w:noEndnote/>
          <w:docGrid w:linePitch="272"/>
        </w:sectPr>
      </w:pPr>
    </w:p>
    <w:p w14:paraId="6A38F857" w14:textId="77777777" w:rsidR="000B233D" w:rsidRPr="000B233D" w:rsidRDefault="000B233D" w:rsidP="00CC2949">
      <w:pPr>
        <w:ind w:right="57"/>
        <w:jc w:val="both"/>
        <w:rPr>
          <w:rFonts w:ascii="Arial" w:hAnsi="Arial" w:cs="Arial"/>
          <w:b/>
          <w:bCs/>
        </w:rPr>
      </w:pPr>
    </w:p>
    <w:p w14:paraId="269C143F" w14:textId="77777777" w:rsidR="006B1C0B" w:rsidRPr="00C9631A" w:rsidRDefault="006B1C0B" w:rsidP="00E74CD4">
      <w:pPr>
        <w:spacing w:after="120"/>
        <w:jc w:val="both"/>
        <w:rPr>
          <w:rFonts w:ascii="Arial" w:hAnsi="Arial" w:cs="Arial"/>
          <w:sz w:val="20"/>
          <w:szCs w:val="20"/>
        </w:rPr>
      </w:pPr>
      <w:r w:rsidRPr="00C9631A">
        <w:rPr>
          <w:rFonts w:ascii="Arial" w:hAnsi="Arial" w:cs="Arial"/>
          <w:b/>
          <w:sz w:val="20"/>
          <w:szCs w:val="20"/>
        </w:rPr>
        <w:t>Beni di consumo durevoli</w:t>
      </w:r>
      <w:r w:rsidRPr="00C9631A">
        <w:rPr>
          <w:rFonts w:ascii="Arial" w:hAnsi="Arial" w:cs="Arial"/>
          <w:sz w:val="20"/>
          <w:szCs w:val="20"/>
        </w:rPr>
        <w:t>: includono, tra gli altri, la fabbricazione di apparecchi per uso domestico, la fabbricazione di mobili, motocicli, la fabbricazione di apparecchi per la riproduzione del suono e dell’immagine.</w:t>
      </w:r>
    </w:p>
    <w:p w14:paraId="4CC18B47" w14:textId="77777777" w:rsidR="006B1C0B" w:rsidRPr="00C9631A" w:rsidRDefault="006B1C0B" w:rsidP="00E74CD4">
      <w:pPr>
        <w:spacing w:after="120"/>
        <w:jc w:val="both"/>
        <w:rPr>
          <w:rFonts w:ascii="Arial" w:hAnsi="Arial" w:cs="Arial"/>
          <w:sz w:val="20"/>
          <w:szCs w:val="20"/>
        </w:rPr>
      </w:pPr>
      <w:r w:rsidRPr="00C9631A">
        <w:rPr>
          <w:rFonts w:ascii="Arial" w:hAnsi="Arial" w:cs="Arial"/>
          <w:b/>
          <w:sz w:val="20"/>
          <w:szCs w:val="20"/>
        </w:rPr>
        <w:t>Beni di consumo non durevoli</w:t>
      </w:r>
      <w:r w:rsidRPr="00C9631A">
        <w:rPr>
          <w:rFonts w:ascii="Arial" w:hAnsi="Arial" w:cs="Arial"/>
          <w:sz w:val="20"/>
          <w:szCs w:val="20"/>
        </w:rPr>
        <w:t>: includono, tra gli altri, la produzione, la lavorazione e la conservazione di prodotti alimentari e bevande, alcune industrie tessili, la fabbricazione di prodotti farmaceutici.</w:t>
      </w:r>
    </w:p>
    <w:p w14:paraId="38090D31" w14:textId="77777777" w:rsidR="006B1C0B" w:rsidRPr="00C9631A" w:rsidRDefault="006B1C0B" w:rsidP="00E74CD4">
      <w:pPr>
        <w:spacing w:after="120"/>
        <w:jc w:val="both"/>
        <w:rPr>
          <w:rFonts w:ascii="Arial" w:hAnsi="Arial" w:cs="Arial"/>
          <w:sz w:val="20"/>
          <w:szCs w:val="20"/>
        </w:rPr>
      </w:pPr>
      <w:r w:rsidRPr="00C9631A">
        <w:rPr>
          <w:rFonts w:ascii="Arial" w:hAnsi="Arial" w:cs="Arial"/>
          <w:b/>
          <w:sz w:val="20"/>
          <w:szCs w:val="20"/>
        </w:rPr>
        <w:t>Beni intermedi</w:t>
      </w:r>
      <w:r w:rsidRPr="00C9631A">
        <w:rPr>
          <w:rFonts w:ascii="Arial" w:hAnsi="Arial" w:cs="Arial"/>
          <w:sz w:val="20"/>
          <w:szCs w:val="20"/>
        </w:rPr>
        <w:t>: includono, tra gli altri, la fabbricazione di prodotti chimici, la fabbricazione di metalli e prodotti in metallo, la fabbricazione di apparecchi elettrici, l’industria del legno, la fabbricazione di tessuti.</w:t>
      </w:r>
    </w:p>
    <w:p w14:paraId="4E4BE7F1" w14:textId="77777777" w:rsidR="006B1C0B" w:rsidRPr="00C9631A" w:rsidRDefault="006B1C0B" w:rsidP="00E74CD4">
      <w:pPr>
        <w:spacing w:after="120"/>
        <w:jc w:val="both"/>
        <w:rPr>
          <w:rFonts w:ascii="Arial" w:hAnsi="Arial" w:cs="Arial"/>
          <w:sz w:val="20"/>
          <w:szCs w:val="20"/>
        </w:rPr>
      </w:pPr>
      <w:r w:rsidRPr="00C9631A">
        <w:rPr>
          <w:rFonts w:ascii="Arial" w:hAnsi="Arial" w:cs="Arial"/>
          <w:b/>
          <w:sz w:val="20"/>
          <w:szCs w:val="20"/>
        </w:rPr>
        <w:t>Beni strumentali</w:t>
      </w:r>
      <w:r w:rsidRPr="00C9631A">
        <w:rPr>
          <w:rFonts w:ascii="Arial" w:hAnsi="Arial" w:cs="Arial"/>
          <w:sz w:val="20"/>
          <w:szCs w:val="20"/>
        </w:rPr>
        <w:t>: includono, tra gli altri, la fabbricazione di macchine e motori, la fabbricazione di strumenti e apparecchi di misurazione e controllo, la fabbricazione di autoveicoli.</w:t>
      </w:r>
    </w:p>
    <w:p w14:paraId="510DEBE8" w14:textId="77777777" w:rsidR="006B1C0B" w:rsidRPr="00C9631A" w:rsidRDefault="006B1C0B" w:rsidP="00E74CD4">
      <w:pPr>
        <w:pStyle w:val="Corpodeltesto1"/>
        <w:spacing w:after="120"/>
        <w:rPr>
          <w:rFonts w:ascii="Arial" w:hAnsi="Arial" w:cs="Arial"/>
          <w:b w:val="0"/>
          <w:bCs/>
          <w:sz w:val="20"/>
          <w:szCs w:val="20"/>
        </w:rPr>
      </w:pPr>
      <w:r w:rsidRPr="00C9631A">
        <w:rPr>
          <w:rFonts w:ascii="Arial" w:hAnsi="Arial" w:cs="Arial"/>
          <w:bCs/>
          <w:sz w:val="20"/>
          <w:szCs w:val="20"/>
        </w:rPr>
        <w:t>Contributo alla variazione tendenziale</w:t>
      </w:r>
      <w:r w:rsidRPr="00C9631A">
        <w:rPr>
          <w:rFonts w:ascii="Arial" w:hAnsi="Arial" w:cs="Arial"/>
          <w:b w:val="0"/>
          <w:bCs/>
          <w:sz w:val="20"/>
          <w:szCs w:val="20"/>
        </w:rPr>
        <w:t xml:space="preserve">: misura l’incidenza delle variazioni delle importazioni e delle esportazioni dei singoli aggregati merceologici o geografici sull’aumento o sulla diminuzione dei flussi aggregati. </w:t>
      </w:r>
    </w:p>
    <w:p w14:paraId="1E1FF794" w14:textId="77777777" w:rsidR="006B1C0B" w:rsidRPr="00C9631A" w:rsidRDefault="006B1C0B" w:rsidP="00E74CD4">
      <w:pPr>
        <w:spacing w:after="120"/>
        <w:ind w:right="23"/>
        <w:jc w:val="both"/>
        <w:rPr>
          <w:rFonts w:ascii="Arial" w:hAnsi="Arial" w:cs="Arial"/>
          <w:b/>
          <w:sz w:val="20"/>
          <w:szCs w:val="20"/>
        </w:rPr>
      </w:pPr>
      <w:r w:rsidRPr="00C9631A">
        <w:rPr>
          <w:rFonts w:ascii="Arial" w:hAnsi="Arial" w:cs="Arial"/>
          <w:b/>
          <w:bCs/>
          <w:sz w:val="20"/>
          <w:szCs w:val="20"/>
        </w:rPr>
        <w:t>Dati corretti per gli effetti di calendario</w:t>
      </w:r>
      <w:r w:rsidRPr="00C9631A">
        <w:rPr>
          <w:rFonts w:ascii="Arial" w:hAnsi="Arial" w:cs="Arial"/>
          <w:bCs/>
          <w:sz w:val="20"/>
          <w:szCs w:val="20"/>
        </w:rPr>
        <w:t>: dati depurati, mediante apposite tecniche statistiche, dalla variabilità attribuibile alla composizione del calendario nei singoli periodi (mesi o trimestri) dell’anno, dovuta al diverso numero di giorni lavorativi o di giorni specifici della settimana in essi contenuti, nonché dell’anno bisestile. Il ricorso a tale trasformazione dei dati consente di cogliere in maniera più adeguata sia le variazioni tendenziali (calcolate rispetto allo stesso periodo dell'anno precedente), sia le variazioni medie annue.</w:t>
      </w:r>
    </w:p>
    <w:p w14:paraId="4B69A981" w14:textId="77777777" w:rsidR="006B1C0B" w:rsidRPr="00C9631A" w:rsidRDefault="006B1C0B" w:rsidP="00E74CD4">
      <w:pPr>
        <w:spacing w:after="120"/>
        <w:ind w:right="23"/>
        <w:jc w:val="both"/>
        <w:rPr>
          <w:rFonts w:ascii="Arial" w:hAnsi="Arial" w:cs="Arial"/>
          <w:sz w:val="20"/>
          <w:szCs w:val="20"/>
        </w:rPr>
      </w:pPr>
      <w:r w:rsidRPr="00C9631A">
        <w:rPr>
          <w:rFonts w:ascii="Arial" w:hAnsi="Arial" w:cs="Arial"/>
          <w:b/>
          <w:sz w:val="20"/>
          <w:szCs w:val="20"/>
        </w:rPr>
        <w:t>Dati destagionalizzati</w:t>
      </w:r>
      <w:r w:rsidRPr="00C9631A">
        <w:rPr>
          <w:rFonts w:ascii="Arial" w:hAnsi="Arial" w:cs="Arial"/>
          <w:sz w:val="20"/>
          <w:szCs w:val="20"/>
        </w:rPr>
        <w:t>:</w:t>
      </w:r>
      <w:r w:rsidRPr="00C9631A">
        <w:rPr>
          <w:rFonts w:ascii="Arial" w:hAnsi="Arial" w:cs="Arial"/>
          <w:b/>
          <w:sz w:val="20"/>
          <w:szCs w:val="20"/>
        </w:rPr>
        <w:t xml:space="preserve"> </w:t>
      </w:r>
      <w:r w:rsidRPr="00C9631A">
        <w:rPr>
          <w:rFonts w:ascii="Arial" w:hAnsi="Arial" w:cs="Arial"/>
          <w:sz w:val="20"/>
          <w:szCs w:val="20"/>
        </w:rPr>
        <w:t>dati depurati, mediante apposite tecniche statistiche, dalle fluttuazioni attribuibili alla componente stagionale (dovute a fattori meteorologici, consuetudinari, legislativi, ecc.) e, se significativi, dagli effetti di calendario. Questa trasformazione dei dati è la più idonea a cogliere l’evoluzione congiunturale di un indicatore.</w:t>
      </w:r>
    </w:p>
    <w:p w14:paraId="2F98914E" w14:textId="77777777" w:rsidR="006B1C0B" w:rsidRPr="00C9631A" w:rsidRDefault="006B1C0B" w:rsidP="00E74CD4">
      <w:pPr>
        <w:spacing w:after="120"/>
        <w:jc w:val="both"/>
        <w:rPr>
          <w:rFonts w:ascii="Arial" w:hAnsi="Arial" w:cs="Arial"/>
          <w:sz w:val="20"/>
          <w:szCs w:val="20"/>
        </w:rPr>
      </w:pPr>
      <w:r w:rsidRPr="00C9631A">
        <w:rPr>
          <w:rFonts w:ascii="Arial" w:hAnsi="Arial" w:cs="Arial"/>
          <w:b/>
          <w:sz w:val="20"/>
          <w:szCs w:val="20"/>
        </w:rPr>
        <w:t>Energia</w:t>
      </w:r>
      <w:r w:rsidRPr="00C9631A">
        <w:rPr>
          <w:rFonts w:ascii="Arial" w:hAnsi="Arial" w:cs="Arial"/>
          <w:sz w:val="20"/>
          <w:szCs w:val="20"/>
        </w:rPr>
        <w:t>:</w:t>
      </w:r>
      <w:r w:rsidRPr="00C9631A">
        <w:rPr>
          <w:rFonts w:ascii="Arial" w:hAnsi="Arial" w:cs="Arial"/>
          <w:b/>
          <w:sz w:val="20"/>
          <w:szCs w:val="20"/>
        </w:rPr>
        <w:t xml:space="preserve"> </w:t>
      </w:r>
      <w:r w:rsidRPr="00C9631A">
        <w:rPr>
          <w:rFonts w:ascii="Arial" w:hAnsi="Arial" w:cs="Arial"/>
          <w:sz w:val="20"/>
          <w:szCs w:val="20"/>
        </w:rPr>
        <w:t>include l’industria estrattiva di materie prime energetiche (petrolio, gas naturale, lignite), l’industria della raffinazione, la produzione di energia elettrica, gas e acqua, vapore, la raccolta, depurazione e distribuzione dell’acqua.</w:t>
      </w:r>
    </w:p>
    <w:p w14:paraId="0B0B3634" w14:textId="77777777" w:rsidR="006B1C0B" w:rsidRPr="00C9631A" w:rsidRDefault="006B1C0B" w:rsidP="00E74CD4">
      <w:pPr>
        <w:spacing w:after="120"/>
        <w:ind w:right="23"/>
        <w:jc w:val="both"/>
        <w:rPr>
          <w:rFonts w:ascii="Arial" w:hAnsi="Arial" w:cs="Arial"/>
          <w:sz w:val="20"/>
          <w:szCs w:val="20"/>
        </w:rPr>
      </w:pPr>
      <w:r w:rsidRPr="00C9631A">
        <w:rPr>
          <w:rFonts w:ascii="Arial" w:hAnsi="Arial" w:cs="Arial"/>
          <w:b/>
          <w:sz w:val="20"/>
          <w:szCs w:val="20"/>
        </w:rPr>
        <w:t>Esportazioni</w:t>
      </w:r>
      <w:r w:rsidRPr="00C9631A">
        <w:rPr>
          <w:rFonts w:ascii="Arial" w:hAnsi="Arial" w:cs="Arial"/>
          <w:sz w:val="20"/>
          <w:szCs w:val="20"/>
        </w:rPr>
        <w:t>: includono tutti i beni (nazionali o nazionalizzati, nuovi o usati) che, a titolo oneroso o gratuito, escono dal territorio economico del Paese per essere destinati al resto del mondo. Esse sono valutate al valore Fob (free on board), che corrisponde al prezzo di mercato alla frontiera del Paese esportatore. Questo prezzo comprende il prezzo ex-fabrica, i margini commerciali, le spese di trasporto internazionale e gli eventuali diritti all'esportazione.</w:t>
      </w:r>
    </w:p>
    <w:p w14:paraId="482B2CB3" w14:textId="77777777" w:rsidR="006B1C0B" w:rsidRPr="00C9631A" w:rsidRDefault="006B1C0B" w:rsidP="00E74CD4">
      <w:pPr>
        <w:pStyle w:val="NormaleWeb"/>
        <w:spacing w:beforeAutospacing="0" w:after="120" w:afterAutospacing="0"/>
        <w:jc w:val="both"/>
        <w:rPr>
          <w:rFonts w:ascii="Arial" w:hAnsi="Arial" w:cs="Arial"/>
          <w:sz w:val="20"/>
          <w:szCs w:val="20"/>
        </w:rPr>
      </w:pPr>
      <w:r w:rsidRPr="00C9631A">
        <w:rPr>
          <w:rFonts w:ascii="Arial" w:hAnsi="Arial" w:cs="Arial"/>
          <w:b/>
          <w:sz w:val="20"/>
          <w:szCs w:val="20"/>
          <w:lang w:eastAsia="ar-SA"/>
        </w:rPr>
        <w:t>Importazioni</w:t>
      </w:r>
      <w:r w:rsidRPr="00C9631A">
        <w:rPr>
          <w:rFonts w:ascii="Arial" w:hAnsi="Arial" w:cs="Arial"/>
          <w:bCs/>
          <w:sz w:val="20"/>
          <w:szCs w:val="20"/>
          <w:lang w:eastAsia="ar-SA"/>
        </w:rPr>
        <w:t>:</w:t>
      </w:r>
      <w:r w:rsidRPr="00C9631A">
        <w:rPr>
          <w:rFonts w:ascii="Arial" w:hAnsi="Arial" w:cs="Arial"/>
          <w:sz w:val="20"/>
          <w:szCs w:val="20"/>
          <w:lang w:eastAsia="ar-SA"/>
        </w:rPr>
        <w:t xml:space="preserve"> comprendono tutti i beni (nuovi o usati) che, a titolo oneroso o gratuito, entrano nel territorio economico del Paese in provenienza dal Resto del mondo. Esse sono valutate al valore Cif (cost, insurance, freight), che comprende: il valore Fob dei beni, le spese di trasporto e le attività assicurative tra la frontiera del Paese esportatore e la frontiera del Paese importatore.</w:t>
      </w:r>
    </w:p>
    <w:p w14:paraId="3B5EB7A1" w14:textId="77777777" w:rsidR="006B1C0B" w:rsidRPr="00C9631A" w:rsidRDefault="006B1C0B" w:rsidP="00E74CD4">
      <w:pPr>
        <w:spacing w:after="120"/>
        <w:jc w:val="both"/>
        <w:rPr>
          <w:rFonts w:ascii="Arial" w:hAnsi="Arial" w:cs="Arial"/>
          <w:sz w:val="20"/>
          <w:szCs w:val="20"/>
        </w:rPr>
      </w:pPr>
      <w:r w:rsidRPr="00C9631A">
        <w:rPr>
          <w:rFonts w:ascii="Arial" w:hAnsi="Arial" w:cs="Arial"/>
          <w:b/>
          <w:bCs/>
          <w:sz w:val="20"/>
          <w:szCs w:val="20"/>
        </w:rPr>
        <w:t>Indice dei prezzi all’importazione</w:t>
      </w:r>
      <w:r w:rsidRPr="00C9631A">
        <w:rPr>
          <w:rFonts w:ascii="Arial" w:hAnsi="Arial" w:cs="Arial"/>
          <w:bCs/>
          <w:sz w:val="20"/>
          <w:szCs w:val="20"/>
        </w:rPr>
        <w:t>:</w:t>
      </w:r>
      <w:r w:rsidRPr="00C9631A">
        <w:rPr>
          <w:rFonts w:ascii="Arial" w:hAnsi="Arial" w:cs="Arial"/>
          <w:b/>
          <w:bCs/>
          <w:sz w:val="20"/>
          <w:szCs w:val="20"/>
        </w:rPr>
        <w:t xml:space="preserve"> </w:t>
      </w:r>
      <w:r w:rsidRPr="00C9631A">
        <w:rPr>
          <w:rFonts w:ascii="Arial" w:hAnsi="Arial" w:cs="Arial"/>
          <w:sz w:val="20"/>
          <w:szCs w:val="20"/>
        </w:rPr>
        <w:t>indicatore mensile che misura le variazioni nel tempo dei prezzi all’importazione di un paniere rappresentativo dei principali prodotti industriali importati da imprese dell’industria e del commercio. I prezzi si riferiscono ai prodotti industriali importati da imprese (la cui attività economica prevalente nelle sezioni B, C, D, E, G della classificazione Ateco 2007 derivata dalla Nace Rev.2) situate sul territorio nazionale. L’indicatore è definito dal Regolamento delle Statistiche economiche congiunturali STS (CE) 1158/2005.</w:t>
      </w:r>
    </w:p>
    <w:p w14:paraId="3BB764D8" w14:textId="77777777" w:rsidR="006B1C0B" w:rsidRPr="00C9631A" w:rsidRDefault="006B1C0B" w:rsidP="00E74CD4">
      <w:pPr>
        <w:spacing w:after="120"/>
        <w:jc w:val="both"/>
        <w:rPr>
          <w:rFonts w:ascii="Arial" w:hAnsi="Arial" w:cs="Arial"/>
          <w:bCs/>
          <w:sz w:val="20"/>
          <w:szCs w:val="20"/>
        </w:rPr>
      </w:pPr>
      <w:r w:rsidRPr="00C9631A">
        <w:rPr>
          <w:rFonts w:ascii="Arial" w:hAnsi="Arial" w:cs="Arial"/>
          <w:b/>
          <w:bCs/>
          <w:sz w:val="20"/>
          <w:szCs w:val="20"/>
        </w:rPr>
        <w:t xml:space="preserve">Indice dei prezzi all’importazione </w:t>
      </w:r>
      <w:r w:rsidRPr="00C9631A">
        <w:rPr>
          <w:rFonts w:ascii="Arial" w:hAnsi="Arial" w:cs="Arial"/>
          <w:b/>
          <w:sz w:val="20"/>
          <w:szCs w:val="20"/>
        </w:rPr>
        <w:t>al netto dell’energia</w:t>
      </w:r>
      <w:r w:rsidRPr="00C9631A">
        <w:rPr>
          <w:rFonts w:ascii="Arial" w:hAnsi="Arial" w:cs="Arial"/>
          <w:sz w:val="20"/>
          <w:szCs w:val="20"/>
        </w:rPr>
        <w:t>:</w:t>
      </w:r>
      <w:r w:rsidRPr="00C9631A">
        <w:rPr>
          <w:rFonts w:ascii="Arial" w:hAnsi="Arial" w:cs="Arial"/>
          <w:b/>
          <w:sz w:val="20"/>
          <w:szCs w:val="20"/>
        </w:rPr>
        <w:t xml:space="preserve"> </w:t>
      </w:r>
      <w:r w:rsidRPr="00C9631A">
        <w:rPr>
          <w:rFonts w:ascii="Arial" w:hAnsi="Arial" w:cs="Arial"/>
          <w:sz w:val="20"/>
          <w:szCs w:val="20"/>
        </w:rPr>
        <w:t xml:space="preserve">misura la componente di fondo dell’indice </w:t>
      </w:r>
      <w:r w:rsidRPr="00C9631A">
        <w:rPr>
          <w:rFonts w:ascii="Arial" w:hAnsi="Arial" w:cs="Arial"/>
          <w:bCs/>
          <w:sz w:val="20"/>
          <w:szCs w:val="20"/>
        </w:rPr>
        <w:t>aggregato, calcolata al netto del Raggruppamento principale di industria Energia.</w:t>
      </w:r>
    </w:p>
    <w:p w14:paraId="05A485A5" w14:textId="77777777" w:rsidR="006B1C0B" w:rsidRPr="00C9631A" w:rsidRDefault="006B1C0B" w:rsidP="00E74CD4">
      <w:pPr>
        <w:spacing w:after="120"/>
        <w:jc w:val="both"/>
        <w:rPr>
          <w:rFonts w:ascii="Arial" w:hAnsi="Arial" w:cs="Arial"/>
          <w:sz w:val="20"/>
          <w:szCs w:val="20"/>
        </w:rPr>
      </w:pPr>
      <w:r w:rsidRPr="00C9631A">
        <w:rPr>
          <w:rFonts w:ascii="Arial" w:hAnsi="Arial" w:cs="Arial"/>
          <w:b/>
          <w:bCs/>
          <w:sz w:val="20"/>
          <w:szCs w:val="20"/>
        </w:rPr>
        <w:t>Indice totale dei prezzi all’importazione</w:t>
      </w:r>
      <w:r w:rsidRPr="00C9631A">
        <w:rPr>
          <w:rFonts w:ascii="Arial" w:hAnsi="Arial" w:cs="Arial"/>
          <w:bCs/>
          <w:sz w:val="20"/>
          <w:szCs w:val="20"/>
        </w:rPr>
        <w:t>:</w:t>
      </w:r>
      <w:r w:rsidRPr="00C9631A">
        <w:rPr>
          <w:rFonts w:ascii="Arial" w:hAnsi="Arial" w:cs="Arial"/>
          <w:b/>
          <w:bCs/>
          <w:sz w:val="20"/>
          <w:szCs w:val="20"/>
        </w:rPr>
        <w:t xml:space="preserve"> </w:t>
      </w:r>
      <w:r w:rsidRPr="00C9631A">
        <w:rPr>
          <w:rFonts w:ascii="Arial" w:hAnsi="Arial" w:cs="Arial"/>
          <w:sz w:val="20"/>
          <w:szCs w:val="20"/>
        </w:rPr>
        <w:t>indicatore definito dalla media aritmetica ponderata degli indici dei prezzi calcolati sui mercati dell’Area euro e non euro.</w:t>
      </w:r>
    </w:p>
    <w:p w14:paraId="13A7AFE2" w14:textId="77777777" w:rsidR="006B1C0B" w:rsidRPr="00C9631A" w:rsidRDefault="006B1C0B" w:rsidP="00E74CD4">
      <w:pPr>
        <w:spacing w:after="120"/>
        <w:jc w:val="both"/>
        <w:rPr>
          <w:rFonts w:ascii="Arial" w:hAnsi="Arial" w:cs="Arial"/>
          <w:sz w:val="20"/>
          <w:szCs w:val="20"/>
        </w:rPr>
      </w:pPr>
      <w:r w:rsidRPr="00C9631A">
        <w:rPr>
          <w:rFonts w:ascii="Arial" w:hAnsi="Arial" w:cs="Arial"/>
          <w:b/>
          <w:bCs/>
          <w:sz w:val="20"/>
          <w:szCs w:val="20"/>
        </w:rPr>
        <w:t>Merce</w:t>
      </w:r>
      <w:r w:rsidRPr="00C9631A">
        <w:rPr>
          <w:rFonts w:ascii="Arial" w:hAnsi="Arial" w:cs="Arial"/>
          <w:bCs/>
          <w:sz w:val="20"/>
          <w:szCs w:val="20"/>
        </w:rPr>
        <w:t>: tutte le merci che fisicamente transitano la frontier</w:t>
      </w:r>
      <w:r w:rsidR="00E37A51">
        <w:rPr>
          <w:rFonts w:ascii="Arial" w:hAnsi="Arial" w:cs="Arial"/>
          <w:bCs/>
          <w:sz w:val="20"/>
          <w:szCs w:val="20"/>
        </w:rPr>
        <w:t>a</w:t>
      </w:r>
      <w:r w:rsidRPr="00C9631A">
        <w:rPr>
          <w:rFonts w:ascii="Arial" w:hAnsi="Arial" w:cs="Arial"/>
          <w:bCs/>
          <w:sz w:val="20"/>
          <w:szCs w:val="20"/>
        </w:rPr>
        <w:t xml:space="preserve"> nazionale, inclusa l'energia elettrica. Per i movimenti particolari, che includono navi e aerei è utilizzato il principio della proprietà economica.</w:t>
      </w:r>
    </w:p>
    <w:p w14:paraId="231339A2" w14:textId="77777777" w:rsidR="006B1C0B" w:rsidRPr="00C9631A" w:rsidRDefault="006B1C0B" w:rsidP="00E74CD4">
      <w:pPr>
        <w:spacing w:after="120"/>
        <w:ind w:right="20"/>
        <w:jc w:val="both"/>
        <w:rPr>
          <w:rFonts w:ascii="Arial" w:hAnsi="Arial" w:cs="Arial"/>
          <w:sz w:val="20"/>
          <w:szCs w:val="20"/>
        </w:rPr>
      </w:pPr>
      <w:r w:rsidRPr="00C9631A">
        <w:rPr>
          <w:rFonts w:ascii="Arial" w:hAnsi="Arial" w:cs="Arial"/>
          <w:b/>
          <w:sz w:val="20"/>
          <w:szCs w:val="20"/>
        </w:rPr>
        <w:t>Quote di mercato</w:t>
      </w:r>
      <w:r w:rsidRPr="00C9631A">
        <w:rPr>
          <w:rFonts w:ascii="Arial" w:hAnsi="Arial" w:cs="Arial"/>
          <w:sz w:val="20"/>
          <w:szCs w:val="20"/>
        </w:rPr>
        <w:t>:</w:t>
      </w:r>
      <w:r w:rsidRPr="00C9631A">
        <w:rPr>
          <w:rFonts w:ascii="Arial" w:hAnsi="Arial" w:cs="Arial"/>
          <w:b/>
          <w:sz w:val="20"/>
          <w:szCs w:val="20"/>
        </w:rPr>
        <w:t xml:space="preserve"> </w:t>
      </w:r>
      <w:r w:rsidRPr="00C9631A">
        <w:rPr>
          <w:rFonts w:ascii="Arial" w:hAnsi="Arial" w:cs="Arial"/>
          <w:sz w:val="20"/>
          <w:szCs w:val="20"/>
        </w:rPr>
        <w:t xml:space="preserve">rapporto percentuale tra valore delle esportazioni nazionali e valore delle esportazioni di un gruppo di paesi elaborato a partire da dati di fonte Eurostat rispetto all’ultimo periodo di disponibilità dei dati. </w:t>
      </w:r>
    </w:p>
    <w:p w14:paraId="3396CF19" w14:textId="77777777" w:rsidR="006B1C0B" w:rsidRPr="00C9631A" w:rsidRDefault="006B1C0B" w:rsidP="00E74CD4">
      <w:pPr>
        <w:spacing w:after="120"/>
        <w:ind w:right="20"/>
        <w:jc w:val="both"/>
        <w:rPr>
          <w:rFonts w:ascii="Arial" w:hAnsi="Arial" w:cs="Arial"/>
          <w:sz w:val="20"/>
          <w:szCs w:val="20"/>
        </w:rPr>
      </w:pPr>
      <w:r w:rsidRPr="00C9631A">
        <w:rPr>
          <w:rFonts w:ascii="Arial" w:hAnsi="Arial" w:cs="Arial"/>
          <w:b/>
          <w:sz w:val="20"/>
          <w:szCs w:val="20"/>
        </w:rPr>
        <w:t>Raggruppamenti principali di industrie</w:t>
      </w:r>
      <w:r w:rsidRPr="00C9631A">
        <w:rPr>
          <w:rFonts w:ascii="Arial" w:hAnsi="Arial" w:cs="Arial"/>
          <w:sz w:val="20"/>
          <w:szCs w:val="20"/>
        </w:rPr>
        <w:t>:</w:t>
      </w:r>
      <w:r w:rsidRPr="00C9631A">
        <w:rPr>
          <w:rFonts w:ascii="Arial" w:hAnsi="Arial" w:cs="Arial"/>
          <w:b/>
          <w:sz w:val="20"/>
          <w:szCs w:val="20"/>
        </w:rPr>
        <w:t xml:space="preserve"> </w:t>
      </w:r>
      <w:r w:rsidRPr="00C9631A">
        <w:rPr>
          <w:rFonts w:ascii="Arial" w:hAnsi="Arial" w:cs="Arial"/>
          <w:sz w:val="20"/>
          <w:szCs w:val="20"/>
        </w:rPr>
        <w:t>gruppi e/o divisioni di attività economica definiti, secondo il criterio della prevalenza.</w:t>
      </w:r>
    </w:p>
    <w:p w14:paraId="3B93C45B" w14:textId="77777777" w:rsidR="006B1C0B" w:rsidRPr="00C9631A" w:rsidRDefault="006B1C0B" w:rsidP="00E74CD4">
      <w:pPr>
        <w:spacing w:after="120"/>
        <w:jc w:val="both"/>
        <w:rPr>
          <w:rFonts w:ascii="Arial" w:hAnsi="Arial" w:cs="Arial"/>
          <w:sz w:val="20"/>
          <w:szCs w:val="20"/>
        </w:rPr>
      </w:pPr>
      <w:r w:rsidRPr="00C9631A">
        <w:rPr>
          <w:rFonts w:ascii="Arial" w:hAnsi="Arial" w:cs="Arial"/>
          <w:b/>
          <w:sz w:val="20"/>
          <w:szCs w:val="20"/>
        </w:rPr>
        <w:t>Revisioni</w:t>
      </w:r>
      <w:r w:rsidRPr="00C9631A">
        <w:rPr>
          <w:rFonts w:ascii="Arial" w:hAnsi="Arial" w:cs="Arial"/>
          <w:sz w:val="20"/>
          <w:szCs w:val="20"/>
        </w:rPr>
        <w:t>: differenze in punti tra la variazione percentuale pubblicata come dato provvisorio nel precedente comunicato stampa e quella definitiva relativa allo stesso mese di riferimento. Data la complessità merceologica e geografica dei dati di commercio estero, oltre alla revisione mensile, i regolamenti statistici comunitari prevedono che i dati mensili dell’anno t-1 siano ulteriormente rivisti e diffusi nel mese di novembre dell’anno t.</w:t>
      </w:r>
    </w:p>
    <w:p w14:paraId="2EE09B78" w14:textId="77777777" w:rsidR="008028CC" w:rsidRDefault="008028CC" w:rsidP="00E74CD4">
      <w:pPr>
        <w:spacing w:after="120"/>
        <w:jc w:val="both"/>
        <w:rPr>
          <w:rFonts w:ascii="Arial" w:hAnsi="Arial" w:cs="Arial"/>
          <w:b/>
          <w:sz w:val="20"/>
          <w:szCs w:val="20"/>
        </w:rPr>
      </w:pPr>
    </w:p>
    <w:p w14:paraId="79B91E36" w14:textId="77777777" w:rsidR="008028CC" w:rsidRDefault="008028CC" w:rsidP="00E74CD4">
      <w:pPr>
        <w:spacing w:after="120"/>
        <w:jc w:val="both"/>
        <w:rPr>
          <w:rFonts w:ascii="Arial" w:hAnsi="Arial" w:cs="Arial"/>
          <w:b/>
          <w:sz w:val="20"/>
          <w:szCs w:val="20"/>
        </w:rPr>
      </w:pPr>
    </w:p>
    <w:p w14:paraId="4DC8F2BB" w14:textId="77777777" w:rsidR="008028CC" w:rsidRDefault="008028CC" w:rsidP="00E74CD4">
      <w:pPr>
        <w:spacing w:after="120"/>
        <w:jc w:val="both"/>
        <w:rPr>
          <w:rFonts w:ascii="Arial" w:hAnsi="Arial" w:cs="Arial"/>
          <w:b/>
          <w:sz w:val="20"/>
          <w:szCs w:val="20"/>
        </w:rPr>
      </w:pPr>
    </w:p>
    <w:p w14:paraId="3114C62D" w14:textId="77777777" w:rsidR="008028CC" w:rsidRDefault="008028CC" w:rsidP="00E74CD4">
      <w:pPr>
        <w:spacing w:after="120"/>
        <w:jc w:val="both"/>
        <w:rPr>
          <w:rFonts w:ascii="Arial" w:hAnsi="Arial" w:cs="Arial"/>
          <w:b/>
          <w:sz w:val="20"/>
          <w:szCs w:val="20"/>
        </w:rPr>
      </w:pPr>
    </w:p>
    <w:p w14:paraId="050388D0" w14:textId="77777777" w:rsidR="006B1C0B" w:rsidRPr="00C9631A" w:rsidRDefault="006B1C0B" w:rsidP="00E74CD4">
      <w:pPr>
        <w:spacing w:after="120"/>
        <w:jc w:val="both"/>
        <w:rPr>
          <w:rFonts w:ascii="Arial" w:hAnsi="Arial" w:cs="Arial"/>
          <w:b/>
          <w:sz w:val="20"/>
          <w:szCs w:val="20"/>
        </w:rPr>
      </w:pPr>
      <w:r w:rsidRPr="00C9631A">
        <w:rPr>
          <w:rFonts w:ascii="Arial" w:hAnsi="Arial" w:cs="Arial"/>
          <w:b/>
          <w:sz w:val="20"/>
          <w:szCs w:val="20"/>
        </w:rPr>
        <w:t>Settori di attività economica</w:t>
      </w:r>
      <w:r w:rsidRPr="00C9631A">
        <w:rPr>
          <w:rFonts w:ascii="Arial" w:hAnsi="Arial" w:cs="Arial"/>
          <w:sz w:val="20"/>
          <w:szCs w:val="20"/>
        </w:rPr>
        <w:t xml:space="preserve">: aggregati della classificazione </w:t>
      </w:r>
      <w:hyperlink r:id="rId42" w:history="1">
        <w:r w:rsidRPr="00C9631A">
          <w:rPr>
            <w:rStyle w:val="Collegamentoipertestuale"/>
            <w:rFonts w:ascii="Arial" w:hAnsi="Arial" w:cs="Arial"/>
            <w:sz w:val="20"/>
            <w:szCs w:val="20"/>
          </w:rPr>
          <w:t>SNA/ISIC A38</w:t>
        </w:r>
      </w:hyperlink>
      <w:r w:rsidRPr="00C9631A">
        <w:rPr>
          <w:rFonts w:ascii="Arial" w:hAnsi="Arial" w:cs="Arial"/>
          <w:sz w:val="20"/>
          <w:szCs w:val="20"/>
        </w:rPr>
        <w:t xml:space="preserve"> (non previsti dalla classificazione </w:t>
      </w:r>
      <w:hyperlink r:id="rId43" w:history="1">
        <w:r w:rsidRPr="00C9631A">
          <w:rPr>
            <w:rStyle w:val="Collegamentoipertestuale"/>
            <w:rFonts w:ascii="Arial" w:hAnsi="Arial" w:cs="Arial"/>
            <w:sz w:val="20"/>
            <w:szCs w:val="20"/>
          </w:rPr>
          <w:t>Nace Rev.2</w:t>
        </w:r>
      </w:hyperlink>
      <w:r w:rsidRPr="00C9631A">
        <w:rPr>
          <w:rFonts w:ascii="Arial" w:hAnsi="Arial" w:cs="Arial"/>
          <w:sz w:val="20"/>
          <w:szCs w:val="20"/>
        </w:rPr>
        <w:t>) pubblicati per continuità storica con l’informazione fornita prima del gennaio 2009.</w:t>
      </w:r>
    </w:p>
    <w:p w14:paraId="73A44C95" w14:textId="77777777" w:rsidR="006B1C0B" w:rsidRPr="00C9631A" w:rsidRDefault="006B1C0B" w:rsidP="00E74CD4">
      <w:pPr>
        <w:spacing w:after="120"/>
        <w:ind w:right="20"/>
        <w:jc w:val="both"/>
        <w:rPr>
          <w:rFonts w:ascii="Arial" w:hAnsi="Arial" w:cs="Arial"/>
          <w:sz w:val="20"/>
          <w:szCs w:val="20"/>
        </w:rPr>
      </w:pPr>
      <w:r w:rsidRPr="00C9631A">
        <w:rPr>
          <w:rFonts w:ascii="Arial" w:hAnsi="Arial" w:cs="Arial"/>
          <w:b/>
          <w:sz w:val="20"/>
          <w:szCs w:val="20"/>
        </w:rPr>
        <w:t>Variazione congiunturale</w:t>
      </w:r>
      <w:r w:rsidRPr="00C9631A">
        <w:rPr>
          <w:rFonts w:ascii="Arial" w:hAnsi="Arial" w:cs="Arial"/>
          <w:sz w:val="20"/>
          <w:szCs w:val="20"/>
        </w:rPr>
        <w:t>: variazione percentuale rispetto al mese o al periodo precedente.</w:t>
      </w:r>
    </w:p>
    <w:p w14:paraId="011AD2BD" w14:textId="77777777" w:rsidR="006B1C0B" w:rsidRPr="00C9631A" w:rsidRDefault="006B1C0B" w:rsidP="00E74CD4">
      <w:pPr>
        <w:pStyle w:val="Corpodeltesto1"/>
        <w:spacing w:after="120"/>
        <w:rPr>
          <w:rFonts w:ascii="Arial" w:hAnsi="Arial" w:cs="Arial"/>
          <w:b w:val="0"/>
          <w:sz w:val="20"/>
          <w:szCs w:val="20"/>
        </w:rPr>
      </w:pPr>
      <w:r w:rsidRPr="00C9631A">
        <w:rPr>
          <w:rFonts w:ascii="Arial" w:hAnsi="Arial" w:cs="Arial"/>
          <w:sz w:val="20"/>
          <w:szCs w:val="20"/>
        </w:rPr>
        <w:t>Variazione tendenziale</w:t>
      </w:r>
      <w:r w:rsidRPr="00C9631A">
        <w:rPr>
          <w:rFonts w:ascii="Arial" w:hAnsi="Arial" w:cs="Arial"/>
          <w:b w:val="0"/>
          <w:bCs/>
          <w:sz w:val="20"/>
          <w:szCs w:val="20"/>
        </w:rPr>
        <w:t>:</w:t>
      </w:r>
      <w:r w:rsidRPr="00C9631A">
        <w:rPr>
          <w:rFonts w:ascii="Arial" w:hAnsi="Arial" w:cs="Arial"/>
          <w:b w:val="0"/>
          <w:sz w:val="20"/>
          <w:szCs w:val="20"/>
        </w:rPr>
        <w:t xml:space="preserve"> variazione percentuale rispetto allo stesso mese o allo stesso periodo dell’anno precedente.</w:t>
      </w:r>
    </w:p>
    <w:p w14:paraId="7D1351A2" w14:textId="77777777" w:rsidR="008028CC" w:rsidRPr="00C9631A" w:rsidRDefault="008028CC" w:rsidP="006B1C0B">
      <w:pPr>
        <w:spacing w:after="120"/>
        <w:jc w:val="both"/>
        <w:rPr>
          <w:rFonts w:ascii="Arial" w:hAnsi="Arial" w:cs="Arial"/>
          <w:b/>
          <w:sz w:val="20"/>
          <w:szCs w:val="20"/>
        </w:rPr>
      </w:pPr>
    </w:p>
    <w:p w14:paraId="692F9DCD" w14:textId="77777777" w:rsidR="006B1C0B" w:rsidRDefault="006B1C0B" w:rsidP="006B1C0B">
      <w:pPr>
        <w:spacing w:after="120"/>
        <w:jc w:val="both"/>
        <w:rPr>
          <w:rFonts w:ascii="Arial" w:hAnsi="Arial" w:cs="Arial"/>
          <w:b/>
          <w:sz w:val="22"/>
          <w:szCs w:val="20"/>
        </w:rPr>
      </w:pPr>
      <w:r w:rsidRPr="00C9631A">
        <w:rPr>
          <w:rFonts w:ascii="Arial" w:hAnsi="Arial" w:cs="Arial"/>
          <w:b/>
          <w:sz w:val="22"/>
          <w:szCs w:val="20"/>
        </w:rPr>
        <w:t>Definizioni delle aree geografiche e geoeconomiche</w:t>
      </w:r>
    </w:p>
    <w:p w14:paraId="62C5A0B4" w14:textId="77777777" w:rsidR="006B1C0B" w:rsidRPr="00C9631A" w:rsidRDefault="006B1C0B" w:rsidP="00E74CD4">
      <w:pPr>
        <w:spacing w:after="120"/>
        <w:jc w:val="both"/>
        <w:rPr>
          <w:rFonts w:ascii="Arial" w:hAnsi="Arial" w:cs="Arial"/>
          <w:sz w:val="20"/>
          <w:szCs w:val="20"/>
        </w:rPr>
      </w:pPr>
      <w:r w:rsidRPr="00C9631A">
        <w:rPr>
          <w:rFonts w:ascii="Arial" w:hAnsi="Arial" w:cs="Arial"/>
          <w:b/>
          <w:bCs/>
          <w:iCs/>
          <w:sz w:val="20"/>
          <w:szCs w:val="20"/>
        </w:rPr>
        <w:t>Africa settentrionale</w:t>
      </w:r>
      <w:r w:rsidRPr="00C9631A">
        <w:rPr>
          <w:rFonts w:ascii="Arial" w:hAnsi="Arial" w:cs="Arial"/>
          <w:sz w:val="20"/>
          <w:szCs w:val="20"/>
        </w:rPr>
        <w:t>: Algeria, Egitto, Ceuta, Libia, Marocco, Melilla, Sahara Occidentale, Tunisia.</w:t>
      </w:r>
    </w:p>
    <w:p w14:paraId="52B3146C" w14:textId="77777777" w:rsidR="006B1C0B" w:rsidRPr="00C9631A" w:rsidRDefault="006B1C0B" w:rsidP="00E74CD4">
      <w:pPr>
        <w:spacing w:after="120"/>
        <w:jc w:val="both"/>
        <w:rPr>
          <w:rFonts w:ascii="Arial" w:hAnsi="Arial" w:cs="Arial"/>
          <w:sz w:val="20"/>
          <w:szCs w:val="20"/>
        </w:rPr>
      </w:pPr>
      <w:r w:rsidRPr="00C9631A">
        <w:rPr>
          <w:rFonts w:ascii="Arial" w:hAnsi="Arial" w:cs="Arial"/>
          <w:b/>
          <w:bCs/>
          <w:iCs/>
          <w:sz w:val="20"/>
          <w:szCs w:val="20"/>
        </w:rPr>
        <w:t>Altri paesi africani</w:t>
      </w:r>
      <w:r w:rsidRPr="00C9631A">
        <w:rPr>
          <w:rFonts w:ascii="Arial" w:hAnsi="Arial" w:cs="Arial"/>
          <w:sz w:val="20"/>
          <w:szCs w:val="20"/>
        </w:rPr>
        <w:t xml:space="preserve">: Angola, Benin, Botswana, Burkina Faso, Burundi, Camerun, Capo Verde, Ciad, Comore, Congo, Costa d’Avorio, Eritrea, Etiopia, Gabon, Gambia, Ghana, Gibuti, Guinea, Guinea equatoriale, Guinea-Bissau, Kenya, Lesotho, Liberia, Madagascar, Malawi, Mali, Mauritania, Maurizio, Mayotte, Mozambico, Namibia, Niger, Nigeria, Repubblica Centrafricana, Repubblica democratica del Congo, Repubblica unita di Tanzania, Ruanda, Sant’Elena-Ascensione e Tristan da Cunha, São Tomé e Principe, Seychelles, Senegal, Sierra Leone, Somalia, Sud Africa, Sudan, Sud Sudan, Swaziland, Territorio britannico dell’ Oceano Indiano, Togo, Uganda, Zambia, Zimbabwe. </w:t>
      </w:r>
    </w:p>
    <w:p w14:paraId="3B2356D1" w14:textId="77777777" w:rsidR="006B1C0B" w:rsidRPr="00C9631A" w:rsidRDefault="006B1C0B" w:rsidP="00E74CD4">
      <w:pPr>
        <w:spacing w:after="120"/>
        <w:jc w:val="both"/>
        <w:rPr>
          <w:rFonts w:ascii="Arial" w:hAnsi="Arial" w:cs="Arial"/>
          <w:b/>
          <w:bCs/>
          <w:i/>
          <w:iCs/>
          <w:sz w:val="20"/>
          <w:szCs w:val="20"/>
        </w:rPr>
      </w:pPr>
      <w:r w:rsidRPr="00C9631A">
        <w:rPr>
          <w:rFonts w:ascii="Arial" w:hAnsi="Arial" w:cs="Arial"/>
          <w:b/>
          <w:bCs/>
          <w:iCs/>
          <w:sz w:val="20"/>
          <w:szCs w:val="20"/>
        </w:rPr>
        <w:t>Altri paesi asiatici</w:t>
      </w:r>
      <w:r w:rsidRPr="00C9631A">
        <w:rPr>
          <w:rFonts w:ascii="Arial" w:hAnsi="Arial" w:cs="Arial"/>
          <w:i/>
          <w:iCs/>
          <w:sz w:val="20"/>
          <w:szCs w:val="20"/>
        </w:rPr>
        <w:t xml:space="preserve">: </w:t>
      </w:r>
      <w:r w:rsidRPr="00C9631A">
        <w:rPr>
          <w:rFonts w:ascii="Arial" w:hAnsi="Arial" w:cs="Arial"/>
          <w:sz w:val="20"/>
          <w:szCs w:val="20"/>
        </w:rPr>
        <w:t>Afghanistan, Bangladesh, Bhutan, Birmania, Brunei, Cambogia, Cina, Corea del Nord, Corea del Sud, Filippine, Giappone, Hong Kong, India, Indonesia, Kazakistan, Kirghizistan, Laos, Macao, Malaysia, Maldive, Mongolia, Nepal, Pakistan, Singapore, Sri Lanka, Tagikistan, Taiwan, Thailandia, Timor-Leste, Turkmenistan, Uzbekistan, Vietnam.</w:t>
      </w:r>
    </w:p>
    <w:p w14:paraId="55C652C3" w14:textId="77777777" w:rsidR="006B1C0B" w:rsidRPr="00C9631A" w:rsidRDefault="006B1C0B" w:rsidP="00E74CD4">
      <w:pPr>
        <w:spacing w:after="120"/>
        <w:jc w:val="both"/>
        <w:rPr>
          <w:rFonts w:ascii="Arial" w:hAnsi="Arial" w:cs="Arial"/>
          <w:b/>
          <w:bCs/>
          <w:i/>
          <w:iCs/>
          <w:sz w:val="20"/>
          <w:szCs w:val="20"/>
        </w:rPr>
      </w:pPr>
      <w:r w:rsidRPr="00C9631A">
        <w:rPr>
          <w:rFonts w:ascii="Arial" w:hAnsi="Arial" w:cs="Arial"/>
          <w:b/>
          <w:bCs/>
          <w:iCs/>
          <w:sz w:val="20"/>
          <w:szCs w:val="20"/>
        </w:rPr>
        <w:t>America centro-meridionale</w:t>
      </w:r>
      <w:r w:rsidRPr="00C9631A">
        <w:rPr>
          <w:rFonts w:ascii="Arial" w:hAnsi="Arial" w:cs="Arial"/>
          <w:i/>
          <w:iCs/>
          <w:sz w:val="20"/>
          <w:szCs w:val="20"/>
        </w:rPr>
        <w:t xml:space="preserve">: </w:t>
      </w:r>
      <w:r w:rsidRPr="00C9631A">
        <w:rPr>
          <w:rFonts w:ascii="Arial" w:hAnsi="Arial" w:cs="Arial"/>
          <w:sz w:val="20"/>
          <w:szCs w:val="20"/>
        </w:rPr>
        <w:t xml:space="preserve">Anguilla, Antigua e Barbuda, Argentina, Aruba, Bahama, Barbados, Belize, Bermuda, Bolivia, Bonaire, Sint Eustatius e Saba, Brasile, Cile, Colombia, Costa Rica, Cuba, Curaçao, Dominica, Ecuador, El Salvador, Giamaica, Grenada, Guatemala, Guyana, Haiti, Honduras, Isole Cayman, Isole Falkland, Isole Turks e Caicos, Isole Vergini Americane, Isole Vergini Britanniche, Messico, Montserrat, Nicaragua, Panama, Paraguay, Perù, Repubblica dominicana, Saint-Barthélemy, Saint Kitts e Nevis, Saint Vincente e le Grenadine, Santa Lucia, Sint Maarten, Suriname, Trinidad e Tobago, Uruguay, Venezuela. </w:t>
      </w:r>
    </w:p>
    <w:p w14:paraId="3461DD94" w14:textId="77777777" w:rsidR="006B1C0B" w:rsidRPr="00C9631A" w:rsidRDefault="006B1C0B" w:rsidP="00E74CD4">
      <w:pPr>
        <w:spacing w:after="120"/>
        <w:jc w:val="both"/>
        <w:rPr>
          <w:rFonts w:ascii="Arial" w:hAnsi="Arial" w:cs="Arial"/>
          <w:b/>
          <w:bCs/>
          <w:i/>
          <w:iCs/>
          <w:sz w:val="20"/>
          <w:szCs w:val="20"/>
        </w:rPr>
      </w:pPr>
      <w:r w:rsidRPr="00C9631A">
        <w:rPr>
          <w:rFonts w:ascii="Arial" w:hAnsi="Arial" w:cs="Arial"/>
          <w:b/>
          <w:bCs/>
          <w:iCs/>
          <w:sz w:val="20"/>
          <w:szCs w:val="20"/>
        </w:rPr>
        <w:t>America settentrionale</w:t>
      </w:r>
      <w:r w:rsidRPr="00C9631A">
        <w:rPr>
          <w:rFonts w:ascii="Arial" w:hAnsi="Arial" w:cs="Arial"/>
          <w:sz w:val="20"/>
          <w:szCs w:val="20"/>
        </w:rPr>
        <w:t>: Canada, Groenlandia, Saint-Pierre e Miquelon, Stati Uniti.</w:t>
      </w:r>
    </w:p>
    <w:p w14:paraId="297E4F55" w14:textId="77777777" w:rsidR="006B1C0B" w:rsidRPr="00C9631A" w:rsidRDefault="006B1C0B" w:rsidP="00E74CD4">
      <w:pPr>
        <w:suppressAutoHyphens/>
        <w:spacing w:after="120"/>
        <w:jc w:val="both"/>
        <w:rPr>
          <w:rFonts w:ascii="Arial" w:hAnsi="Arial" w:cs="Arial"/>
          <w:b/>
          <w:bCs/>
          <w:i/>
          <w:iCs/>
          <w:sz w:val="20"/>
          <w:szCs w:val="20"/>
        </w:rPr>
      </w:pPr>
      <w:r w:rsidRPr="00C9631A">
        <w:rPr>
          <w:rFonts w:ascii="Arial" w:hAnsi="Arial" w:cs="Arial"/>
          <w:b/>
          <w:bCs/>
          <w:iCs/>
          <w:sz w:val="20"/>
          <w:szCs w:val="20"/>
          <w:lang w:eastAsia="ar-SA"/>
        </w:rPr>
        <w:t>Area euro</w:t>
      </w:r>
      <w:r w:rsidRPr="00C9631A">
        <w:rPr>
          <w:rFonts w:ascii="Arial" w:hAnsi="Arial" w:cs="Arial"/>
          <w:sz w:val="20"/>
          <w:szCs w:val="20"/>
          <w:lang w:eastAsia="ar-SA"/>
        </w:rPr>
        <w:t xml:space="preserve">: Austria, Belgio, Cipro, </w:t>
      </w:r>
      <w:r w:rsidR="00AE2B80">
        <w:rPr>
          <w:rFonts w:ascii="Arial" w:hAnsi="Arial" w:cs="Arial"/>
          <w:sz w:val="20"/>
          <w:szCs w:val="20"/>
          <w:lang w:eastAsia="ar-SA"/>
        </w:rPr>
        <w:t xml:space="preserve">Croazia, </w:t>
      </w:r>
      <w:r w:rsidRPr="00C9631A">
        <w:rPr>
          <w:rFonts w:ascii="Arial" w:hAnsi="Arial" w:cs="Arial"/>
          <w:sz w:val="20"/>
          <w:szCs w:val="20"/>
          <w:lang w:eastAsia="ar-SA"/>
        </w:rPr>
        <w:t>Estonia, Finlandia, Francia, Germania, Grecia, Irlanda, Italia, Lettonia, Lituania, Lussemburgo, Malta, Paesi Bassi, Portogallo, Slovacchia, Slovenia, Spagna.</w:t>
      </w:r>
    </w:p>
    <w:p w14:paraId="6DB63E2D" w14:textId="107D135F" w:rsidR="006B1C0B" w:rsidRPr="00C9631A" w:rsidRDefault="006B1C0B" w:rsidP="00E74CD4">
      <w:pPr>
        <w:suppressAutoHyphens/>
        <w:spacing w:after="120"/>
        <w:jc w:val="both"/>
        <w:rPr>
          <w:rFonts w:ascii="Arial" w:hAnsi="Arial" w:cs="Arial"/>
          <w:b/>
          <w:bCs/>
          <w:i/>
          <w:iCs/>
          <w:sz w:val="20"/>
          <w:szCs w:val="20"/>
        </w:rPr>
      </w:pPr>
      <w:r w:rsidRPr="00C9631A">
        <w:rPr>
          <w:rFonts w:ascii="Arial" w:hAnsi="Arial" w:cs="Arial"/>
          <w:b/>
          <w:bCs/>
          <w:iCs/>
          <w:sz w:val="20"/>
          <w:szCs w:val="20"/>
          <w:lang w:eastAsia="ar-SA"/>
        </w:rPr>
        <w:t>Area non euro</w:t>
      </w:r>
      <w:r w:rsidRPr="00C9631A">
        <w:rPr>
          <w:rFonts w:ascii="Arial" w:hAnsi="Arial" w:cs="Arial"/>
          <w:bCs/>
          <w:iCs/>
          <w:sz w:val="20"/>
          <w:szCs w:val="20"/>
          <w:lang w:eastAsia="ar-SA"/>
        </w:rPr>
        <w:t>:</w:t>
      </w:r>
      <w:r w:rsidRPr="00C9631A">
        <w:rPr>
          <w:rFonts w:ascii="Arial" w:hAnsi="Arial" w:cs="Arial"/>
          <w:b/>
          <w:bCs/>
          <w:i/>
          <w:iCs/>
          <w:sz w:val="20"/>
          <w:szCs w:val="20"/>
          <w:lang w:eastAsia="ar-SA"/>
        </w:rPr>
        <w:t xml:space="preserve"> </w:t>
      </w:r>
      <w:r w:rsidRPr="00C9631A">
        <w:rPr>
          <w:rFonts w:ascii="Arial" w:hAnsi="Arial" w:cs="Arial"/>
          <w:bCs/>
          <w:iCs/>
          <w:sz w:val="20"/>
          <w:szCs w:val="20"/>
          <w:lang w:eastAsia="ar-SA"/>
        </w:rPr>
        <w:t>è costituita da tutti i paesi che non adottano l’euro: 1) Paesi che fanno parte dell’Unione europea ma che ancora non aderiscono all’euro (Bulgari</w:t>
      </w:r>
      <w:r w:rsidR="00AB3324">
        <w:rPr>
          <w:rFonts w:ascii="Arial" w:hAnsi="Arial" w:cs="Arial"/>
          <w:bCs/>
          <w:iCs/>
          <w:sz w:val="20"/>
          <w:szCs w:val="20"/>
          <w:lang w:eastAsia="ar-SA"/>
        </w:rPr>
        <w:t>a</w:t>
      </w:r>
      <w:r w:rsidR="00C22FDA">
        <w:rPr>
          <w:rFonts w:ascii="Arial" w:hAnsi="Arial" w:cs="Arial"/>
          <w:bCs/>
          <w:iCs/>
          <w:sz w:val="20"/>
          <w:szCs w:val="20"/>
          <w:lang w:eastAsia="ar-SA"/>
        </w:rPr>
        <w:t xml:space="preserve">, </w:t>
      </w:r>
      <w:r w:rsidR="00CF5C6A">
        <w:rPr>
          <w:rFonts w:ascii="Arial" w:hAnsi="Arial" w:cs="Arial"/>
          <w:bCs/>
          <w:iCs/>
          <w:sz w:val="20"/>
          <w:szCs w:val="20"/>
          <w:lang w:eastAsia="ar-SA"/>
        </w:rPr>
        <w:t xml:space="preserve">Cechia, </w:t>
      </w:r>
      <w:r w:rsidR="00C22FDA">
        <w:rPr>
          <w:rFonts w:ascii="Arial" w:hAnsi="Arial" w:cs="Arial"/>
          <w:bCs/>
          <w:iCs/>
          <w:sz w:val="20"/>
          <w:szCs w:val="20"/>
          <w:lang w:eastAsia="ar-SA"/>
        </w:rPr>
        <w:t>Danimarca, Polonia</w:t>
      </w:r>
      <w:r w:rsidRPr="00C9631A">
        <w:rPr>
          <w:rFonts w:ascii="Arial" w:hAnsi="Arial" w:cs="Arial"/>
          <w:bCs/>
          <w:iCs/>
          <w:sz w:val="20"/>
          <w:szCs w:val="20"/>
          <w:lang w:eastAsia="ar-SA"/>
        </w:rPr>
        <w:t>, Romania, Svezia, Ungheria); 2) tutti i Paesi del Resto del mondo. In particolare, Andorra, Città del Vaticano, Principato di Monaco e San Marino usano l’euro come moneta ufficiale ma non sono ufficialmente membri dell’Unione europea; pertanto, fanno parte dell’Area non euro.</w:t>
      </w:r>
    </w:p>
    <w:p w14:paraId="037C3D70" w14:textId="77777777" w:rsidR="006B1C0B" w:rsidRPr="00C9631A" w:rsidRDefault="006B1C0B" w:rsidP="00E74CD4">
      <w:pPr>
        <w:suppressAutoHyphens/>
        <w:spacing w:after="120"/>
        <w:jc w:val="both"/>
        <w:rPr>
          <w:rFonts w:ascii="Arial" w:hAnsi="Arial" w:cs="Arial"/>
          <w:b/>
          <w:bCs/>
          <w:i/>
          <w:iCs/>
          <w:sz w:val="20"/>
          <w:szCs w:val="20"/>
          <w:lang w:eastAsia="ar-SA"/>
        </w:rPr>
      </w:pPr>
      <w:r w:rsidRPr="00C9631A">
        <w:rPr>
          <w:rFonts w:ascii="Arial" w:hAnsi="Arial" w:cs="Arial"/>
          <w:b/>
          <w:bCs/>
          <w:iCs/>
          <w:sz w:val="20"/>
          <w:szCs w:val="20"/>
          <w:lang w:eastAsia="ar-SA"/>
        </w:rPr>
        <w:t>Asean (Associazione delle Nazioni del Sud-Est Asiatico)</w:t>
      </w:r>
      <w:r w:rsidRPr="00C9631A">
        <w:rPr>
          <w:rFonts w:ascii="Arial" w:hAnsi="Arial" w:cs="Arial"/>
          <w:i/>
          <w:iCs/>
          <w:sz w:val="20"/>
          <w:szCs w:val="20"/>
          <w:lang w:eastAsia="ar-SA"/>
        </w:rPr>
        <w:t xml:space="preserve">: </w:t>
      </w:r>
      <w:r w:rsidRPr="00C9631A">
        <w:rPr>
          <w:rFonts w:ascii="Arial" w:hAnsi="Arial" w:cs="Arial"/>
          <w:sz w:val="20"/>
          <w:szCs w:val="20"/>
          <w:lang w:eastAsia="ar-SA"/>
        </w:rPr>
        <w:t xml:space="preserve">Brunei, Cambogia, Filippine, Indonesia, Laos, Malaysia, Birmania, Singapore, Thailandia, Vietnam. </w:t>
      </w:r>
    </w:p>
    <w:p w14:paraId="504D932E" w14:textId="77777777" w:rsidR="006B1C0B" w:rsidRPr="00C9631A" w:rsidRDefault="006B1C0B" w:rsidP="00E74CD4">
      <w:pPr>
        <w:spacing w:after="120"/>
        <w:jc w:val="both"/>
        <w:rPr>
          <w:rFonts w:ascii="Arial" w:hAnsi="Arial" w:cs="Arial"/>
          <w:b/>
          <w:bCs/>
          <w:i/>
          <w:iCs/>
          <w:sz w:val="20"/>
          <w:szCs w:val="20"/>
        </w:rPr>
      </w:pPr>
      <w:r w:rsidRPr="00C9631A">
        <w:rPr>
          <w:rFonts w:ascii="Arial" w:hAnsi="Arial" w:cs="Arial"/>
          <w:b/>
          <w:bCs/>
          <w:iCs/>
          <w:sz w:val="20"/>
          <w:szCs w:val="20"/>
        </w:rPr>
        <w:t>Medio Oriente</w:t>
      </w:r>
      <w:r w:rsidRPr="00C9631A">
        <w:rPr>
          <w:rFonts w:ascii="Arial" w:hAnsi="Arial" w:cs="Arial"/>
          <w:i/>
          <w:iCs/>
          <w:sz w:val="20"/>
          <w:szCs w:val="20"/>
        </w:rPr>
        <w:t xml:space="preserve">: </w:t>
      </w:r>
      <w:r w:rsidRPr="00C9631A">
        <w:rPr>
          <w:rFonts w:ascii="Arial" w:hAnsi="Arial" w:cs="Arial"/>
          <w:sz w:val="20"/>
          <w:szCs w:val="20"/>
        </w:rPr>
        <w:t xml:space="preserve">Arabia Saudita, Armenia, Azerbaigian, Bahrein, Emirati Arabi Uniti, Georgia, Giordania, Iraq, Israele, Kuwait, Libano, Oman, Qatar, Repubblica islamica dell’Iran, Siria, Territorio palestinese occupato, Yemen. </w:t>
      </w:r>
    </w:p>
    <w:p w14:paraId="4B142CF8" w14:textId="77777777" w:rsidR="006B1C0B" w:rsidRPr="00C9631A" w:rsidRDefault="006B1C0B" w:rsidP="00E74CD4">
      <w:pPr>
        <w:spacing w:after="120"/>
        <w:jc w:val="both"/>
        <w:rPr>
          <w:rFonts w:ascii="Arial" w:hAnsi="Arial" w:cs="Arial"/>
          <w:sz w:val="20"/>
          <w:szCs w:val="20"/>
        </w:rPr>
      </w:pPr>
      <w:r w:rsidRPr="00C9631A">
        <w:rPr>
          <w:rFonts w:ascii="Arial" w:hAnsi="Arial" w:cs="Arial"/>
          <w:b/>
          <w:bCs/>
          <w:iCs/>
          <w:sz w:val="20"/>
          <w:szCs w:val="20"/>
        </w:rPr>
        <w:t>Mercosur</w:t>
      </w:r>
      <w:r w:rsidRPr="00C9631A">
        <w:rPr>
          <w:rFonts w:ascii="Arial" w:hAnsi="Arial" w:cs="Arial"/>
          <w:sz w:val="20"/>
          <w:szCs w:val="20"/>
        </w:rPr>
        <w:t>: Brasile, Paraguay, Uruguay e Argentina.</w:t>
      </w:r>
    </w:p>
    <w:p w14:paraId="600DF717" w14:textId="77777777" w:rsidR="006B1C0B" w:rsidRPr="00C9631A" w:rsidRDefault="006B1C0B" w:rsidP="00E74CD4">
      <w:pPr>
        <w:spacing w:after="120"/>
        <w:jc w:val="both"/>
        <w:rPr>
          <w:rFonts w:ascii="Arial" w:hAnsi="Arial" w:cs="Arial"/>
          <w:bCs/>
          <w:i/>
          <w:iCs/>
          <w:sz w:val="20"/>
          <w:szCs w:val="20"/>
        </w:rPr>
      </w:pPr>
      <w:r w:rsidRPr="00C9631A">
        <w:rPr>
          <w:rFonts w:ascii="Arial" w:hAnsi="Arial" w:cs="Arial"/>
          <w:b/>
          <w:bCs/>
          <w:iCs/>
          <w:sz w:val="20"/>
          <w:szCs w:val="20"/>
        </w:rPr>
        <w:t>Oceania e altri territori</w:t>
      </w:r>
      <w:r w:rsidRPr="00C9631A">
        <w:rPr>
          <w:rFonts w:ascii="Arial" w:hAnsi="Arial" w:cs="Arial"/>
          <w:sz w:val="20"/>
          <w:szCs w:val="20"/>
        </w:rPr>
        <w:t>: Antartide, Australia, Figi, Georgia del Sud e Isole Sandwich australi, Isola di Bouvet, Isola Christmas, Isole Cocos (Keeling), Isole Cook, Isole Heard e McDonald, Isole Marianne settentrionali, Isole Marshall, Isole minori periferiche degli Stati Uniti, Isola Norfolk, Isole Pitcairn, Isole Salomone, Kiribati, Nauru, Niue, Nuova Caledonia, Nuova Zelanda, Palau, Papua Nuova Guinea, Polinesia francese, Samoa, Samoa americane, Stati Federati di Micronesia, Terre australi e antartiche francesi, Tokelau, Tonga, Tuvalu, Vanuatu, Wallis e Futuna, Provviste e dotazioni di bordo, Paesi e territori non specificati, Paesi e territori non specificati per ragioni commerciali o militari.</w:t>
      </w:r>
    </w:p>
    <w:p w14:paraId="12CD14C2" w14:textId="77777777" w:rsidR="006B1C0B" w:rsidRPr="00C9631A" w:rsidRDefault="006B1C0B" w:rsidP="00E74CD4">
      <w:pPr>
        <w:spacing w:after="120"/>
        <w:jc w:val="both"/>
        <w:rPr>
          <w:rFonts w:ascii="Arial" w:hAnsi="Arial" w:cs="Arial"/>
          <w:sz w:val="20"/>
          <w:szCs w:val="20"/>
        </w:rPr>
      </w:pPr>
      <w:r w:rsidRPr="00C9631A">
        <w:rPr>
          <w:rFonts w:ascii="Arial" w:hAnsi="Arial" w:cs="Arial"/>
          <w:b/>
          <w:sz w:val="20"/>
          <w:szCs w:val="20"/>
        </w:rPr>
        <w:t>Opec</w:t>
      </w:r>
      <w:r w:rsidRPr="00C9631A">
        <w:rPr>
          <w:rFonts w:ascii="Arial" w:hAnsi="Arial" w:cs="Arial"/>
          <w:sz w:val="20"/>
          <w:szCs w:val="20"/>
        </w:rPr>
        <w:t>:</w:t>
      </w:r>
      <w:r w:rsidRPr="00C9631A">
        <w:rPr>
          <w:rFonts w:ascii="Arial" w:hAnsi="Arial" w:cs="Arial"/>
          <w:i/>
          <w:sz w:val="20"/>
          <w:szCs w:val="20"/>
        </w:rPr>
        <w:t xml:space="preserve"> </w:t>
      </w:r>
      <w:r w:rsidRPr="00C9631A">
        <w:rPr>
          <w:rFonts w:ascii="Arial" w:hAnsi="Arial" w:cs="Arial"/>
          <w:sz w:val="20"/>
          <w:szCs w:val="20"/>
        </w:rPr>
        <w:t xml:space="preserve">Algeria, Angola, Arabia Saudita, Emirati Arabi Uniti, Iraq, Kuwait, Libia, Nigeria, Repubblica islamica </w:t>
      </w:r>
      <w:r w:rsidR="00C9631A">
        <w:rPr>
          <w:rFonts w:ascii="Arial" w:hAnsi="Arial" w:cs="Arial"/>
          <w:sz w:val="20"/>
          <w:szCs w:val="20"/>
        </w:rPr>
        <w:t>d</w:t>
      </w:r>
      <w:r w:rsidRPr="00C9631A">
        <w:rPr>
          <w:rFonts w:ascii="Arial" w:hAnsi="Arial" w:cs="Arial"/>
          <w:sz w:val="20"/>
          <w:szCs w:val="20"/>
        </w:rPr>
        <w:t xml:space="preserve">ell’Iran, </w:t>
      </w:r>
      <w:r w:rsidR="00245D91">
        <w:rPr>
          <w:rFonts w:ascii="Arial" w:hAnsi="Arial" w:cs="Arial"/>
          <w:sz w:val="20"/>
          <w:szCs w:val="20"/>
        </w:rPr>
        <w:t>Venezuela</w:t>
      </w:r>
      <w:r w:rsidRPr="00C9631A">
        <w:rPr>
          <w:rFonts w:ascii="Arial" w:hAnsi="Arial" w:cs="Arial"/>
          <w:sz w:val="20"/>
          <w:szCs w:val="20"/>
        </w:rPr>
        <w:t xml:space="preserve">, </w:t>
      </w:r>
      <w:r w:rsidR="00883849" w:rsidRPr="00C9631A">
        <w:rPr>
          <w:rFonts w:ascii="Arial" w:hAnsi="Arial" w:cs="Arial"/>
          <w:sz w:val="20"/>
          <w:szCs w:val="20"/>
        </w:rPr>
        <w:t xml:space="preserve">Gabon, </w:t>
      </w:r>
      <w:r w:rsidRPr="00C9631A">
        <w:rPr>
          <w:rFonts w:ascii="Arial" w:hAnsi="Arial" w:cs="Arial"/>
          <w:sz w:val="20"/>
          <w:szCs w:val="20"/>
        </w:rPr>
        <w:t>Guinea Equatoriale</w:t>
      </w:r>
      <w:r w:rsidR="00883849" w:rsidRPr="00C9631A">
        <w:rPr>
          <w:rFonts w:ascii="Arial" w:hAnsi="Arial" w:cs="Arial"/>
          <w:sz w:val="20"/>
          <w:szCs w:val="20"/>
        </w:rPr>
        <w:t xml:space="preserve"> e Congo</w:t>
      </w:r>
      <w:r w:rsidRPr="00C9631A">
        <w:rPr>
          <w:rFonts w:ascii="Arial" w:hAnsi="Arial" w:cs="Arial"/>
          <w:sz w:val="20"/>
          <w:szCs w:val="20"/>
        </w:rPr>
        <w:t>.</w:t>
      </w:r>
    </w:p>
    <w:p w14:paraId="60A2236D" w14:textId="77777777" w:rsidR="006B1C0B" w:rsidRPr="00C9631A" w:rsidRDefault="006B1C0B" w:rsidP="00E74CD4">
      <w:pPr>
        <w:spacing w:after="120"/>
        <w:jc w:val="both"/>
        <w:rPr>
          <w:rFonts w:ascii="Arial" w:hAnsi="Arial" w:cs="Arial"/>
          <w:sz w:val="20"/>
          <w:szCs w:val="20"/>
        </w:rPr>
      </w:pPr>
      <w:r w:rsidRPr="00C9631A">
        <w:rPr>
          <w:rFonts w:ascii="Arial" w:hAnsi="Arial" w:cs="Arial"/>
          <w:b/>
          <w:bCs/>
          <w:iCs/>
          <w:sz w:val="20"/>
          <w:szCs w:val="20"/>
        </w:rPr>
        <w:t>Paesi europei non Ue</w:t>
      </w:r>
      <w:r w:rsidRPr="00C9631A">
        <w:rPr>
          <w:rFonts w:ascii="Arial" w:hAnsi="Arial" w:cs="Arial"/>
          <w:sz w:val="20"/>
          <w:szCs w:val="20"/>
        </w:rPr>
        <w:t xml:space="preserve">: Albania, Andorra, Bielorussia, Bosnia-Erzegovina, Fær Øer, Gibilterra, Islanda, Kosovo, Liechtenstein, </w:t>
      </w:r>
      <w:r w:rsidR="00EF21D2">
        <w:rPr>
          <w:rFonts w:ascii="Arial" w:hAnsi="Arial" w:cs="Arial"/>
          <w:sz w:val="20"/>
          <w:szCs w:val="20"/>
        </w:rPr>
        <w:t>Macedonia del Nord,</w:t>
      </w:r>
      <w:r w:rsidR="00EF21D2" w:rsidRPr="00C9631A">
        <w:rPr>
          <w:rFonts w:ascii="Arial" w:hAnsi="Arial" w:cs="Arial"/>
          <w:sz w:val="20"/>
          <w:szCs w:val="20"/>
        </w:rPr>
        <w:t xml:space="preserve"> </w:t>
      </w:r>
      <w:r w:rsidRPr="00C9631A">
        <w:rPr>
          <w:rFonts w:ascii="Arial" w:hAnsi="Arial" w:cs="Arial"/>
          <w:sz w:val="20"/>
          <w:szCs w:val="20"/>
        </w:rPr>
        <w:t xml:space="preserve">Montenegro, Norvegia, </w:t>
      </w:r>
      <w:r w:rsidR="00C22FDA">
        <w:rPr>
          <w:rFonts w:ascii="Arial" w:hAnsi="Arial" w:cs="Arial"/>
          <w:sz w:val="20"/>
          <w:szCs w:val="20"/>
        </w:rPr>
        <w:t xml:space="preserve">Regno Unito, </w:t>
      </w:r>
      <w:r w:rsidRPr="00C9631A">
        <w:rPr>
          <w:rFonts w:ascii="Arial" w:hAnsi="Arial" w:cs="Arial"/>
          <w:sz w:val="20"/>
          <w:szCs w:val="20"/>
        </w:rPr>
        <w:t>Repubblica moldova, Russia, Santa Sede (Stato della Città del Vaticano), Serbia, Svizzera, Turchia, Ucraina.</w:t>
      </w:r>
    </w:p>
    <w:p w14:paraId="4735FB57" w14:textId="2DD14B5A" w:rsidR="00B24754" w:rsidRDefault="006B1C0B" w:rsidP="00F865D6">
      <w:pPr>
        <w:spacing w:after="120"/>
        <w:jc w:val="both"/>
        <w:rPr>
          <w:rFonts w:ascii="Arial" w:hAnsi="Arial" w:cs="Arial"/>
        </w:rPr>
      </w:pPr>
      <w:r w:rsidRPr="00C9631A">
        <w:rPr>
          <w:rFonts w:ascii="Arial" w:hAnsi="Arial" w:cs="Arial"/>
          <w:b/>
          <w:bCs/>
          <w:iCs/>
          <w:sz w:val="20"/>
          <w:szCs w:val="20"/>
        </w:rPr>
        <w:t>Unione europea</w:t>
      </w:r>
      <w:r w:rsidRPr="00C9631A">
        <w:rPr>
          <w:rFonts w:ascii="Arial" w:hAnsi="Arial" w:cs="Arial"/>
          <w:sz w:val="20"/>
          <w:szCs w:val="20"/>
        </w:rPr>
        <w:t xml:space="preserve">: Austria, Belgio, Bulgaria, </w:t>
      </w:r>
      <w:r w:rsidR="00CF5C6A">
        <w:rPr>
          <w:rFonts w:ascii="Arial" w:hAnsi="Arial" w:cs="Arial"/>
          <w:sz w:val="20"/>
          <w:szCs w:val="20"/>
        </w:rPr>
        <w:t xml:space="preserve">Cechia, </w:t>
      </w:r>
      <w:r w:rsidRPr="00C9631A">
        <w:rPr>
          <w:rFonts w:ascii="Arial" w:hAnsi="Arial" w:cs="Arial"/>
          <w:sz w:val="20"/>
          <w:szCs w:val="20"/>
        </w:rPr>
        <w:t>Cipro, Croazia, Danimarca, Estonia, Finlandia, Francia, Germania, Grecia, Irlanda, Italia, Lettonia, Lituania, Lussemburgo, Malta, Pa</w:t>
      </w:r>
      <w:r w:rsidR="00C22FDA">
        <w:rPr>
          <w:rFonts w:ascii="Arial" w:hAnsi="Arial" w:cs="Arial"/>
          <w:sz w:val="20"/>
          <w:szCs w:val="20"/>
        </w:rPr>
        <w:t>esi Bassi, Polonia, Portogallo</w:t>
      </w:r>
      <w:r w:rsidR="00CF5C6A">
        <w:rPr>
          <w:rFonts w:ascii="Arial" w:hAnsi="Arial" w:cs="Arial"/>
          <w:sz w:val="20"/>
          <w:szCs w:val="20"/>
        </w:rPr>
        <w:t>,</w:t>
      </w:r>
      <w:r w:rsidRPr="00C9631A">
        <w:rPr>
          <w:rFonts w:ascii="Arial" w:hAnsi="Arial" w:cs="Arial"/>
          <w:sz w:val="20"/>
          <w:szCs w:val="20"/>
        </w:rPr>
        <w:t xml:space="preserve"> Romania, Slovacchia, Slovenia, Spagna, Svezia, Ungheria.</w:t>
      </w:r>
    </w:p>
    <w:p w14:paraId="7CF82446" w14:textId="77777777" w:rsidR="00940950" w:rsidRDefault="00940950" w:rsidP="00B81D29">
      <w:pPr>
        <w:spacing w:after="120"/>
        <w:rPr>
          <w:rFonts w:ascii="Arial" w:hAnsi="Arial" w:cs="Arial"/>
        </w:rPr>
        <w:sectPr w:rsidR="00940950" w:rsidSect="00B81D29">
          <w:headerReference w:type="default" r:id="rId44"/>
          <w:pgSz w:w="11907" w:h="16840" w:code="9"/>
          <w:pgMar w:top="1534" w:right="851" w:bottom="680" w:left="851" w:header="567" w:footer="567" w:gutter="0"/>
          <w:cols w:space="720"/>
          <w:noEndnote/>
          <w:docGrid w:linePitch="272"/>
        </w:sectPr>
      </w:pPr>
    </w:p>
    <w:p w14:paraId="5694924E" w14:textId="77777777" w:rsidR="00501E02" w:rsidRPr="00397FAC" w:rsidRDefault="00501E02" w:rsidP="00501E02">
      <w:pPr>
        <w:spacing w:after="120"/>
        <w:rPr>
          <w:rFonts w:ascii="Arial" w:hAnsi="Arial" w:cs="Arial"/>
          <w:b/>
          <w:szCs w:val="28"/>
        </w:rPr>
      </w:pPr>
    </w:p>
    <w:p w14:paraId="1CBDA45D" w14:textId="77777777" w:rsidR="00F21E70" w:rsidRPr="00C9631A" w:rsidRDefault="00F21E70" w:rsidP="00F21E70">
      <w:pPr>
        <w:spacing w:after="120"/>
        <w:jc w:val="both"/>
        <w:rPr>
          <w:rFonts w:ascii="Arial" w:hAnsi="Arial" w:cs="Arial"/>
          <w:sz w:val="20"/>
          <w:szCs w:val="20"/>
        </w:rPr>
      </w:pPr>
      <w:r w:rsidRPr="00C9631A">
        <w:rPr>
          <w:rFonts w:ascii="Arial" w:hAnsi="Arial" w:cs="Arial"/>
          <w:sz w:val="20"/>
          <w:szCs w:val="20"/>
        </w:rPr>
        <w:t>In questa nota sono riportati i principali riferimenti normativi e metodologici relativi alle rilevazioni sugli scambi con l’estero di merci e sui prezzi all’importazione dei prodotti industriali. Il Prospetto A ne riporta una sintesi.</w:t>
      </w:r>
    </w:p>
    <w:p w14:paraId="32573816" w14:textId="77777777" w:rsidR="00F21E70" w:rsidRPr="00257DC4" w:rsidRDefault="00F21E70" w:rsidP="00F21E70">
      <w:pPr>
        <w:spacing w:before="240" w:after="120"/>
        <w:jc w:val="both"/>
        <w:rPr>
          <w:rFonts w:ascii="Arial Narrow" w:hAnsi="Arial Narrow" w:cs="Arial"/>
          <w:b/>
          <w:color w:val="7F7F7F"/>
          <w:sz w:val="19"/>
          <w:szCs w:val="19"/>
        </w:rPr>
      </w:pPr>
      <w:r w:rsidRPr="009E4A3B">
        <w:rPr>
          <w:rFonts w:ascii="Arial Narrow" w:hAnsi="Arial Narrow" w:cs="Arial"/>
          <w:b/>
          <w:color w:val="E42618"/>
          <w:sz w:val="22"/>
          <w:szCs w:val="22"/>
        </w:rPr>
        <w:t>PROSPETTO A.</w:t>
      </w:r>
      <w:r w:rsidRPr="009E4A3B">
        <w:rPr>
          <w:rFonts w:ascii="Arial Narrow" w:hAnsi="Arial Narrow" w:cs="Arial"/>
          <w:b/>
          <w:color w:val="C00000"/>
          <w:sz w:val="22"/>
          <w:szCs w:val="22"/>
        </w:rPr>
        <w:t xml:space="preserve"> </w:t>
      </w:r>
      <w:r w:rsidRPr="00257DC4">
        <w:rPr>
          <w:rFonts w:ascii="Arial Narrow" w:hAnsi="Arial Narrow" w:cs="Arial"/>
          <w:b/>
          <w:color w:val="7F7F7F"/>
          <w:sz w:val="22"/>
          <w:szCs w:val="22"/>
        </w:rPr>
        <w:t>RILEVAZIONI SUGLI SCAMBI CON L’ESTERO DI MERCI E SUI PREZZI ALL’IMPORTAZIONE</w:t>
      </w:r>
      <w:r>
        <w:rPr>
          <w:rFonts w:ascii="Arial Narrow" w:hAnsi="Arial Narrow" w:cs="Arial"/>
          <w:b/>
          <w:color w:val="7F7F7F"/>
          <w:sz w:val="22"/>
          <w:szCs w:val="22"/>
        </w:rPr>
        <w:t xml:space="preserve"> </w:t>
      </w:r>
      <w:r w:rsidRPr="00257DC4">
        <w:rPr>
          <w:rFonts w:ascii="Arial Narrow" w:hAnsi="Arial Narrow" w:cs="Arial"/>
          <w:b/>
          <w:color w:val="7F7F7F"/>
          <w:sz w:val="22"/>
          <w:szCs w:val="22"/>
        </w:rPr>
        <w:t>PRINCIPALI CARATTERISTICHE</w:t>
      </w:r>
    </w:p>
    <w:tbl>
      <w:tblPr>
        <w:tblW w:w="10206"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2026"/>
        <w:gridCol w:w="4089"/>
        <w:gridCol w:w="4091"/>
      </w:tblGrid>
      <w:tr w:rsidR="00F21E70" w14:paraId="498E1A24" w14:textId="77777777" w:rsidTr="00454BAB">
        <w:trPr>
          <w:trHeight w:val="255"/>
        </w:trPr>
        <w:tc>
          <w:tcPr>
            <w:tcW w:w="993" w:type="pct"/>
            <w:vMerge w:val="restart"/>
            <w:shd w:val="clear" w:color="auto" w:fill="auto"/>
          </w:tcPr>
          <w:p w14:paraId="570F7597" w14:textId="77777777" w:rsidR="00F21E70" w:rsidRPr="00232AB9" w:rsidRDefault="00F21E70" w:rsidP="00454BAB">
            <w:pPr>
              <w:spacing w:before="40" w:after="20"/>
              <w:jc w:val="center"/>
              <w:rPr>
                <w:rFonts w:ascii="Arial Narrow" w:hAnsi="Arial Narrow" w:cs="Arial"/>
                <w:b/>
                <w:sz w:val="18"/>
                <w:szCs w:val="18"/>
              </w:rPr>
            </w:pPr>
          </w:p>
        </w:tc>
        <w:tc>
          <w:tcPr>
            <w:tcW w:w="4007" w:type="pct"/>
            <w:gridSpan w:val="2"/>
            <w:shd w:val="clear" w:color="auto" w:fill="D9D9D9"/>
          </w:tcPr>
          <w:p w14:paraId="071EF448" w14:textId="77777777" w:rsidR="00F21E70" w:rsidRPr="00232AB9" w:rsidRDefault="00F21E70" w:rsidP="00454BAB">
            <w:pPr>
              <w:spacing w:before="40" w:after="20"/>
              <w:jc w:val="center"/>
              <w:rPr>
                <w:rFonts w:ascii="Arial Narrow" w:hAnsi="Arial Narrow" w:cs="Arial"/>
                <w:b/>
                <w:sz w:val="18"/>
                <w:szCs w:val="18"/>
              </w:rPr>
            </w:pPr>
            <w:r w:rsidRPr="00232AB9">
              <w:rPr>
                <w:rFonts w:ascii="Arial Narrow" w:hAnsi="Arial Narrow" w:cs="Arial"/>
                <w:b/>
                <w:sz w:val="18"/>
                <w:szCs w:val="18"/>
              </w:rPr>
              <w:t>RILEVAZIONI</w:t>
            </w:r>
          </w:p>
        </w:tc>
      </w:tr>
      <w:tr w:rsidR="00F21E70" w14:paraId="7B54B0EC" w14:textId="77777777" w:rsidTr="00454BAB">
        <w:trPr>
          <w:trHeight w:val="255"/>
        </w:trPr>
        <w:tc>
          <w:tcPr>
            <w:tcW w:w="993" w:type="pct"/>
            <w:vMerge/>
            <w:shd w:val="clear" w:color="auto" w:fill="auto"/>
          </w:tcPr>
          <w:p w14:paraId="6B8DA274" w14:textId="77777777" w:rsidR="00F21E70" w:rsidRPr="00232AB9" w:rsidRDefault="00F21E70" w:rsidP="00454BAB">
            <w:pPr>
              <w:spacing w:before="40" w:after="20"/>
              <w:jc w:val="center"/>
              <w:rPr>
                <w:rFonts w:ascii="Arial Narrow" w:hAnsi="Arial Narrow" w:cs="Arial"/>
                <w:b/>
                <w:sz w:val="18"/>
                <w:szCs w:val="18"/>
              </w:rPr>
            </w:pPr>
          </w:p>
        </w:tc>
        <w:tc>
          <w:tcPr>
            <w:tcW w:w="2003" w:type="pct"/>
            <w:shd w:val="clear" w:color="auto" w:fill="FFFFFF"/>
          </w:tcPr>
          <w:p w14:paraId="339E3201" w14:textId="77777777" w:rsidR="00F21E70" w:rsidRPr="00232AB9" w:rsidRDefault="00F21E70" w:rsidP="00454BAB">
            <w:pPr>
              <w:spacing w:before="40" w:after="20"/>
              <w:jc w:val="center"/>
              <w:rPr>
                <w:b/>
              </w:rPr>
            </w:pPr>
            <w:r w:rsidRPr="00232AB9">
              <w:rPr>
                <w:rFonts w:ascii="Arial Narrow" w:hAnsi="Arial Narrow" w:cs="Arial"/>
                <w:b/>
                <w:sz w:val="18"/>
                <w:szCs w:val="18"/>
              </w:rPr>
              <w:t>Scambi con l’estero di merci</w:t>
            </w:r>
          </w:p>
        </w:tc>
        <w:tc>
          <w:tcPr>
            <w:tcW w:w="2004" w:type="pct"/>
            <w:shd w:val="clear" w:color="auto" w:fill="FFFFFF"/>
          </w:tcPr>
          <w:p w14:paraId="56F11F90" w14:textId="77777777" w:rsidR="00F21E70" w:rsidRPr="00232AB9" w:rsidRDefault="00F21E70" w:rsidP="00454BAB">
            <w:pPr>
              <w:spacing w:before="40" w:after="20"/>
              <w:jc w:val="center"/>
              <w:rPr>
                <w:b/>
              </w:rPr>
            </w:pPr>
            <w:r w:rsidRPr="00232AB9">
              <w:rPr>
                <w:rFonts w:ascii="Arial Narrow" w:hAnsi="Arial Narrow" w:cs="Arial"/>
                <w:b/>
                <w:sz w:val="18"/>
                <w:szCs w:val="18"/>
              </w:rPr>
              <w:t>Prezzi all’importazione</w:t>
            </w:r>
          </w:p>
        </w:tc>
      </w:tr>
      <w:tr w:rsidR="00F21E70" w14:paraId="3CF9EC2A" w14:textId="77777777" w:rsidTr="00454BAB">
        <w:trPr>
          <w:trHeight w:val="255"/>
        </w:trPr>
        <w:tc>
          <w:tcPr>
            <w:tcW w:w="993" w:type="pct"/>
            <w:shd w:val="clear" w:color="auto" w:fill="auto"/>
          </w:tcPr>
          <w:p w14:paraId="7B145739" w14:textId="77777777" w:rsidR="00F21E70" w:rsidRPr="009575F1" w:rsidRDefault="00F21E70" w:rsidP="00454BAB">
            <w:pPr>
              <w:spacing w:before="40" w:after="20"/>
            </w:pPr>
            <w:r w:rsidRPr="00232AB9">
              <w:rPr>
                <w:rFonts w:ascii="Arial Narrow" w:hAnsi="Arial Narrow" w:cs="Arial"/>
                <w:b/>
                <w:sz w:val="18"/>
                <w:szCs w:val="18"/>
              </w:rPr>
              <w:t>Fonti</w:t>
            </w:r>
          </w:p>
        </w:tc>
        <w:tc>
          <w:tcPr>
            <w:tcW w:w="2003" w:type="pct"/>
            <w:shd w:val="clear" w:color="auto" w:fill="D9D9D9"/>
          </w:tcPr>
          <w:p w14:paraId="566331E6" w14:textId="77777777" w:rsidR="00F21E70" w:rsidRPr="00232AB9" w:rsidRDefault="00F21E70" w:rsidP="00454BAB">
            <w:pPr>
              <w:spacing w:before="40" w:after="20"/>
              <w:rPr>
                <w:rFonts w:ascii="Arial Narrow" w:hAnsi="Arial Narrow" w:cs="Arial"/>
                <w:sz w:val="18"/>
                <w:szCs w:val="18"/>
              </w:rPr>
            </w:pPr>
            <w:r w:rsidRPr="00232AB9">
              <w:rPr>
                <w:rFonts w:ascii="Arial Narrow" w:hAnsi="Arial Narrow" w:cs="Arial"/>
                <w:sz w:val="18"/>
                <w:szCs w:val="18"/>
              </w:rPr>
              <w:t>1) Utilizzo dati doganali e sistema Intrastat</w:t>
            </w:r>
          </w:p>
          <w:p w14:paraId="367E18B3" w14:textId="77777777" w:rsidR="00F21E70" w:rsidRPr="00232AB9" w:rsidRDefault="00F21E70" w:rsidP="00454BAB">
            <w:pPr>
              <w:spacing w:before="40" w:after="20"/>
              <w:rPr>
                <w:rFonts w:ascii="Arial Narrow" w:hAnsi="Arial Narrow" w:cs="Arial"/>
                <w:sz w:val="18"/>
                <w:szCs w:val="18"/>
              </w:rPr>
            </w:pPr>
            <w:r w:rsidRPr="00232AB9">
              <w:rPr>
                <w:rFonts w:ascii="Arial Narrow" w:hAnsi="Arial Narrow" w:cs="Arial"/>
                <w:sz w:val="18"/>
                <w:szCs w:val="18"/>
              </w:rPr>
              <w:t>2) Elaborazioni da statistiche di base sugli Scambi con l’estero di merci</w:t>
            </w:r>
          </w:p>
          <w:p w14:paraId="1E866432" w14:textId="77777777" w:rsidR="00F21E70" w:rsidRPr="009575F1" w:rsidRDefault="00F21E70" w:rsidP="00454BAB">
            <w:pPr>
              <w:spacing w:before="40" w:after="20"/>
            </w:pPr>
            <w:r w:rsidRPr="00232AB9">
              <w:rPr>
                <w:rFonts w:ascii="Arial Narrow" w:hAnsi="Arial Narrow" w:cs="Arial"/>
                <w:sz w:val="18"/>
                <w:szCs w:val="18"/>
              </w:rPr>
              <w:t>3) Le stime di particolari merci sono frutto di elaborazioni ottenute integrando fonti informative diverse</w:t>
            </w:r>
          </w:p>
        </w:tc>
        <w:tc>
          <w:tcPr>
            <w:tcW w:w="2004" w:type="pct"/>
            <w:shd w:val="clear" w:color="auto" w:fill="auto"/>
          </w:tcPr>
          <w:p w14:paraId="24BE8B7C" w14:textId="77777777" w:rsidR="00F21E70" w:rsidRDefault="00F21E70" w:rsidP="00454BAB">
            <w:pPr>
              <w:spacing w:before="40" w:after="20"/>
            </w:pPr>
            <w:r w:rsidRPr="00232AB9">
              <w:rPr>
                <w:rFonts w:ascii="Arial Narrow" w:hAnsi="Arial Narrow" w:cs="Arial"/>
                <w:sz w:val="18"/>
                <w:szCs w:val="18"/>
              </w:rPr>
              <w:t>Rilevazione diretta</w:t>
            </w:r>
          </w:p>
        </w:tc>
      </w:tr>
      <w:tr w:rsidR="00F21E70" w14:paraId="2D89E14F" w14:textId="77777777" w:rsidTr="00454BAB">
        <w:trPr>
          <w:trHeight w:val="255"/>
        </w:trPr>
        <w:tc>
          <w:tcPr>
            <w:tcW w:w="993" w:type="pct"/>
            <w:shd w:val="clear" w:color="auto" w:fill="auto"/>
          </w:tcPr>
          <w:p w14:paraId="5AE5D21C" w14:textId="77777777" w:rsidR="00F21E70" w:rsidRDefault="00F21E70" w:rsidP="00454BAB">
            <w:pPr>
              <w:spacing w:before="40" w:after="20"/>
            </w:pPr>
            <w:r w:rsidRPr="00232AB9">
              <w:rPr>
                <w:rFonts w:ascii="Arial Narrow" w:hAnsi="Arial Narrow" w:cs="Arial"/>
                <w:b/>
                <w:sz w:val="18"/>
                <w:szCs w:val="18"/>
              </w:rPr>
              <w:t>Campo di osservazione</w:t>
            </w:r>
          </w:p>
        </w:tc>
        <w:tc>
          <w:tcPr>
            <w:tcW w:w="2003" w:type="pct"/>
            <w:shd w:val="clear" w:color="auto" w:fill="D9D9D9"/>
          </w:tcPr>
          <w:p w14:paraId="3DBA679F" w14:textId="77777777" w:rsidR="00F21E70" w:rsidRPr="00232AB9" w:rsidRDefault="00F21E70" w:rsidP="00454BAB">
            <w:pPr>
              <w:spacing w:before="40" w:after="20"/>
              <w:rPr>
                <w:rFonts w:ascii="Arial Narrow" w:hAnsi="Arial Narrow" w:cs="Arial"/>
                <w:sz w:val="18"/>
                <w:szCs w:val="18"/>
              </w:rPr>
            </w:pPr>
            <w:r w:rsidRPr="00232AB9">
              <w:rPr>
                <w:rFonts w:ascii="Arial Narrow" w:hAnsi="Arial Narrow" w:cs="Arial"/>
                <w:sz w:val="18"/>
                <w:szCs w:val="18"/>
              </w:rPr>
              <w:t>Tutte le merci (cfr</w:t>
            </w:r>
            <w:r w:rsidR="001031B6">
              <w:rPr>
                <w:rFonts w:ascii="Arial Narrow" w:hAnsi="Arial Narrow" w:cs="Arial"/>
                <w:sz w:val="18"/>
                <w:szCs w:val="18"/>
              </w:rPr>
              <w:t>.</w:t>
            </w:r>
            <w:r w:rsidRPr="00232AB9">
              <w:rPr>
                <w:rFonts w:ascii="Arial Narrow" w:hAnsi="Arial Narrow" w:cs="Arial"/>
                <w:sz w:val="18"/>
                <w:szCs w:val="18"/>
              </w:rPr>
              <w:t xml:space="preserve"> glossario), senza restrizioni rispetto all'attività economica prevalente delle unità economiche che hanno attivato i flussi di scambi con l'estero, ad esclusione dell’oro monetario, del software personalizzato, degli strumenti di pagamento aventi corso legale e valori, delle merci destinate alla riparazione.</w:t>
            </w:r>
          </w:p>
        </w:tc>
        <w:tc>
          <w:tcPr>
            <w:tcW w:w="2004" w:type="pct"/>
            <w:shd w:val="clear" w:color="auto" w:fill="auto"/>
          </w:tcPr>
          <w:p w14:paraId="3326045F" w14:textId="77777777" w:rsidR="00F21E70" w:rsidRPr="00232AB9" w:rsidRDefault="00F21E70" w:rsidP="00454BAB">
            <w:pPr>
              <w:spacing w:before="40" w:after="20"/>
              <w:rPr>
                <w:rFonts w:ascii="Arial Narrow" w:hAnsi="Arial Narrow" w:cs="Arial"/>
                <w:sz w:val="18"/>
                <w:szCs w:val="18"/>
              </w:rPr>
            </w:pPr>
            <w:r w:rsidRPr="00232AB9">
              <w:rPr>
                <w:rFonts w:ascii="Arial Narrow" w:hAnsi="Arial Narrow" w:cs="Arial"/>
                <w:sz w:val="18"/>
                <w:szCs w:val="18"/>
              </w:rPr>
              <w:t>1) Prodott</w:t>
            </w:r>
            <w:r>
              <w:rPr>
                <w:rFonts w:ascii="Arial Narrow" w:hAnsi="Arial Narrow" w:cs="Arial"/>
                <w:sz w:val="18"/>
                <w:szCs w:val="18"/>
              </w:rPr>
              <w:t>i inclusi nelle sezioni da B a D</w:t>
            </w:r>
            <w:r w:rsidRPr="00232AB9">
              <w:rPr>
                <w:rFonts w:ascii="Arial Narrow" w:hAnsi="Arial Narrow" w:cs="Arial"/>
                <w:sz w:val="18"/>
                <w:szCs w:val="18"/>
              </w:rPr>
              <w:t xml:space="preserve"> della classificazione CPA (derivata dalla Nace Rev.2);</w:t>
            </w:r>
          </w:p>
          <w:p w14:paraId="54828089" w14:textId="77777777" w:rsidR="00F21E70" w:rsidRDefault="00F21E70" w:rsidP="00454BAB">
            <w:pPr>
              <w:spacing w:before="40" w:after="20"/>
            </w:pPr>
            <w:r w:rsidRPr="00232AB9">
              <w:rPr>
                <w:rFonts w:ascii="Arial Narrow" w:hAnsi="Arial Narrow" w:cs="Arial"/>
                <w:sz w:val="18"/>
                <w:szCs w:val="18"/>
              </w:rPr>
              <w:t>2) imprese con attività economica prevalente nelle sezioni B, C, D, E, G della classificazione Ateco 2007 (derivata dalla Nace Rev.2).</w:t>
            </w:r>
          </w:p>
        </w:tc>
      </w:tr>
      <w:tr w:rsidR="00F21E70" w14:paraId="4EA7E595" w14:textId="77777777" w:rsidTr="00454BAB">
        <w:trPr>
          <w:trHeight w:val="255"/>
        </w:trPr>
        <w:tc>
          <w:tcPr>
            <w:tcW w:w="993" w:type="pct"/>
            <w:shd w:val="clear" w:color="auto" w:fill="auto"/>
          </w:tcPr>
          <w:p w14:paraId="1D956FDD" w14:textId="77777777" w:rsidR="00F21E70" w:rsidRDefault="00F21E70" w:rsidP="00454BAB">
            <w:pPr>
              <w:spacing w:before="40" w:after="20"/>
            </w:pPr>
            <w:r w:rsidRPr="00232AB9">
              <w:rPr>
                <w:rFonts w:ascii="Arial Narrow" w:hAnsi="Arial Narrow" w:cs="Arial"/>
                <w:b/>
                <w:sz w:val="18"/>
                <w:szCs w:val="18"/>
              </w:rPr>
              <w:t>Periodicità di diffusione e dettaglio territoriale dei dati</w:t>
            </w:r>
          </w:p>
        </w:tc>
        <w:tc>
          <w:tcPr>
            <w:tcW w:w="2003" w:type="pct"/>
            <w:shd w:val="clear" w:color="auto" w:fill="D9D9D9"/>
          </w:tcPr>
          <w:p w14:paraId="08F134CD" w14:textId="77777777" w:rsidR="00F21E70" w:rsidRPr="00232AB9" w:rsidRDefault="00F21E70" w:rsidP="00454BAB">
            <w:pPr>
              <w:spacing w:before="40" w:after="20"/>
              <w:rPr>
                <w:rFonts w:ascii="Arial Narrow" w:hAnsi="Arial Narrow" w:cs="Arial"/>
                <w:sz w:val="18"/>
                <w:szCs w:val="18"/>
              </w:rPr>
            </w:pPr>
            <w:r w:rsidRPr="00232AB9">
              <w:rPr>
                <w:rFonts w:ascii="Arial Narrow" w:hAnsi="Arial Narrow" w:cs="Arial"/>
                <w:sz w:val="18"/>
                <w:szCs w:val="18"/>
              </w:rPr>
              <w:t>Cadenza mensile delle stime degli indicatori a livello nazionale</w:t>
            </w:r>
          </w:p>
        </w:tc>
        <w:tc>
          <w:tcPr>
            <w:tcW w:w="2004" w:type="pct"/>
            <w:shd w:val="clear" w:color="auto" w:fill="auto"/>
          </w:tcPr>
          <w:p w14:paraId="288342D6" w14:textId="77777777" w:rsidR="00F21E70" w:rsidRPr="00232AB9" w:rsidRDefault="00F21E70" w:rsidP="00454BAB">
            <w:pPr>
              <w:spacing w:before="40" w:after="20"/>
              <w:rPr>
                <w:rFonts w:ascii="Arial Narrow" w:hAnsi="Arial Narrow" w:cs="Arial"/>
                <w:sz w:val="18"/>
                <w:szCs w:val="18"/>
              </w:rPr>
            </w:pPr>
            <w:r w:rsidRPr="00232AB9">
              <w:rPr>
                <w:rFonts w:ascii="Arial Narrow" w:hAnsi="Arial Narrow" w:cs="Arial"/>
                <w:sz w:val="18"/>
                <w:szCs w:val="18"/>
              </w:rPr>
              <w:t>Cadenza mensile delle stime degli indicatori a livello nazionale</w:t>
            </w:r>
          </w:p>
        </w:tc>
      </w:tr>
      <w:tr w:rsidR="00F21E70" w14:paraId="59E5B057" w14:textId="77777777" w:rsidTr="00454BAB">
        <w:trPr>
          <w:trHeight w:val="255"/>
        </w:trPr>
        <w:tc>
          <w:tcPr>
            <w:tcW w:w="993" w:type="pct"/>
            <w:shd w:val="clear" w:color="auto" w:fill="auto"/>
          </w:tcPr>
          <w:p w14:paraId="1A1F56CE" w14:textId="77777777" w:rsidR="00F21E70" w:rsidRDefault="00F21E70" w:rsidP="00454BAB">
            <w:pPr>
              <w:spacing w:before="40" w:after="20"/>
            </w:pPr>
            <w:r w:rsidRPr="00232AB9">
              <w:rPr>
                <w:rFonts w:ascii="Arial Narrow" w:hAnsi="Arial Narrow" w:cs="Arial"/>
                <w:b/>
                <w:sz w:val="18"/>
                <w:szCs w:val="18"/>
              </w:rPr>
              <w:t>Periodo di riferimento</w:t>
            </w:r>
          </w:p>
        </w:tc>
        <w:tc>
          <w:tcPr>
            <w:tcW w:w="2003" w:type="pct"/>
            <w:shd w:val="clear" w:color="auto" w:fill="D9D9D9"/>
          </w:tcPr>
          <w:p w14:paraId="3F51CFDD" w14:textId="77777777" w:rsidR="00F21E70" w:rsidRPr="00232AB9" w:rsidRDefault="00F21E70" w:rsidP="00454BAB">
            <w:pPr>
              <w:spacing w:before="40" w:after="20"/>
              <w:rPr>
                <w:rFonts w:ascii="Arial Narrow" w:hAnsi="Arial Narrow" w:cs="Arial"/>
                <w:sz w:val="18"/>
                <w:szCs w:val="18"/>
              </w:rPr>
            </w:pPr>
            <w:r w:rsidRPr="00232AB9">
              <w:rPr>
                <w:rFonts w:ascii="Arial Narrow" w:hAnsi="Arial Narrow" w:cs="Arial"/>
                <w:sz w:val="18"/>
                <w:szCs w:val="18"/>
              </w:rPr>
              <w:t>Mese e periodo cui si riferiscono le informazioni raccolte</w:t>
            </w:r>
          </w:p>
        </w:tc>
        <w:tc>
          <w:tcPr>
            <w:tcW w:w="2004" w:type="pct"/>
            <w:shd w:val="clear" w:color="auto" w:fill="auto"/>
          </w:tcPr>
          <w:p w14:paraId="40A01F83" w14:textId="77777777" w:rsidR="00F21E70" w:rsidRPr="00232AB9" w:rsidRDefault="00F21E70" w:rsidP="00454BAB">
            <w:pPr>
              <w:spacing w:before="40" w:after="20"/>
              <w:rPr>
                <w:rFonts w:ascii="Arial Narrow" w:hAnsi="Arial Narrow" w:cs="Arial"/>
                <w:sz w:val="18"/>
                <w:szCs w:val="18"/>
              </w:rPr>
            </w:pPr>
            <w:r w:rsidRPr="00232AB9">
              <w:rPr>
                <w:rFonts w:ascii="Arial Narrow" w:hAnsi="Arial Narrow" w:cs="Arial"/>
                <w:sz w:val="18"/>
                <w:szCs w:val="18"/>
              </w:rPr>
              <w:t>Mese e periodo cui si riferiscono le informazioni raccolte</w:t>
            </w:r>
          </w:p>
        </w:tc>
      </w:tr>
      <w:tr w:rsidR="00F21E70" w14:paraId="0090E66F" w14:textId="77777777" w:rsidTr="00454BAB">
        <w:trPr>
          <w:trHeight w:val="255"/>
        </w:trPr>
        <w:tc>
          <w:tcPr>
            <w:tcW w:w="993" w:type="pct"/>
            <w:shd w:val="clear" w:color="auto" w:fill="auto"/>
          </w:tcPr>
          <w:p w14:paraId="5BAAEBF2" w14:textId="77777777" w:rsidR="00F21E70" w:rsidRDefault="00F21E70" w:rsidP="00454BAB">
            <w:pPr>
              <w:spacing w:before="40" w:after="20"/>
            </w:pPr>
            <w:r w:rsidRPr="00232AB9">
              <w:rPr>
                <w:rFonts w:ascii="Arial Narrow" w:hAnsi="Arial Narrow" w:cs="Arial"/>
                <w:b/>
                <w:sz w:val="18"/>
                <w:szCs w:val="18"/>
              </w:rPr>
              <w:t>Principali indicatori</w:t>
            </w:r>
          </w:p>
        </w:tc>
        <w:tc>
          <w:tcPr>
            <w:tcW w:w="2003" w:type="pct"/>
            <w:shd w:val="clear" w:color="auto" w:fill="D9D9D9"/>
          </w:tcPr>
          <w:p w14:paraId="472A83CC" w14:textId="77777777" w:rsidR="00F21E70" w:rsidRPr="00232AB9" w:rsidRDefault="00F21E70" w:rsidP="00454BAB">
            <w:pPr>
              <w:spacing w:before="40" w:after="20"/>
              <w:rPr>
                <w:rFonts w:ascii="Arial Narrow" w:hAnsi="Arial Narrow" w:cs="Arial"/>
                <w:sz w:val="18"/>
                <w:szCs w:val="18"/>
              </w:rPr>
            </w:pPr>
            <w:r w:rsidRPr="00232AB9">
              <w:rPr>
                <w:rFonts w:ascii="Arial Narrow" w:hAnsi="Arial Narrow" w:cs="Arial"/>
                <w:sz w:val="18"/>
                <w:szCs w:val="18"/>
              </w:rPr>
              <w:t>1) Valori monetari a prezzi correnti rilevati o stimati in termini di valore statistico (Cif, Fob)</w:t>
            </w:r>
          </w:p>
          <w:p w14:paraId="450EFDA1" w14:textId="77777777" w:rsidR="00F21E70" w:rsidRDefault="00F21E70" w:rsidP="00454BAB">
            <w:pPr>
              <w:spacing w:before="40" w:after="20"/>
            </w:pPr>
            <w:r w:rsidRPr="00232AB9">
              <w:rPr>
                <w:rFonts w:ascii="Arial Narrow" w:hAnsi="Arial Narrow" w:cs="Arial"/>
                <w:sz w:val="18"/>
                <w:szCs w:val="18"/>
              </w:rPr>
              <w:t>2) VMU e volumi: Indici di Fisher a base mobile concatenati</w:t>
            </w:r>
          </w:p>
        </w:tc>
        <w:tc>
          <w:tcPr>
            <w:tcW w:w="2004" w:type="pct"/>
            <w:shd w:val="clear" w:color="auto" w:fill="auto"/>
          </w:tcPr>
          <w:p w14:paraId="6B24DF21" w14:textId="0E6F73F3" w:rsidR="00F21E70" w:rsidRDefault="00F21E70" w:rsidP="0007431D">
            <w:pPr>
              <w:spacing w:before="40" w:after="20"/>
            </w:pPr>
            <w:r w:rsidRPr="00232AB9">
              <w:rPr>
                <w:rFonts w:ascii="Arial Narrow" w:hAnsi="Arial Narrow" w:cs="Arial"/>
                <w:sz w:val="18"/>
                <w:szCs w:val="18"/>
              </w:rPr>
              <w:t>Indice di Laspeyres</w:t>
            </w:r>
            <w:r w:rsidR="0007431D">
              <w:rPr>
                <w:rFonts w:ascii="Arial Narrow" w:hAnsi="Arial Narrow" w:cs="Arial"/>
                <w:sz w:val="18"/>
                <w:szCs w:val="18"/>
              </w:rPr>
              <w:t xml:space="preserve"> concatenato</w:t>
            </w:r>
          </w:p>
        </w:tc>
      </w:tr>
    </w:tbl>
    <w:p w14:paraId="51E4E419" w14:textId="77777777" w:rsidR="00501E02" w:rsidRDefault="00501E02" w:rsidP="00501E02">
      <w:pPr>
        <w:spacing w:after="120"/>
        <w:jc w:val="both"/>
        <w:rPr>
          <w:rFonts w:ascii="Arial" w:hAnsi="Arial" w:cs="Arial"/>
          <w:b/>
        </w:rPr>
      </w:pPr>
    </w:p>
    <w:p w14:paraId="550F80A1" w14:textId="77777777" w:rsidR="00501E02" w:rsidRPr="00C9631A" w:rsidRDefault="00501E02" w:rsidP="00501E02">
      <w:pPr>
        <w:pStyle w:val="Titolo8"/>
        <w:spacing w:before="0" w:after="120"/>
        <w:rPr>
          <w:rFonts w:ascii="Arial" w:hAnsi="Arial" w:cs="Arial"/>
          <w:b/>
          <w:i w:val="0"/>
          <w:color w:val="E42618"/>
          <w:sz w:val="22"/>
          <w:szCs w:val="20"/>
        </w:rPr>
      </w:pPr>
      <w:r w:rsidRPr="00C9631A">
        <w:rPr>
          <w:rFonts w:ascii="Arial" w:hAnsi="Arial" w:cs="Arial"/>
          <w:b/>
          <w:i w:val="0"/>
          <w:color w:val="E42618"/>
          <w:sz w:val="22"/>
          <w:szCs w:val="20"/>
        </w:rPr>
        <w:t>Commercio con l’estero</w:t>
      </w:r>
    </w:p>
    <w:p w14:paraId="4EC674DB" w14:textId="77777777" w:rsidR="00501E02" w:rsidRPr="00C21B33" w:rsidRDefault="00501E02" w:rsidP="00501E02">
      <w:pPr>
        <w:spacing w:after="120"/>
        <w:jc w:val="both"/>
        <w:rPr>
          <w:rFonts w:ascii="Arial" w:hAnsi="Arial" w:cs="Arial"/>
          <w:strike/>
          <w:sz w:val="20"/>
          <w:szCs w:val="20"/>
        </w:rPr>
      </w:pPr>
      <w:r w:rsidRPr="00C9631A">
        <w:rPr>
          <w:rFonts w:ascii="Arial" w:hAnsi="Arial" w:cs="Arial"/>
          <w:sz w:val="20"/>
          <w:szCs w:val="20"/>
        </w:rPr>
        <w:t>Le statistiche del commercio estero di beni sono il risultato di due rilevazioni che hanno come oggetto gli scambi dell’Italia con i paesi dell’Unione europea (Ue) e con i paesi extra Ue</w:t>
      </w:r>
      <w:r w:rsidRPr="00104132">
        <w:rPr>
          <w:rFonts w:ascii="Arial" w:hAnsi="Arial" w:cs="Arial"/>
          <w:sz w:val="20"/>
          <w:szCs w:val="20"/>
        </w:rPr>
        <w:t xml:space="preserve">. </w:t>
      </w:r>
    </w:p>
    <w:p w14:paraId="2E7DE3A1" w14:textId="77777777" w:rsidR="00501E02" w:rsidRPr="00C9631A" w:rsidRDefault="00501E02" w:rsidP="00501E02">
      <w:pPr>
        <w:spacing w:after="120"/>
        <w:jc w:val="both"/>
        <w:rPr>
          <w:rFonts w:ascii="Arial" w:hAnsi="Arial" w:cs="Arial"/>
          <w:sz w:val="20"/>
          <w:szCs w:val="20"/>
        </w:rPr>
      </w:pPr>
    </w:p>
    <w:p w14:paraId="2E926ACF" w14:textId="77777777" w:rsidR="00501E02" w:rsidRDefault="00501E02" w:rsidP="00501E02">
      <w:pPr>
        <w:spacing w:after="120"/>
        <w:jc w:val="both"/>
        <w:rPr>
          <w:rFonts w:ascii="Arial" w:hAnsi="Arial" w:cs="Arial"/>
          <w:b/>
          <w:sz w:val="20"/>
          <w:szCs w:val="20"/>
        </w:rPr>
      </w:pPr>
      <w:r w:rsidRPr="00C9631A">
        <w:rPr>
          <w:rFonts w:ascii="Arial" w:hAnsi="Arial" w:cs="Arial"/>
          <w:b/>
          <w:sz w:val="20"/>
          <w:szCs w:val="20"/>
        </w:rPr>
        <w:t>Quadro normativo di riferimento</w:t>
      </w:r>
    </w:p>
    <w:p w14:paraId="42186070" w14:textId="77777777" w:rsidR="00501E02" w:rsidRPr="00D61DDB" w:rsidRDefault="00501E02" w:rsidP="00501E02">
      <w:pPr>
        <w:spacing w:after="120"/>
        <w:jc w:val="both"/>
        <w:rPr>
          <w:rFonts w:ascii="Arial" w:hAnsi="Arial" w:cs="Arial"/>
          <w:sz w:val="20"/>
          <w:szCs w:val="20"/>
        </w:rPr>
      </w:pPr>
      <w:r w:rsidRPr="00D61DDB">
        <w:rPr>
          <w:rFonts w:ascii="Arial" w:hAnsi="Arial" w:cs="Arial"/>
          <w:sz w:val="20"/>
          <w:szCs w:val="20"/>
        </w:rPr>
        <w:t>L</w:t>
      </w:r>
      <w:r>
        <w:rPr>
          <w:rFonts w:ascii="Arial" w:hAnsi="Arial" w:cs="Arial"/>
          <w:sz w:val="20"/>
          <w:szCs w:val="20"/>
        </w:rPr>
        <w:t>e rilevazioni</w:t>
      </w:r>
      <w:r w:rsidRPr="00D61DDB">
        <w:rPr>
          <w:rFonts w:ascii="Arial" w:hAnsi="Arial" w:cs="Arial"/>
          <w:sz w:val="20"/>
          <w:szCs w:val="20"/>
        </w:rPr>
        <w:t xml:space="preserve"> del commercio con i paesi </w:t>
      </w:r>
      <w:r>
        <w:rPr>
          <w:rFonts w:ascii="Arial" w:hAnsi="Arial" w:cs="Arial"/>
          <w:sz w:val="20"/>
          <w:szCs w:val="20"/>
        </w:rPr>
        <w:t xml:space="preserve">Ue ed </w:t>
      </w:r>
      <w:r w:rsidRPr="00D61DDB">
        <w:rPr>
          <w:rFonts w:ascii="Arial" w:hAnsi="Arial" w:cs="Arial"/>
          <w:sz w:val="20"/>
          <w:szCs w:val="20"/>
        </w:rPr>
        <w:t xml:space="preserve">extra Ue </w:t>
      </w:r>
      <w:r>
        <w:rPr>
          <w:rFonts w:ascii="Arial" w:hAnsi="Arial" w:cs="Arial"/>
          <w:sz w:val="20"/>
          <w:szCs w:val="20"/>
        </w:rPr>
        <w:t>sono</w:t>
      </w:r>
      <w:r w:rsidRPr="00E41033">
        <w:rPr>
          <w:rFonts w:ascii="Arial" w:hAnsi="Arial" w:cs="Arial"/>
          <w:sz w:val="20"/>
          <w:szCs w:val="20"/>
        </w:rPr>
        <w:t xml:space="preserve"> effettuat</w:t>
      </w:r>
      <w:r>
        <w:rPr>
          <w:rFonts w:ascii="Arial" w:hAnsi="Arial" w:cs="Arial"/>
          <w:sz w:val="20"/>
          <w:szCs w:val="20"/>
        </w:rPr>
        <w:t>e</w:t>
      </w:r>
      <w:r w:rsidRPr="00D61DDB">
        <w:rPr>
          <w:rFonts w:ascii="Arial" w:hAnsi="Arial" w:cs="Arial"/>
          <w:sz w:val="20"/>
          <w:szCs w:val="20"/>
        </w:rPr>
        <w:t xml:space="preserve"> secondo la normativa comunitaria: Regolamento (UE) 2019/2152 del Parlamento europeo e del Consiglio relativo alle statistiche europee sulle imprese; Regolamento di esecuzione (UE) 2020/1197 della Commissione che stabilisce le specifiche tecniche e le modalità a norma del regolamento (UE) 2019/2152; Regolamento delegato (UE) 2021/1704 della Commissione che integra il regolamento (UE) 2019/2152 specificando ulteriormente i dettagli delle informazioni statistiche che devono essere fornite dalle autorità fiscali e doganali e che ne modifica gli allegati V e VI; Regolamento di esecuzione (UE) 2021/1225 della Commi</w:t>
      </w:r>
      <w:r>
        <w:rPr>
          <w:rFonts w:ascii="Arial" w:hAnsi="Arial" w:cs="Arial"/>
          <w:sz w:val="20"/>
          <w:szCs w:val="20"/>
        </w:rPr>
        <w:t>s</w:t>
      </w:r>
      <w:r w:rsidRPr="00D61DDB">
        <w:rPr>
          <w:rFonts w:ascii="Arial" w:hAnsi="Arial" w:cs="Arial"/>
          <w:sz w:val="20"/>
          <w:szCs w:val="20"/>
        </w:rPr>
        <w:t>sione che specifica le modalità degli scambi di dati a norma del regolamento (UE) 2019/2152 e che modifica il regolamento di esecuzione (UE) 2020/1197 per quanto riguarda lo Stato membro di esportazione extra-UE e gli obblighi delle unità rispondenti</w:t>
      </w:r>
      <w:r>
        <w:rPr>
          <w:rFonts w:ascii="Arial" w:hAnsi="Arial" w:cs="Arial"/>
          <w:sz w:val="20"/>
          <w:szCs w:val="20"/>
        </w:rPr>
        <w:t>.</w:t>
      </w:r>
    </w:p>
    <w:p w14:paraId="3C388F57"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 xml:space="preserve">La rilevazione del commercio con i paesi appartenenti all’Unione europea </w:t>
      </w:r>
      <w:r>
        <w:rPr>
          <w:rFonts w:ascii="Arial" w:hAnsi="Arial" w:cs="Arial"/>
          <w:sz w:val="20"/>
          <w:szCs w:val="20"/>
        </w:rPr>
        <w:t>t</w:t>
      </w:r>
      <w:r w:rsidRPr="00C9631A">
        <w:rPr>
          <w:rFonts w:ascii="Arial" w:hAnsi="Arial" w:cs="Arial"/>
          <w:sz w:val="20"/>
          <w:szCs w:val="20"/>
        </w:rPr>
        <w:t>rova applicazione in sede nazionale con il Decreto Legislativo n. 18/2010 (GU n. 41 del 19-2-2010), il Decreto del Ministro dell’</w:t>
      </w:r>
      <w:r>
        <w:rPr>
          <w:rFonts w:ascii="Arial" w:hAnsi="Arial" w:cs="Arial"/>
          <w:sz w:val="20"/>
          <w:szCs w:val="20"/>
        </w:rPr>
        <w:t>e</w:t>
      </w:r>
      <w:r w:rsidRPr="00C9631A">
        <w:rPr>
          <w:rFonts w:ascii="Arial" w:hAnsi="Arial" w:cs="Arial"/>
          <w:sz w:val="20"/>
          <w:szCs w:val="20"/>
        </w:rPr>
        <w:t xml:space="preserve">conomia e delle </w:t>
      </w:r>
      <w:r>
        <w:rPr>
          <w:rFonts w:ascii="Arial" w:hAnsi="Arial" w:cs="Arial"/>
          <w:sz w:val="20"/>
          <w:szCs w:val="20"/>
        </w:rPr>
        <w:t>f</w:t>
      </w:r>
      <w:r w:rsidRPr="00C9631A">
        <w:rPr>
          <w:rFonts w:ascii="Arial" w:hAnsi="Arial" w:cs="Arial"/>
          <w:sz w:val="20"/>
          <w:szCs w:val="20"/>
        </w:rPr>
        <w:t>inanze del 22/2/2010 (GU n.53 del 5-3-2010) e l</w:t>
      </w:r>
      <w:r>
        <w:rPr>
          <w:rFonts w:ascii="Arial" w:hAnsi="Arial" w:cs="Arial"/>
          <w:sz w:val="20"/>
          <w:szCs w:val="20"/>
        </w:rPr>
        <w:t>a</w:t>
      </w:r>
      <w:r w:rsidRPr="00C9631A">
        <w:rPr>
          <w:rFonts w:ascii="Arial" w:hAnsi="Arial" w:cs="Arial"/>
          <w:sz w:val="20"/>
          <w:szCs w:val="20"/>
        </w:rPr>
        <w:t xml:space="preserve"> Determinazione </w:t>
      </w:r>
      <w:r>
        <w:rPr>
          <w:rFonts w:ascii="Arial" w:hAnsi="Arial" w:cs="Arial"/>
          <w:sz w:val="20"/>
          <w:szCs w:val="20"/>
        </w:rPr>
        <w:t xml:space="preserve">del Direttore </w:t>
      </w:r>
      <w:r w:rsidRPr="00C9631A">
        <w:rPr>
          <w:rFonts w:ascii="Arial" w:hAnsi="Arial" w:cs="Arial"/>
          <w:sz w:val="20"/>
          <w:szCs w:val="20"/>
        </w:rPr>
        <w:t xml:space="preserve">dell’Agenzia delle </w:t>
      </w:r>
      <w:r>
        <w:rPr>
          <w:rFonts w:ascii="Arial" w:hAnsi="Arial" w:cs="Arial"/>
          <w:sz w:val="20"/>
          <w:szCs w:val="20"/>
        </w:rPr>
        <w:t>d</w:t>
      </w:r>
      <w:r w:rsidRPr="00C9631A">
        <w:rPr>
          <w:rFonts w:ascii="Arial" w:hAnsi="Arial" w:cs="Arial"/>
          <w:sz w:val="20"/>
          <w:szCs w:val="20"/>
        </w:rPr>
        <w:t>ogane del 22/2/2010</w:t>
      </w:r>
      <w:r>
        <w:rPr>
          <w:rFonts w:ascii="Arial" w:hAnsi="Arial" w:cs="Arial"/>
          <w:sz w:val="20"/>
          <w:szCs w:val="20"/>
        </w:rPr>
        <w:t>,</w:t>
      </w:r>
      <w:r w:rsidRPr="00C9631A">
        <w:rPr>
          <w:rFonts w:ascii="Arial" w:hAnsi="Arial" w:cs="Arial"/>
          <w:sz w:val="20"/>
          <w:szCs w:val="20"/>
        </w:rPr>
        <w:t xml:space="preserve"> </w:t>
      </w:r>
      <w:r>
        <w:rPr>
          <w:rFonts w:ascii="Arial" w:hAnsi="Arial" w:cs="Arial"/>
          <w:sz w:val="20"/>
          <w:szCs w:val="20"/>
        </w:rPr>
        <w:t>il</w:t>
      </w:r>
      <w:r w:rsidRPr="00C9631A">
        <w:rPr>
          <w:rFonts w:ascii="Arial" w:hAnsi="Arial" w:cs="Arial"/>
          <w:sz w:val="20"/>
          <w:szCs w:val="20"/>
        </w:rPr>
        <w:t xml:space="preserve"> Provvedimento del </w:t>
      </w:r>
      <w:r>
        <w:rPr>
          <w:rFonts w:ascii="Arial" w:hAnsi="Arial" w:cs="Arial"/>
          <w:sz w:val="20"/>
          <w:szCs w:val="20"/>
        </w:rPr>
        <w:t>D</w:t>
      </w:r>
      <w:r w:rsidRPr="00C9631A">
        <w:rPr>
          <w:rFonts w:ascii="Arial" w:hAnsi="Arial" w:cs="Arial"/>
          <w:sz w:val="20"/>
          <w:szCs w:val="20"/>
        </w:rPr>
        <w:t>irettore dell'Agenzia delle entrate</w:t>
      </w:r>
      <w:r>
        <w:rPr>
          <w:rFonts w:ascii="Arial" w:hAnsi="Arial" w:cs="Arial"/>
          <w:sz w:val="20"/>
          <w:szCs w:val="20"/>
        </w:rPr>
        <w:t xml:space="preserve"> n. 194409 </w:t>
      </w:r>
      <w:r w:rsidRPr="00C9631A">
        <w:rPr>
          <w:rFonts w:ascii="Arial" w:hAnsi="Arial" w:cs="Arial"/>
          <w:sz w:val="20"/>
          <w:szCs w:val="20"/>
        </w:rPr>
        <w:t xml:space="preserve"> del 25/09/2017</w:t>
      </w:r>
      <w:r>
        <w:rPr>
          <w:rFonts w:ascii="Arial" w:hAnsi="Arial" w:cs="Arial"/>
          <w:sz w:val="20"/>
          <w:szCs w:val="20"/>
        </w:rPr>
        <w:t xml:space="preserve"> e la </w:t>
      </w:r>
      <w:r w:rsidRPr="00D05D6A">
        <w:rPr>
          <w:rFonts w:ascii="Arial" w:hAnsi="Arial" w:cs="Arial"/>
          <w:sz w:val="20"/>
          <w:szCs w:val="20"/>
        </w:rPr>
        <w:t xml:space="preserve">Determinazione </w:t>
      </w:r>
      <w:r>
        <w:rPr>
          <w:rFonts w:ascii="Arial" w:hAnsi="Arial" w:cs="Arial"/>
          <w:sz w:val="20"/>
          <w:szCs w:val="20"/>
        </w:rPr>
        <w:t xml:space="preserve">del Direttore dell’Agenzia delle dogane e monopoli </w:t>
      </w:r>
      <w:r w:rsidRPr="00D05D6A">
        <w:rPr>
          <w:rFonts w:ascii="Arial" w:hAnsi="Arial" w:cs="Arial"/>
          <w:sz w:val="20"/>
          <w:szCs w:val="20"/>
        </w:rPr>
        <w:t>n</w:t>
      </w:r>
      <w:r>
        <w:rPr>
          <w:rFonts w:ascii="Arial" w:hAnsi="Arial" w:cs="Arial"/>
          <w:sz w:val="20"/>
          <w:szCs w:val="20"/>
        </w:rPr>
        <w:t>.</w:t>
      </w:r>
      <w:r w:rsidRPr="00D05D6A">
        <w:rPr>
          <w:rFonts w:ascii="Arial" w:hAnsi="Arial" w:cs="Arial"/>
          <w:sz w:val="20"/>
          <w:szCs w:val="20"/>
        </w:rPr>
        <w:t xml:space="preserve"> 493869 del 23 dicembre 2021</w:t>
      </w:r>
      <w:r w:rsidRPr="00C9631A">
        <w:rPr>
          <w:rFonts w:ascii="Arial" w:hAnsi="Arial" w:cs="Arial"/>
          <w:sz w:val="20"/>
          <w:szCs w:val="20"/>
        </w:rPr>
        <w:t xml:space="preserve">. </w:t>
      </w:r>
    </w:p>
    <w:p w14:paraId="60DFD099" w14:textId="77777777" w:rsidR="00501E02" w:rsidRDefault="00501E02" w:rsidP="00501E02">
      <w:pPr>
        <w:spacing w:after="120"/>
        <w:jc w:val="both"/>
        <w:rPr>
          <w:rFonts w:ascii="Arial" w:hAnsi="Arial" w:cs="Arial"/>
          <w:sz w:val="20"/>
          <w:szCs w:val="20"/>
        </w:rPr>
      </w:pPr>
      <w:r w:rsidRPr="00C9631A">
        <w:rPr>
          <w:rFonts w:ascii="Arial" w:hAnsi="Arial" w:cs="Arial"/>
          <w:sz w:val="20"/>
          <w:szCs w:val="20"/>
        </w:rPr>
        <w:t xml:space="preserve">La rilevazione del commercio con i paesi extra Ue </w:t>
      </w:r>
      <w:r>
        <w:rPr>
          <w:rFonts w:ascii="Arial" w:hAnsi="Arial" w:cs="Arial"/>
          <w:sz w:val="20"/>
          <w:szCs w:val="20"/>
        </w:rPr>
        <w:t xml:space="preserve">trova </w:t>
      </w:r>
      <w:r w:rsidRPr="00C9631A">
        <w:rPr>
          <w:rFonts w:ascii="Arial" w:hAnsi="Arial" w:cs="Arial"/>
          <w:sz w:val="20"/>
          <w:szCs w:val="20"/>
        </w:rPr>
        <w:t xml:space="preserve">applicazione in sede nazionale con opportuni provvedimenti emanati dall’Agenzia delle </w:t>
      </w:r>
      <w:r>
        <w:rPr>
          <w:rFonts w:ascii="Arial" w:hAnsi="Arial" w:cs="Arial"/>
          <w:sz w:val="20"/>
          <w:szCs w:val="20"/>
        </w:rPr>
        <w:t>d</w:t>
      </w:r>
      <w:r w:rsidRPr="00C9631A">
        <w:rPr>
          <w:rFonts w:ascii="Arial" w:hAnsi="Arial" w:cs="Arial"/>
          <w:sz w:val="20"/>
          <w:szCs w:val="20"/>
        </w:rPr>
        <w:t>ogane</w:t>
      </w:r>
      <w:r>
        <w:rPr>
          <w:rFonts w:ascii="Arial" w:hAnsi="Arial" w:cs="Arial"/>
          <w:sz w:val="20"/>
          <w:szCs w:val="20"/>
        </w:rPr>
        <w:t>.</w:t>
      </w:r>
    </w:p>
    <w:p w14:paraId="05526F2D" w14:textId="77777777" w:rsidR="00501E02" w:rsidRPr="00C9631A" w:rsidRDefault="00501E02" w:rsidP="00501E02">
      <w:pPr>
        <w:spacing w:after="120"/>
        <w:jc w:val="both"/>
        <w:rPr>
          <w:rFonts w:ascii="Arial" w:hAnsi="Arial" w:cs="Arial"/>
          <w:sz w:val="20"/>
          <w:szCs w:val="20"/>
        </w:rPr>
      </w:pPr>
    </w:p>
    <w:p w14:paraId="467FD2E9" w14:textId="77777777" w:rsidR="00501E02" w:rsidRPr="00C9631A" w:rsidRDefault="00501E02" w:rsidP="00501E02">
      <w:pPr>
        <w:spacing w:after="120"/>
        <w:jc w:val="both"/>
        <w:rPr>
          <w:rFonts w:ascii="Arial" w:hAnsi="Arial" w:cs="Arial"/>
          <w:b/>
          <w:sz w:val="20"/>
          <w:szCs w:val="20"/>
        </w:rPr>
      </w:pPr>
      <w:r w:rsidRPr="00C9631A">
        <w:rPr>
          <w:rFonts w:ascii="Arial" w:hAnsi="Arial" w:cs="Arial"/>
          <w:b/>
          <w:sz w:val="20"/>
          <w:szCs w:val="20"/>
        </w:rPr>
        <w:t xml:space="preserve">Fonti utilizzate e raccolta dei dati </w:t>
      </w:r>
    </w:p>
    <w:p w14:paraId="30CB0C03" w14:textId="77777777" w:rsidR="00501E02" w:rsidRPr="00FA0113" w:rsidRDefault="00501E02" w:rsidP="00501E02">
      <w:pPr>
        <w:spacing w:after="120"/>
        <w:jc w:val="both"/>
        <w:rPr>
          <w:rFonts w:ascii="Arial" w:hAnsi="Arial" w:cs="Arial"/>
          <w:sz w:val="16"/>
          <w:szCs w:val="16"/>
        </w:rPr>
      </w:pPr>
      <w:r w:rsidRPr="00C9631A">
        <w:rPr>
          <w:rFonts w:ascii="Arial" w:hAnsi="Arial" w:cs="Arial"/>
          <w:sz w:val="20"/>
          <w:szCs w:val="20"/>
        </w:rPr>
        <w:t xml:space="preserve">Per la produzione di statistiche sugli scambi di merci con i paesi Ue, le informazioni sono raccolte tramite i modelli Intrastat che riportano, in sezioni distinte, le dichiarazioni per acquisti e cessioni di beni e per prestazioni di servizi resi e ricevuti. </w:t>
      </w:r>
    </w:p>
    <w:p w14:paraId="7898A0FC" w14:textId="77777777" w:rsidR="00454BAB" w:rsidRDefault="00454BAB" w:rsidP="00501E02">
      <w:pPr>
        <w:spacing w:after="120"/>
        <w:jc w:val="both"/>
        <w:rPr>
          <w:rFonts w:ascii="Arial" w:hAnsi="Arial" w:cs="Arial"/>
          <w:sz w:val="20"/>
          <w:szCs w:val="20"/>
        </w:rPr>
      </w:pPr>
    </w:p>
    <w:p w14:paraId="1264D1D8" w14:textId="77777777" w:rsidR="00501E02" w:rsidRPr="00A80498" w:rsidRDefault="00501E02" w:rsidP="00501E02">
      <w:pPr>
        <w:spacing w:after="120"/>
        <w:jc w:val="both"/>
        <w:rPr>
          <w:rFonts w:ascii="Arial" w:hAnsi="Arial" w:cs="Arial"/>
          <w:sz w:val="20"/>
          <w:szCs w:val="20"/>
        </w:rPr>
      </w:pPr>
      <w:r w:rsidRPr="00A80498">
        <w:rPr>
          <w:rFonts w:ascii="Arial" w:hAnsi="Arial" w:cs="Arial"/>
          <w:sz w:val="20"/>
          <w:szCs w:val="20"/>
        </w:rPr>
        <w:t>L’universo di riferimento è costituito dai soggetti economici identificati sulla base della partiva iva, che risultano aver effettuato almeno una transazione commerciale con i paesi Ue nel periodo considerato. Ai sensi della legge 27 febbraio 2017 n. 19 e della Determinazione del Direttore dell’Agenzia delle dogane e dei monopoli n. 493869 del 23 dicembre 2021, a partire dal 1° gennaio 2022 le soglie statistiche che determinano l’obbligatorietà di risposta alla rilevazione mensile Intrastat sono così definite:</w:t>
      </w:r>
    </w:p>
    <w:p w14:paraId="40D30D55" w14:textId="77777777" w:rsidR="00501E02" w:rsidRPr="00A80498" w:rsidRDefault="00501E02" w:rsidP="00501E02">
      <w:pPr>
        <w:spacing w:after="120"/>
        <w:jc w:val="both"/>
        <w:rPr>
          <w:rFonts w:ascii="Arial" w:hAnsi="Arial" w:cs="Arial"/>
          <w:sz w:val="20"/>
          <w:szCs w:val="20"/>
        </w:rPr>
      </w:pPr>
      <w:r w:rsidRPr="00A80498">
        <w:rPr>
          <w:rFonts w:ascii="Arial" w:hAnsi="Arial" w:cs="Arial"/>
          <w:sz w:val="20"/>
          <w:szCs w:val="20"/>
        </w:rPr>
        <w:t>a) cessioni di beni, per i soggetti che hanno realizzato, in almeno uno dei quattro trimestri precedenti, un ammontare totale trimestrale superiore ai 100.000 euro (tale soglia resta la stessa in vigore dal 1° gennaio 2018);</w:t>
      </w:r>
    </w:p>
    <w:p w14:paraId="7BB342C1" w14:textId="77777777" w:rsidR="00501E02" w:rsidRPr="00C9631A" w:rsidRDefault="00501E02" w:rsidP="00501E02">
      <w:pPr>
        <w:spacing w:after="120"/>
        <w:jc w:val="both"/>
        <w:rPr>
          <w:rFonts w:ascii="Arial" w:hAnsi="Arial" w:cs="Arial"/>
          <w:sz w:val="20"/>
          <w:szCs w:val="20"/>
        </w:rPr>
      </w:pPr>
      <w:r w:rsidRPr="00A80498">
        <w:rPr>
          <w:rFonts w:ascii="Arial" w:hAnsi="Arial" w:cs="Arial"/>
          <w:sz w:val="20"/>
          <w:szCs w:val="20"/>
        </w:rPr>
        <w:t>b) acquisti di beni, per i soggetti che hanno realizzato, in almeno uno dei quattro trimestri precedenti, un ammontare totale trimestrale superiore ai 350.000 euro (da gennaio 2018 a dicembre 2021, la soglia era di 200.000 euro).</w:t>
      </w:r>
    </w:p>
    <w:p w14:paraId="2714CDE4"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Le dichiarazioni Intrastat vengono trasmesse in via telematica all’Agenzia delle Dogane.</w:t>
      </w:r>
    </w:p>
    <w:p w14:paraId="642B6D55"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A partire dal 20</w:t>
      </w:r>
      <w:r>
        <w:rPr>
          <w:rFonts w:ascii="Arial" w:hAnsi="Arial" w:cs="Arial"/>
          <w:sz w:val="20"/>
          <w:szCs w:val="20"/>
        </w:rPr>
        <w:t>22</w:t>
      </w:r>
      <w:r w:rsidRPr="00C9631A">
        <w:rPr>
          <w:rFonts w:ascii="Arial" w:hAnsi="Arial" w:cs="Arial"/>
          <w:sz w:val="20"/>
          <w:szCs w:val="20"/>
        </w:rPr>
        <w:t>, i dati necessari alla compilazione delle statistiche sugli scambi di merci con i paesi dell’Ue sono forniti esclusivamente dagli operatori obbligati alle dichiarazioni mensili secondo le nuove soglie sopra riportate. I flussi di merci attivati da questi operatori coprono circa il 97% delle cessioni e il 9</w:t>
      </w:r>
      <w:r>
        <w:rPr>
          <w:rFonts w:ascii="Arial" w:hAnsi="Arial" w:cs="Arial"/>
          <w:sz w:val="20"/>
          <w:szCs w:val="20"/>
        </w:rPr>
        <w:t>1</w:t>
      </w:r>
      <w:r w:rsidRPr="00C9631A">
        <w:rPr>
          <w:rFonts w:ascii="Arial" w:hAnsi="Arial" w:cs="Arial"/>
          <w:sz w:val="20"/>
          <w:szCs w:val="20"/>
        </w:rPr>
        <w:t>% degli acquisti intracomunitari realizzando una consistente riduzione del carico informativo sugli operatori</w:t>
      </w:r>
      <w:r w:rsidRPr="00C9631A">
        <w:rPr>
          <w:rStyle w:val="Rimandonotaapidipagina"/>
          <w:rFonts w:ascii="Arial" w:hAnsi="Arial" w:cs="Arial"/>
          <w:sz w:val="20"/>
          <w:szCs w:val="20"/>
        </w:rPr>
        <w:footnoteReference w:id="1"/>
      </w:r>
      <w:r w:rsidRPr="00C9631A">
        <w:rPr>
          <w:rFonts w:ascii="Arial" w:hAnsi="Arial" w:cs="Arial"/>
          <w:sz w:val="20"/>
          <w:szCs w:val="20"/>
        </w:rPr>
        <w:t xml:space="preserve">. </w:t>
      </w:r>
    </w:p>
    <w:p w14:paraId="710E36FC" w14:textId="77777777" w:rsidR="00501E02" w:rsidRDefault="00501E02" w:rsidP="00501E02">
      <w:pPr>
        <w:spacing w:after="120"/>
        <w:jc w:val="both"/>
        <w:rPr>
          <w:rFonts w:ascii="Arial" w:hAnsi="Arial" w:cs="Arial"/>
          <w:sz w:val="20"/>
          <w:szCs w:val="20"/>
        </w:rPr>
      </w:pPr>
      <w:r w:rsidRPr="00C9631A">
        <w:rPr>
          <w:rFonts w:ascii="Arial" w:hAnsi="Arial" w:cs="Arial"/>
          <w:sz w:val="20"/>
          <w:szCs w:val="20"/>
        </w:rPr>
        <w:t xml:space="preserve">Al fine di realizzare una stima accurata e tempestiva che completi il quadro informativo rispetto all’universo degli operatori che realizzano scambi commerciali con i paesi dell’Ue è stato adottato un approccio di tipo </w:t>
      </w:r>
      <w:r w:rsidRPr="00AB0189">
        <w:rPr>
          <w:rFonts w:ascii="Arial" w:hAnsi="Arial" w:cs="Arial"/>
          <w:i/>
          <w:sz w:val="20"/>
          <w:szCs w:val="20"/>
        </w:rPr>
        <w:t>register-based</w:t>
      </w:r>
      <w:r w:rsidRPr="00C9631A">
        <w:rPr>
          <w:rFonts w:ascii="Arial" w:hAnsi="Arial" w:cs="Arial"/>
          <w:sz w:val="20"/>
          <w:szCs w:val="20"/>
        </w:rPr>
        <w:t xml:space="preserve"> che provvede a stimare, attraverso opportune metodologie, la componente dei flussi attribuibile agli operatori non obbligati a fornire informazioni, considerando congiuntamente sia i domini nazionali che territoriali. In occasione della revisione annuale dei dati realizzata ogni anno a novembre, verranno considerate nei processi di imputazione e stima delle informazioni mancanti ulteriori informazioni presenti nel sistema dei registri e delle fonti fiscali e amministrative disponibili per migliorare ulteriormente la qualità e la copertura delle stime prodotte. </w:t>
      </w:r>
    </w:p>
    <w:p w14:paraId="49604AF9"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La rilevazione con i paesi extra Ue è effettuata elaborando dati provenienti da una base dati di tipo fiscale-amministrativo (Documento Amministrativo Unico – DAU) coerente con le definizioni e le classificazioni di tipo statistico e ha periodicità mensile.</w:t>
      </w:r>
    </w:p>
    <w:p w14:paraId="0E28FBD1" w14:textId="77777777" w:rsidR="00501E02" w:rsidRDefault="00501E02" w:rsidP="00501E02">
      <w:pPr>
        <w:spacing w:after="120"/>
        <w:jc w:val="both"/>
        <w:rPr>
          <w:rFonts w:ascii="Arial" w:hAnsi="Arial" w:cs="Arial"/>
          <w:sz w:val="20"/>
          <w:szCs w:val="20"/>
        </w:rPr>
      </w:pPr>
      <w:r w:rsidRPr="00C9631A">
        <w:rPr>
          <w:rFonts w:ascii="Arial" w:hAnsi="Arial" w:cs="Arial"/>
          <w:sz w:val="20"/>
          <w:szCs w:val="20"/>
        </w:rPr>
        <w:t>Conformemente alla normativa comunitaria, dal 2000 le esportazioni e le importazioni al di sotto delle soglie di esclusione (operazioni commerciali di valore – a partire dal 2010 – inferiore a 1.000 euro) vengono inserite nelle statistiche del commercio estero con i paesi extra Ue mensilmente in forma aggregata.</w:t>
      </w:r>
    </w:p>
    <w:p w14:paraId="55512DBB" w14:textId="77777777" w:rsidR="00501E02" w:rsidRPr="00C9631A" w:rsidRDefault="00501E02" w:rsidP="00501E02">
      <w:pPr>
        <w:spacing w:after="120"/>
        <w:jc w:val="both"/>
        <w:rPr>
          <w:rFonts w:ascii="Arial" w:hAnsi="Arial" w:cs="Arial"/>
          <w:sz w:val="20"/>
          <w:szCs w:val="20"/>
        </w:rPr>
      </w:pPr>
      <w:r>
        <w:rPr>
          <w:rFonts w:ascii="Arial" w:hAnsi="Arial" w:cs="Arial"/>
          <w:sz w:val="20"/>
          <w:szCs w:val="20"/>
        </w:rPr>
        <w:t>A partire dal mese di gennaio 2022, i</w:t>
      </w:r>
      <w:r w:rsidRPr="00C232B1">
        <w:rPr>
          <w:rFonts w:ascii="Arial" w:hAnsi="Arial" w:cs="Arial"/>
          <w:sz w:val="20"/>
          <w:szCs w:val="20"/>
        </w:rPr>
        <w:t xml:space="preserve">n applicazione delle disposizioni di cui al Regolamento di </w:t>
      </w:r>
      <w:r>
        <w:rPr>
          <w:rFonts w:ascii="Arial" w:hAnsi="Arial" w:cs="Arial"/>
          <w:sz w:val="20"/>
          <w:szCs w:val="20"/>
        </w:rPr>
        <w:t xml:space="preserve">esecuzione (UE) 2020/1197, non è richiesta la disaggregazione dei flussi di interscambio intracomunitario in termini di singoli prodotti </w:t>
      </w:r>
      <w:r w:rsidRPr="00C232B1">
        <w:rPr>
          <w:rFonts w:ascii="Arial" w:hAnsi="Arial" w:cs="Arial"/>
          <w:sz w:val="20"/>
          <w:szCs w:val="20"/>
        </w:rPr>
        <w:t>della nomenclatura co</w:t>
      </w:r>
      <w:r>
        <w:rPr>
          <w:rFonts w:ascii="Arial" w:hAnsi="Arial" w:cs="Arial"/>
          <w:sz w:val="20"/>
          <w:szCs w:val="20"/>
        </w:rPr>
        <w:t xml:space="preserve">mbinata </w:t>
      </w:r>
      <w:r w:rsidRPr="00C232B1">
        <w:rPr>
          <w:rFonts w:ascii="Arial" w:hAnsi="Arial" w:cs="Arial"/>
          <w:sz w:val="20"/>
          <w:szCs w:val="20"/>
        </w:rPr>
        <w:t xml:space="preserve">per le spedizioni di valore inferiore </w:t>
      </w:r>
      <w:r>
        <w:rPr>
          <w:rFonts w:ascii="Arial" w:hAnsi="Arial" w:cs="Arial"/>
          <w:sz w:val="20"/>
          <w:szCs w:val="20"/>
        </w:rPr>
        <w:t>a</w:t>
      </w:r>
      <w:r w:rsidRPr="00C232B1">
        <w:rPr>
          <w:rFonts w:ascii="Arial" w:hAnsi="Arial" w:cs="Arial"/>
          <w:sz w:val="20"/>
          <w:szCs w:val="20"/>
        </w:rPr>
        <w:t xml:space="preserve"> 1.000</w:t>
      </w:r>
      <w:r>
        <w:rPr>
          <w:rFonts w:ascii="Arial" w:hAnsi="Arial" w:cs="Arial"/>
          <w:sz w:val="20"/>
          <w:szCs w:val="20"/>
        </w:rPr>
        <w:t xml:space="preserve"> euro.</w:t>
      </w:r>
    </w:p>
    <w:p w14:paraId="2654509A" w14:textId="77777777" w:rsidR="00501E02" w:rsidRDefault="00501E02" w:rsidP="00501E02">
      <w:pPr>
        <w:suppressAutoHyphens/>
        <w:spacing w:after="120"/>
        <w:jc w:val="both"/>
        <w:rPr>
          <w:rFonts w:ascii="Arial" w:hAnsi="Arial" w:cs="Arial"/>
          <w:sz w:val="20"/>
          <w:szCs w:val="20"/>
        </w:rPr>
      </w:pPr>
      <w:r w:rsidRPr="00C9631A">
        <w:rPr>
          <w:rFonts w:ascii="Arial" w:hAnsi="Arial" w:cs="Arial"/>
          <w:sz w:val="20"/>
          <w:szCs w:val="20"/>
        </w:rPr>
        <w:t xml:space="preserve">A partire dal mese di settembre 2011 è stata implementata una nuova metodologia di produzione delle statistiche sugli scambi con l’estero di gas naturale allo stato gassoso e di energia elettrica, che si basa sull’impiego diretto di fonti informative alternative ai dati statistico-doganali solo per quanto riguarda la misurazione degli scambi complessivi in quantità, mentre per le altre variabili di analisi e classificazione richieste dai regolamenti statistici comunitari (dati in valore monetario e allocazione geografica dei flussi con l’estero per “paese statistico”) sono stati adottati opportuni criteri di stima. </w:t>
      </w:r>
    </w:p>
    <w:p w14:paraId="0BA4EC7B" w14:textId="77777777" w:rsidR="00C50F34" w:rsidRPr="00C9631A" w:rsidRDefault="00C50F34" w:rsidP="00774D4C">
      <w:pPr>
        <w:spacing w:after="120"/>
        <w:jc w:val="both"/>
        <w:rPr>
          <w:rFonts w:ascii="Arial" w:hAnsi="Arial" w:cs="Arial"/>
          <w:sz w:val="20"/>
          <w:szCs w:val="20"/>
        </w:rPr>
      </w:pPr>
    </w:p>
    <w:p w14:paraId="5110D791" w14:textId="77777777" w:rsidR="00501E02" w:rsidRPr="00C9631A" w:rsidRDefault="00501E02" w:rsidP="00501E02">
      <w:pPr>
        <w:spacing w:after="120"/>
        <w:jc w:val="both"/>
        <w:rPr>
          <w:rFonts w:ascii="Arial" w:hAnsi="Arial" w:cs="Arial"/>
          <w:b/>
          <w:sz w:val="20"/>
          <w:szCs w:val="20"/>
        </w:rPr>
      </w:pPr>
      <w:r w:rsidRPr="00C9631A">
        <w:rPr>
          <w:rFonts w:ascii="Arial" w:hAnsi="Arial" w:cs="Arial"/>
          <w:b/>
          <w:sz w:val="20"/>
          <w:szCs w:val="20"/>
        </w:rPr>
        <w:t>Classificazioni utilizzate</w:t>
      </w:r>
    </w:p>
    <w:p w14:paraId="0E2AA7F3" w14:textId="77777777" w:rsidR="00501E02" w:rsidRDefault="00501E02" w:rsidP="00501E02">
      <w:pPr>
        <w:spacing w:after="100"/>
        <w:jc w:val="both"/>
        <w:rPr>
          <w:rFonts w:ascii="Arial" w:hAnsi="Arial" w:cs="Arial"/>
          <w:sz w:val="20"/>
          <w:szCs w:val="20"/>
        </w:rPr>
      </w:pPr>
      <w:r w:rsidRPr="00C9631A">
        <w:rPr>
          <w:rFonts w:ascii="Arial" w:hAnsi="Arial" w:cs="Arial"/>
          <w:sz w:val="20"/>
          <w:szCs w:val="20"/>
        </w:rPr>
        <w:t>Le principali classificazioni utilizzate nella produzione delle statistiche del commercio con l’estero sono definite a partire dall</w:t>
      </w:r>
      <w:r>
        <w:rPr>
          <w:rFonts w:ascii="Arial" w:hAnsi="Arial" w:cs="Arial"/>
          <w:sz w:val="20"/>
          <w:szCs w:val="20"/>
        </w:rPr>
        <w:t>e</w:t>
      </w:r>
      <w:r w:rsidRPr="00C9631A">
        <w:rPr>
          <w:rFonts w:ascii="Arial" w:hAnsi="Arial" w:cs="Arial"/>
          <w:sz w:val="20"/>
          <w:szCs w:val="20"/>
        </w:rPr>
        <w:t xml:space="preserve"> informazioni elementari riguardanti la tipologia delle merci, il paese statistico e la provincia di provenienza o destinazione delle merci. </w:t>
      </w:r>
    </w:p>
    <w:p w14:paraId="1579D9B1" w14:textId="77777777" w:rsidR="00501E02" w:rsidRDefault="00501E02" w:rsidP="00501E02">
      <w:pPr>
        <w:spacing w:after="100"/>
        <w:jc w:val="both"/>
        <w:rPr>
          <w:rFonts w:ascii="Arial" w:hAnsi="Arial" w:cs="Arial"/>
          <w:sz w:val="20"/>
          <w:szCs w:val="20"/>
        </w:rPr>
      </w:pPr>
      <w:r w:rsidRPr="00C9631A">
        <w:rPr>
          <w:rFonts w:ascii="Arial" w:hAnsi="Arial" w:cs="Arial"/>
          <w:sz w:val="20"/>
          <w:szCs w:val="20"/>
        </w:rPr>
        <w:t>Nel rispetto dei Regolamenti comunitari, gli scambi commerciali di beni tra paesi membri sono classificati secondo il paese di provenienza per gli acquisti e il paese di destinazione per le cessioni, mentre quelli con i paesi terzi sono classificati secondo il paese di origine per le importazioni e il paese di destinazione per le esportazioni.</w:t>
      </w:r>
    </w:p>
    <w:p w14:paraId="7EA1088E" w14:textId="77777777" w:rsidR="00501E02" w:rsidRPr="00C9631A" w:rsidRDefault="00501E02" w:rsidP="00501E02">
      <w:pPr>
        <w:suppressAutoHyphens/>
        <w:spacing w:after="100"/>
        <w:jc w:val="both"/>
        <w:rPr>
          <w:rFonts w:ascii="Arial" w:hAnsi="Arial" w:cs="Arial"/>
          <w:sz w:val="20"/>
          <w:szCs w:val="20"/>
        </w:rPr>
      </w:pPr>
      <w:r w:rsidRPr="00C9631A">
        <w:rPr>
          <w:rFonts w:ascii="Arial" w:hAnsi="Arial" w:cs="Arial"/>
          <w:sz w:val="20"/>
          <w:szCs w:val="20"/>
        </w:rPr>
        <w:t>La classificazione utilizzata per definire le aree geografiche e le aree geoeconomiche di appartenenza dei paesi è la Geonomenclatura dei paesi e territori per le statistiche del commercio estero dell’Unione e del commercio tra i suoi Stati membri, stabilita da Eurostat.</w:t>
      </w:r>
    </w:p>
    <w:p w14:paraId="02D224B4" w14:textId="77777777" w:rsidR="00501E02" w:rsidRDefault="00501E02" w:rsidP="00501E02">
      <w:pPr>
        <w:spacing w:after="120"/>
        <w:jc w:val="both"/>
        <w:rPr>
          <w:rFonts w:ascii="Arial" w:hAnsi="Arial" w:cs="Arial"/>
          <w:sz w:val="20"/>
          <w:szCs w:val="20"/>
        </w:rPr>
      </w:pPr>
      <w:r w:rsidRPr="00C9631A">
        <w:rPr>
          <w:rFonts w:ascii="Arial" w:hAnsi="Arial" w:cs="Arial"/>
          <w:sz w:val="20"/>
          <w:szCs w:val="20"/>
        </w:rPr>
        <w:t xml:space="preserve">La classificazione di base utilizzata per la rilevazione di informazioni statistiche sugli scambi di merci è la Nomenclatura Combinata (NC), definita dall’Unione europea e annualmente aggiornata. </w:t>
      </w:r>
    </w:p>
    <w:p w14:paraId="52D6BD45" w14:textId="77777777" w:rsidR="00454BAB" w:rsidRDefault="00454BAB" w:rsidP="00501E02">
      <w:pPr>
        <w:spacing w:after="120"/>
        <w:jc w:val="both"/>
        <w:rPr>
          <w:rFonts w:ascii="Arial" w:hAnsi="Arial" w:cs="Arial"/>
          <w:sz w:val="20"/>
          <w:szCs w:val="20"/>
        </w:rPr>
      </w:pPr>
    </w:p>
    <w:p w14:paraId="1327DC89"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A partire da gennaio 2009 i raggruppamenti di merci dell’interscambio commerciale sono definiti sulla base della classificazione delle attività economiche Ateco 2007 opportunamente adattata alle statistiche sul commercio estero. L’Ateco 2007, infatti, costituisce la versione nazionale della nomenclatura europea Nace rev. 2, pubblicata sull’Official Journal il 2 dicembre 2006 (Regolamento (CE) n. 1893/2006 del PE e del Consiglio del 20/12/2006), con la quale coincide fino alla quarta cifra.</w:t>
      </w:r>
    </w:p>
    <w:p w14:paraId="7B441D6D"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Ai fini di fornire le informazioni a un livello di dettaglio idoneo ad analizzare l’interscambio commerciale italiano, i dati sono rilasciati secondo un’opportuna disaggregazione intermedia delle sezioni.</w:t>
      </w:r>
    </w:p>
    <w:p w14:paraId="7F29DE7F"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Nel corso dell’anno 2003, l’Istat ha modificato, per i dati di commercio estero così come per tutti gli indicatori congiunturali dell’industria, la classificazione delle aggregazioni per destinazione economica dei prodotti “Raggruppamenti Principali di Industrie (RPI)”, definiti dal Regolamento della Commissione n.586/2001 (G.U. delle Comunità europee del 27/03/2001). A seguito dell'entrata in vigore della Nace Rev. 2 tale Regolamento è stato modificato dal Regolamento (CE) n. 656/2007 del 14/06/2007.</w:t>
      </w:r>
    </w:p>
    <w:p w14:paraId="0449B0BE"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I Raggruppamenti Principali di Industrie (RPI) sono:</w:t>
      </w:r>
    </w:p>
    <w:p w14:paraId="1A0E0D37" w14:textId="77777777" w:rsidR="00501E02" w:rsidRPr="00C9631A" w:rsidRDefault="00501E02" w:rsidP="00501E02">
      <w:pPr>
        <w:numPr>
          <w:ilvl w:val="0"/>
          <w:numId w:val="32"/>
        </w:numPr>
        <w:spacing w:after="120"/>
        <w:ind w:left="426"/>
        <w:jc w:val="both"/>
        <w:rPr>
          <w:rFonts w:ascii="Arial" w:hAnsi="Arial" w:cs="Arial"/>
          <w:sz w:val="20"/>
          <w:szCs w:val="20"/>
        </w:rPr>
      </w:pPr>
      <w:r w:rsidRPr="00C9631A">
        <w:rPr>
          <w:rFonts w:ascii="Arial" w:hAnsi="Arial" w:cs="Arial"/>
          <w:sz w:val="20"/>
          <w:szCs w:val="20"/>
        </w:rPr>
        <w:t>Beni di consumo durevoli;</w:t>
      </w:r>
    </w:p>
    <w:p w14:paraId="281DC68E" w14:textId="77777777" w:rsidR="00501E02" w:rsidRPr="00C9631A" w:rsidRDefault="00501E02" w:rsidP="00501E02">
      <w:pPr>
        <w:numPr>
          <w:ilvl w:val="0"/>
          <w:numId w:val="32"/>
        </w:numPr>
        <w:spacing w:after="120"/>
        <w:ind w:left="426"/>
        <w:jc w:val="both"/>
        <w:rPr>
          <w:rFonts w:ascii="Arial" w:hAnsi="Arial" w:cs="Arial"/>
          <w:sz w:val="20"/>
          <w:szCs w:val="20"/>
        </w:rPr>
      </w:pPr>
      <w:r w:rsidRPr="00C9631A">
        <w:rPr>
          <w:rFonts w:ascii="Arial" w:hAnsi="Arial" w:cs="Arial"/>
          <w:sz w:val="20"/>
          <w:szCs w:val="20"/>
        </w:rPr>
        <w:t>Beni di consumo non durevoli;</w:t>
      </w:r>
    </w:p>
    <w:p w14:paraId="19570BAE" w14:textId="77777777" w:rsidR="00501E02" w:rsidRPr="00C9631A" w:rsidRDefault="00501E02" w:rsidP="00501E02">
      <w:pPr>
        <w:numPr>
          <w:ilvl w:val="0"/>
          <w:numId w:val="32"/>
        </w:numPr>
        <w:spacing w:after="120"/>
        <w:ind w:left="426"/>
        <w:jc w:val="both"/>
        <w:rPr>
          <w:rFonts w:ascii="Arial" w:hAnsi="Arial" w:cs="Arial"/>
          <w:sz w:val="20"/>
          <w:szCs w:val="20"/>
        </w:rPr>
      </w:pPr>
      <w:r w:rsidRPr="00C9631A">
        <w:rPr>
          <w:rFonts w:ascii="Arial" w:hAnsi="Arial" w:cs="Arial"/>
          <w:sz w:val="20"/>
          <w:szCs w:val="20"/>
        </w:rPr>
        <w:t>Beni strumentali;</w:t>
      </w:r>
    </w:p>
    <w:p w14:paraId="3B67E0BD" w14:textId="77777777" w:rsidR="00501E02" w:rsidRPr="00C9631A" w:rsidRDefault="00501E02" w:rsidP="00501E02">
      <w:pPr>
        <w:numPr>
          <w:ilvl w:val="0"/>
          <w:numId w:val="32"/>
        </w:numPr>
        <w:spacing w:after="120"/>
        <w:ind w:left="426"/>
        <w:jc w:val="both"/>
        <w:rPr>
          <w:rFonts w:ascii="Arial" w:hAnsi="Arial" w:cs="Arial"/>
          <w:sz w:val="20"/>
          <w:szCs w:val="20"/>
        </w:rPr>
      </w:pPr>
      <w:r w:rsidRPr="00C9631A">
        <w:rPr>
          <w:rFonts w:ascii="Arial" w:hAnsi="Arial" w:cs="Arial"/>
          <w:sz w:val="20"/>
          <w:szCs w:val="20"/>
        </w:rPr>
        <w:t>Prodotti intermedi;</w:t>
      </w:r>
    </w:p>
    <w:p w14:paraId="1B2573ED" w14:textId="77777777" w:rsidR="00501E02" w:rsidRPr="00C9631A" w:rsidRDefault="00501E02" w:rsidP="00501E02">
      <w:pPr>
        <w:numPr>
          <w:ilvl w:val="0"/>
          <w:numId w:val="32"/>
        </w:numPr>
        <w:spacing w:after="120"/>
        <w:ind w:left="426"/>
        <w:jc w:val="both"/>
        <w:rPr>
          <w:rFonts w:ascii="Arial" w:hAnsi="Arial" w:cs="Arial"/>
          <w:sz w:val="20"/>
          <w:szCs w:val="20"/>
        </w:rPr>
      </w:pPr>
      <w:r w:rsidRPr="00C9631A">
        <w:rPr>
          <w:rFonts w:ascii="Arial" w:hAnsi="Arial" w:cs="Arial"/>
          <w:sz w:val="20"/>
          <w:szCs w:val="20"/>
        </w:rPr>
        <w:t>Energia.</w:t>
      </w:r>
    </w:p>
    <w:p w14:paraId="06DD0698"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Al pari dell’Ateco 2007</w:t>
      </w:r>
      <w:r w:rsidRPr="00C9631A">
        <w:rPr>
          <w:rStyle w:val="Rimandonotaapidipagina"/>
          <w:rFonts w:ascii="Arial" w:hAnsi="Arial" w:cs="Arial"/>
          <w:sz w:val="20"/>
          <w:szCs w:val="20"/>
        </w:rPr>
        <w:footnoteReference w:id="2"/>
      </w:r>
      <w:r w:rsidRPr="00C9631A">
        <w:rPr>
          <w:rFonts w:ascii="Arial" w:hAnsi="Arial" w:cs="Arial"/>
          <w:sz w:val="20"/>
          <w:szCs w:val="20"/>
        </w:rPr>
        <w:t>, anche la classificazione RPI è stata adattata alle statistiche sul commercio con l’estero.</w:t>
      </w:r>
    </w:p>
    <w:p w14:paraId="6852B13C" w14:textId="77777777" w:rsidR="00501E02" w:rsidRPr="00C9631A" w:rsidRDefault="00501E02" w:rsidP="00501E02">
      <w:pPr>
        <w:spacing w:after="120"/>
        <w:jc w:val="both"/>
        <w:rPr>
          <w:rFonts w:ascii="Arial" w:hAnsi="Arial" w:cs="Arial"/>
          <w:sz w:val="20"/>
          <w:szCs w:val="20"/>
        </w:rPr>
      </w:pPr>
    </w:p>
    <w:p w14:paraId="47663798" w14:textId="77777777" w:rsidR="00501E02" w:rsidRPr="00C9631A" w:rsidRDefault="00501E02" w:rsidP="00501E02">
      <w:pPr>
        <w:spacing w:after="120"/>
        <w:jc w:val="both"/>
        <w:rPr>
          <w:rFonts w:ascii="Arial" w:hAnsi="Arial" w:cs="Arial"/>
          <w:b/>
          <w:sz w:val="20"/>
          <w:szCs w:val="20"/>
        </w:rPr>
      </w:pPr>
      <w:r w:rsidRPr="00C9631A">
        <w:rPr>
          <w:rFonts w:ascii="Arial" w:hAnsi="Arial" w:cs="Arial"/>
          <w:b/>
          <w:sz w:val="20"/>
          <w:szCs w:val="20"/>
        </w:rPr>
        <w:t>Strumenti di elaborazione dei dati</w:t>
      </w:r>
    </w:p>
    <w:p w14:paraId="376F922B"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Insieme ai dati grezzi, vengono pubblicati anche i dati depurati della componente stagionale e dagli effetti di calendario. Tali dati sono ottenuti attraverso la procedura TRAMO-SEATS per Linux (versione di febbraio 2010).</w:t>
      </w:r>
    </w:p>
    <w:p w14:paraId="4E474E31" w14:textId="77777777" w:rsidR="00501E02" w:rsidRPr="00C9631A" w:rsidRDefault="00501E02" w:rsidP="00501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Arial" w:hAnsi="Arial" w:cs="Arial"/>
          <w:sz w:val="20"/>
          <w:szCs w:val="20"/>
        </w:rPr>
      </w:pPr>
      <w:r w:rsidRPr="00C9631A">
        <w:rPr>
          <w:rFonts w:ascii="Arial" w:hAnsi="Arial" w:cs="Arial"/>
          <w:sz w:val="20"/>
          <w:szCs w:val="20"/>
        </w:rPr>
        <w:t>A partire dai dati mensili del 2012, sono state introdotte alcune sostanziali innovazioni di processo e prodotto nelle procedure di destagionalizzazione, finalizzate a migliorare l’accuratezza delle stime prodotte e a fornire agli utenti un più ampio dettaglio degli indicatori statistici per l’analisi congiunturale del commercio con l’estero, rendendo disponibili nuove serie destagionalizzate a livello di raggruppamenti principali di industrie.</w:t>
      </w:r>
    </w:p>
    <w:p w14:paraId="208F8E16" w14:textId="69F6FA93" w:rsidR="00501E02" w:rsidRDefault="00501E02" w:rsidP="00501E02">
      <w:pPr>
        <w:spacing w:after="120"/>
        <w:jc w:val="both"/>
        <w:rPr>
          <w:rFonts w:ascii="Arial" w:hAnsi="Arial" w:cs="Arial"/>
          <w:sz w:val="20"/>
          <w:szCs w:val="20"/>
        </w:rPr>
      </w:pPr>
      <w:r w:rsidRPr="00C9631A">
        <w:rPr>
          <w:rFonts w:ascii="Arial" w:hAnsi="Arial" w:cs="Arial"/>
          <w:sz w:val="20"/>
          <w:szCs w:val="20"/>
        </w:rPr>
        <w:t>I dati destagionalizzati sono soggetti a revisione ogni mese. I modelli utilizzati vengono verificati in occasione delle revisioni dei dati grezzi. Le specifiche utilizzate dall'Istat nell'ambito della procedura TRAMO-SEATS sono disponibili per gli utenti che ne facciano richiesta per proprie finalità di analisi.</w:t>
      </w:r>
    </w:p>
    <w:p w14:paraId="42F7BC3C" w14:textId="5AD983A7" w:rsidR="001C0874" w:rsidRDefault="001C0874" w:rsidP="00501E02">
      <w:pPr>
        <w:spacing w:after="120"/>
        <w:jc w:val="both"/>
        <w:rPr>
          <w:rFonts w:ascii="Arial" w:hAnsi="Arial" w:cs="Arial"/>
          <w:sz w:val="20"/>
          <w:szCs w:val="20"/>
        </w:rPr>
      </w:pPr>
      <w:r>
        <w:rPr>
          <w:rFonts w:ascii="Arial" w:hAnsi="Arial" w:cs="Arial"/>
          <w:sz w:val="20"/>
          <w:szCs w:val="20"/>
        </w:rPr>
        <w:t>A novembre 2023, con il consolidamento dei dati grezzi del 2022,</w:t>
      </w:r>
      <w:r w:rsidRPr="006636D8">
        <w:rPr>
          <w:rFonts w:ascii="Arial" w:hAnsi="Arial" w:cs="Arial"/>
          <w:sz w:val="20"/>
          <w:szCs w:val="20"/>
        </w:rPr>
        <w:t xml:space="preserve"> è stata operata la revisione dei modelli statistici di destagionalizzazione</w:t>
      </w:r>
      <w:r>
        <w:rPr>
          <w:rFonts w:ascii="Arial" w:hAnsi="Arial" w:cs="Arial"/>
          <w:sz w:val="20"/>
          <w:szCs w:val="20"/>
        </w:rPr>
        <w:t>.</w:t>
      </w:r>
    </w:p>
    <w:p w14:paraId="3E4AA521" w14:textId="77777777" w:rsidR="00501E02" w:rsidRPr="00C9631A" w:rsidRDefault="00501E02" w:rsidP="00501E02">
      <w:pPr>
        <w:spacing w:after="120"/>
        <w:jc w:val="both"/>
        <w:rPr>
          <w:rFonts w:ascii="Arial" w:hAnsi="Arial" w:cs="Arial"/>
          <w:sz w:val="20"/>
          <w:szCs w:val="20"/>
        </w:rPr>
      </w:pPr>
    </w:p>
    <w:p w14:paraId="50ADB33C" w14:textId="77777777" w:rsidR="00501E02" w:rsidRPr="00C9631A" w:rsidRDefault="00501E02" w:rsidP="00501E02">
      <w:pPr>
        <w:spacing w:after="120"/>
        <w:jc w:val="both"/>
        <w:rPr>
          <w:rFonts w:ascii="Arial" w:hAnsi="Arial" w:cs="Arial"/>
          <w:b/>
          <w:sz w:val="20"/>
          <w:szCs w:val="20"/>
        </w:rPr>
      </w:pPr>
      <w:r w:rsidRPr="00C9631A">
        <w:rPr>
          <w:rFonts w:ascii="Arial" w:hAnsi="Arial" w:cs="Arial"/>
          <w:b/>
          <w:sz w:val="20"/>
          <w:szCs w:val="20"/>
        </w:rPr>
        <w:t>Output</w:t>
      </w:r>
    </w:p>
    <w:p w14:paraId="32C1F33E" w14:textId="77777777" w:rsidR="00C50F34" w:rsidRDefault="00501E02" w:rsidP="00501E02">
      <w:pPr>
        <w:spacing w:after="120"/>
        <w:jc w:val="both"/>
        <w:rPr>
          <w:rFonts w:ascii="Arial" w:hAnsi="Arial" w:cs="Arial"/>
          <w:sz w:val="20"/>
          <w:szCs w:val="20"/>
        </w:rPr>
      </w:pPr>
      <w:r w:rsidRPr="00C9631A">
        <w:rPr>
          <w:rFonts w:ascii="Arial" w:hAnsi="Arial" w:cs="Arial"/>
          <w:sz w:val="20"/>
          <w:szCs w:val="20"/>
        </w:rPr>
        <w:t xml:space="preserve">I dati diffusi mensilmente riguardano i valori monetari, gli indici e le variazioni tendenziali e congiunturali relativi alle variabili che descrivono i flussi commerciali con l’estero. </w:t>
      </w:r>
    </w:p>
    <w:p w14:paraId="559D6152"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 xml:space="preserve">I valori monetari a prezzi correnti si riferiscono alle importazioni ed esportazioni di merci rilevate o stimate in termini di valore statistico (Cif, Fob). </w:t>
      </w:r>
    </w:p>
    <w:p w14:paraId="2562C911" w14:textId="77777777" w:rsidR="001C0874" w:rsidRDefault="00501E02" w:rsidP="001C0874">
      <w:pPr>
        <w:spacing w:after="120"/>
        <w:jc w:val="both"/>
        <w:rPr>
          <w:rFonts w:ascii="Arial" w:hAnsi="Arial" w:cs="Arial"/>
          <w:sz w:val="20"/>
          <w:szCs w:val="20"/>
        </w:rPr>
      </w:pPr>
      <w:r w:rsidRPr="00C9631A">
        <w:rPr>
          <w:rFonts w:ascii="Arial" w:hAnsi="Arial" w:cs="Arial"/>
          <w:sz w:val="20"/>
          <w:szCs w:val="20"/>
        </w:rPr>
        <w:t>La produzione di indici del commercio estero prevede la produzione e diffusione di indici dei valori medi unitari e dei volumi dei prodotti esportati e importati, secondo un break-down articolato per gruppi di</w:t>
      </w:r>
      <w:r w:rsidR="00220D58">
        <w:rPr>
          <w:rFonts w:ascii="Arial" w:hAnsi="Arial" w:cs="Arial"/>
          <w:sz w:val="20"/>
          <w:szCs w:val="20"/>
        </w:rPr>
        <w:t xml:space="preserve"> prodotto della classificazione </w:t>
      </w:r>
      <w:r w:rsidRPr="00C9631A">
        <w:rPr>
          <w:rFonts w:ascii="Arial" w:hAnsi="Arial" w:cs="Arial"/>
          <w:sz w:val="20"/>
          <w:szCs w:val="20"/>
        </w:rPr>
        <w:t>Ateco 2007 e per specifiche aree geografiche e/o geoeconomiche, nonché per raggruppamenti principali di industrie (RPI). I singoli indici mensili dei valori medi unitari relativi ai diversi gruppi di prodotti e con riferimento alle aree geografiche o geoeconomiche di provenienza o destinazione delle merci sono ottenuti utilizzando la formula di Fisher in cui l’anno base è rappresentato dall’anno immediatamente precedente (indici a “base mobile”). L’aggiornamento a cadenza annuale del sistema di ponderazione consente di calcolare le variazioni dei valori medi unitari seguendo</w:t>
      </w:r>
      <w:r w:rsidR="00C50F34">
        <w:rPr>
          <w:rFonts w:ascii="Arial" w:hAnsi="Arial" w:cs="Arial"/>
          <w:sz w:val="20"/>
          <w:szCs w:val="20"/>
        </w:rPr>
        <w:t xml:space="preserve"> </w:t>
      </w:r>
      <w:r w:rsidRPr="00C9631A">
        <w:rPr>
          <w:rFonts w:ascii="Arial" w:hAnsi="Arial" w:cs="Arial"/>
          <w:sz w:val="20"/>
          <w:szCs w:val="20"/>
        </w:rPr>
        <w:t>più da vicino l’evoluzione in composizione del mix di prodotti movimentati. Tuttavia, poiché gli indici a base mobile di anni diversi</w:t>
      </w:r>
      <w:r>
        <w:rPr>
          <w:rFonts w:ascii="Arial" w:hAnsi="Arial" w:cs="Arial"/>
          <w:sz w:val="20"/>
          <w:szCs w:val="20"/>
        </w:rPr>
        <w:t xml:space="preserve"> </w:t>
      </w:r>
      <w:r w:rsidRPr="00C9631A">
        <w:rPr>
          <w:rFonts w:ascii="Arial" w:hAnsi="Arial" w:cs="Arial"/>
          <w:sz w:val="20"/>
          <w:szCs w:val="20"/>
        </w:rPr>
        <w:t>non</w:t>
      </w:r>
      <w:r>
        <w:rPr>
          <w:rFonts w:ascii="Arial" w:hAnsi="Arial" w:cs="Arial"/>
          <w:sz w:val="20"/>
          <w:szCs w:val="20"/>
        </w:rPr>
        <w:t xml:space="preserve"> </w:t>
      </w:r>
      <w:r w:rsidRPr="00C9631A">
        <w:rPr>
          <w:rFonts w:ascii="Arial" w:hAnsi="Arial" w:cs="Arial"/>
          <w:sz w:val="20"/>
          <w:szCs w:val="20"/>
        </w:rPr>
        <w:t>sono direttamente</w:t>
      </w:r>
      <w:r>
        <w:rPr>
          <w:rFonts w:ascii="Arial" w:hAnsi="Arial" w:cs="Arial"/>
          <w:sz w:val="20"/>
          <w:szCs w:val="20"/>
        </w:rPr>
        <w:t xml:space="preserve"> </w:t>
      </w:r>
      <w:r w:rsidRPr="00C9631A">
        <w:rPr>
          <w:rFonts w:ascii="Arial" w:hAnsi="Arial" w:cs="Arial"/>
          <w:sz w:val="20"/>
          <w:szCs w:val="20"/>
        </w:rPr>
        <w:t>confrontabili tra loro, per consentire l’analisi economica su</w:t>
      </w:r>
      <w:r>
        <w:rPr>
          <w:rFonts w:ascii="Arial" w:hAnsi="Arial" w:cs="Arial"/>
          <w:sz w:val="20"/>
          <w:szCs w:val="20"/>
        </w:rPr>
        <w:t xml:space="preserve"> </w:t>
      </w:r>
      <w:r w:rsidRPr="00C9631A">
        <w:rPr>
          <w:rFonts w:ascii="Arial" w:hAnsi="Arial" w:cs="Arial"/>
          <w:sz w:val="20"/>
          <w:szCs w:val="20"/>
        </w:rPr>
        <w:t xml:space="preserve">orizzonti temporali superiori ai dodici mesi, le serie storiche previste dal piano di diffusione sono ricondotte a uno stesso anno di </w:t>
      </w:r>
    </w:p>
    <w:p w14:paraId="4B65C2F1" w14:textId="77777777" w:rsidR="001C0874" w:rsidRDefault="001C0874" w:rsidP="00501E02">
      <w:pPr>
        <w:spacing w:after="120"/>
        <w:jc w:val="both"/>
        <w:rPr>
          <w:rFonts w:ascii="Arial" w:hAnsi="Arial" w:cs="Arial"/>
          <w:sz w:val="20"/>
          <w:szCs w:val="20"/>
        </w:rPr>
      </w:pPr>
    </w:p>
    <w:p w14:paraId="11AB71CA" w14:textId="325D968F" w:rsidR="00501E02" w:rsidRDefault="00501E02" w:rsidP="00501E02">
      <w:pPr>
        <w:spacing w:after="120"/>
        <w:jc w:val="both"/>
        <w:rPr>
          <w:rFonts w:ascii="Arial" w:hAnsi="Arial" w:cs="Arial"/>
          <w:sz w:val="20"/>
          <w:szCs w:val="20"/>
        </w:rPr>
      </w:pPr>
      <w:r w:rsidRPr="00C9631A">
        <w:rPr>
          <w:rFonts w:ascii="Arial" w:hAnsi="Arial" w:cs="Arial"/>
          <w:sz w:val="20"/>
          <w:szCs w:val="20"/>
        </w:rPr>
        <w:t xml:space="preserve">riferimento, aggiornato ogni 5 anni in linea con le indicazioni fornite a livello internazionale per le statistiche congiunturali. </w:t>
      </w:r>
    </w:p>
    <w:p w14:paraId="1DD60140" w14:textId="77777777" w:rsidR="00501E02" w:rsidRPr="00E07DF0" w:rsidRDefault="00501E02" w:rsidP="00501E02">
      <w:pPr>
        <w:spacing w:after="120"/>
        <w:jc w:val="both"/>
        <w:rPr>
          <w:rFonts w:ascii="Arial" w:hAnsi="Arial" w:cs="Arial"/>
          <w:sz w:val="20"/>
          <w:szCs w:val="20"/>
        </w:rPr>
      </w:pPr>
      <w:r w:rsidRPr="00C9631A">
        <w:rPr>
          <w:rFonts w:ascii="Arial" w:hAnsi="Arial" w:cs="Arial"/>
          <w:sz w:val="20"/>
          <w:szCs w:val="20"/>
        </w:rPr>
        <w:t xml:space="preserve">A partire dai dati di gennaio 2018, l’anno di riferimento è il 2015, assunto come “base” attraverso opportuni coefficienti di raccordo che legano tra loro gli indici riferiti alle diverse basi annuali. La metodologia adottata prevede il calcolo degli indici elementari a livello merceologico di nomenclatura combinata, l’individuazione e il trattamento di eventuali errori di misura e l’aggregazione degli indici elementari mediante medie troncate (Istat, “Nota informativa” del 25/02/2008). Gli indici dei valori medi unitari e gli indici di valore vengono calcolati in modo diretto, mentre gli indici dei volumi sono ottenuti dal rapporto tra gli indici di valore e i corrispondenti indici del valore medio unitario, in modo da assicurare la relazione di complementarietà tra i tre indici. Il piano di diffusione dispone la pubblicazione dei soli indici dei valori medi unitari e dei volumi. Gli indici annuali e trimestrali dei valori medi unitari sono calcolati come media aritmetica dei corrispondenti indici mensili, che non includono le dichiarazioni trimestrali e annuali relative all’indagine Intrastat. Al contrario, gli indici dei volumi vengono calcolati utilizzando indici del valore riferiti al totale delle transazioni, in modo da consentire una più precisa scomposizione delle variazioni dei valori in volume e valori </w:t>
      </w:r>
      <w:r w:rsidRPr="00E07DF0">
        <w:rPr>
          <w:rFonts w:ascii="Arial" w:hAnsi="Arial" w:cs="Arial"/>
          <w:sz w:val="20"/>
          <w:szCs w:val="20"/>
        </w:rPr>
        <w:t>medi unitari.</w:t>
      </w:r>
    </w:p>
    <w:p w14:paraId="35FAA554" w14:textId="77777777" w:rsidR="00501E02" w:rsidRPr="00C9631A" w:rsidRDefault="00501E02" w:rsidP="00501E02">
      <w:pPr>
        <w:spacing w:after="60"/>
        <w:jc w:val="both"/>
        <w:rPr>
          <w:rFonts w:ascii="Arial" w:hAnsi="Arial" w:cs="Arial"/>
          <w:sz w:val="20"/>
          <w:szCs w:val="20"/>
        </w:rPr>
      </w:pPr>
    </w:p>
    <w:p w14:paraId="6BA56061" w14:textId="77777777" w:rsidR="00501E02" w:rsidRPr="00C9631A" w:rsidRDefault="00501E02" w:rsidP="00501E02">
      <w:pPr>
        <w:spacing w:after="120"/>
        <w:jc w:val="both"/>
        <w:rPr>
          <w:rFonts w:ascii="Arial" w:hAnsi="Arial" w:cs="Arial"/>
          <w:b/>
          <w:sz w:val="20"/>
          <w:szCs w:val="20"/>
        </w:rPr>
      </w:pPr>
      <w:r w:rsidRPr="00C9631A">
        <w:rPr>
          <w:rFonts w:ascii="Arial" w:hAnsi="Arial" w:cs="Arial"/>
          <w:b/>
          <w:sz w:val="20"/>
          <w:szCs w:val="20"/>
        </w:rPr>
        <w:t>Riservatezza</w:t>
      </w:r>
    </w:p>
    <w:p w14:paraId="426F5369"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A partire dall'anno 2000, l'Istat ha definito nuove procedure per il trattamento e la diffusione dei dati personali relativi agli scambi di merci con l'estero e ai soggetti importatori ed esportatori, compatibili con l'attuale quadro normativo nazionale (legge 675/96, D.lgs.322/89, 281/99 e 196/03).</w:t>
      </w:r>
    </w:p>
    <w:p w14:paraId="43DFCBD2"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In particolare, le nuove procedure consentono di ridurre fortemente il rischio di identificazione, indiretta e accidentale, di dati confidenziali e nel contempo di limitare la perdita di informazione fornita agli utenti esterni.</w:t>
      </w:r>
    </w:p>
    <w:p w14:paraId="7B9B079C"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Per quanto riguarda le statistiche relative alle merci, l'Istat, oltre a tutelare le informazioni riservate secondo il principio della riservatezza passiva, ha definito un piano per la diffusione delle statistiche del commercio con l'estero. Tale piano disciplina le possibilità di incrocio tra variabili in funzione di particolari livelli di dettaglio merceologico, geografico o territoriale riducendo entro soglie ragionevoli il rischio di identificazione dei soggetti indirettamente interessati.</w:t>
      </w:r>
    </w:p>
    <w:p w14:paraId="057FE117" w14:textId="77777777" w:rsidR="00501E02" w:rsidRPr="00C9631A" w:rsidRDefault="00501E02" w:rsidP="00501E02">
      <w:pPr>
        <w:spacing w:after="120"/>
        <w:jc w:val="both"/>
        <w:rPr>
          <w:rStyle w:val="Collegamentoipertestuale"/>
          <w:rFonts w:ascii="Arial" w:hAnsi="Arial" w:cs="Arial"/>
          <w:sz w:val="20"/>
          <w:szCs w:val="20"/>
        </w:rPr>
      </w:pPr>
      <w:r w:rsidRPr="00C9631A">
        <w:rPr>
          <w:rFonts w:ascii="Arial" w:hAnsi="Arial" w:cs="Arial"/>
          <w:sz w:val="20"/>
          <w:szCs w:val="20"/>
        </w:rPr>
        <w:t xml:space="preserve">Ulteriori informazioni sulla tutela della riservatezza sono disponibili al seguente link </w:t>
      </w:r>
      <w:hyperlink r:id="rId45" w:history="1">
        <w:r w:rsidRPr="00C9631A">
          <w:rPr>
            <w:rStyle w:val="Collegamentoipertestuale"/>
            <w:rFonts w:ascii="Arial" w:hAnsi="Arial" w:cs="Arial"/>
            <w:sz w:val="20"/>
            <w:szCs w:val="20"/>
          </w:rPr>
          <w:t>https://www.coeweb.istat.it</w:t>
        </w:r>
      </w:hyperlink>
    </w:p>
    <w:p w14:paraId="15EAD4BF" w14:textId="77777777" w:rsidR="00501E02" w:rsidRPr="00CC6703" w:rsidRDefault="00501E02" w:rsidP="00501E02">
      <w:pPr>
        <w:spacing w:after="120"/>
        <w:jc w:val="both"/>
        <w:rPr>
          <w:rFonts w:ascii="Arial" w:hAnsi="Arial" w:cs="Arial"/>
          <w:sz w:val="16"/>
          <w:szCs w:val="16"/>
        </w:rPr>
      </w:pPr>
    </w:p>
    <w:p w14:paraId="2B57A7AD" w14:textId="77777777" w:rsidR="00501E02" w:rsidRDefault="00501E02" w:rsidP="00501E02">
      <w:pPr>
        <w:spacing w:after="120"/>
        <w:jc w:val="both"/>
        <w:rPr>
          <w:rFonts w:ascii="Arial" w:hAnsi="Arial" w:cs="Arial"/>
          <w:b/>
          <w:sz w:val="20"/>
          <w:szCs w:val="20"/>
        </w:rPr>
      </w:pPr>
      <w:r>
        <w:rPr>
          <w:rFonts w:ascii="Arial" w:hAnsi="Arial" w:cs="Arial"/>
          <w:b/>
          <w:sz w:val="20"/>
          <w:szCs w:val="20"/>
        </w:rPr>
        <w:t xml:space="preserve">Le novità del sistema Intrastat </w:t>
      </w:r>
      <w:r w:rsidR="0026239E">
        <w:rPr>
          <w:rFonts w:ascii="Arial" w:hAnsi="Arial" w:cs="Arial"/>
          <w:b/>
          <w:sz w:val="20"/>
          <w:szCs w:val="20"/>
        </w:rPr>
        <w:t xml:space="preserve">a partire da </w:t>
      </w:r>
      <w:r w:rsidRPr="001D441E">
        <w:rPr>
          <w:rFonts w:ascii="Arial" w:hAnsi="Arial" w:cs="Arial"/>
          <w:b/>
          <w:sz w:val="20"/>
          <w:szCs w:val="20"/>
        </w:rPr>
        <w:t>gennaio 2022</w:t>
      </w:r>
    </w:p>
    <w:p w14:paraId="5CC87236" w14:textId="77777777" w:rsidR="00501E02" w:rsidRPr="005A72C3" w:rsidRDefault="00501E02" w:rsidP="00501E02">
      <w:pPr>
        <w:spacing w:after="120"/>
        <w:jc w:val="both"/>
        <w:rPr>
          <w:rFonts w:asciiTheme="minorHAnsi" w:hAnsiTheme="minorHAnsi"/>
          <w:sz w:val="22"/>
          <w:szCs w:val="22"/>
          <w:lang w:eastAsia="en-US"/>
        </w:rPr>
      </w:pPr>
      <w:r>
        <w:rPr>
          <w:rFonts w:ascii="Arial" w:hAnsi="Arial" w:cs="Arial"/>
          <w:sz w:val="20"/>
          <w:szCs w:val="20"/>
        </w:rPr>
        <w:t xml:space="preserve">Con </w:t>
      </w:r>
      <w:r w:rsidRPr="00615A28">
        <w:rPr>
          <w:rFonts w:ascii="Arial" w:hAnsi="Arial" w:cs="Arial"/>
          <w:sz w:val="20"/>
          <w:szCs w:val="20"/>
        </w:rPr>
        <w:t>Determinazione del Direttore dell’Agenzia delle dogane e dei monopoli n.</w:t>
      </w:r>
      <w:r>
        <w:rPr>
          <w:rFonts w:ascii="Arial" w:hAnsi="Arial" w:cs="Arial"/>
          <w:sz w:val="20"/>
          <w:szCs w:val="20"/>
        </w:rPr>
        <w:t xml:space="preserve"> </w:t>
      </w:r>
      <w:r w:rsidRPr="00615A28">
        <w:rPr>
          <w:rFonts w:ascii="Arial" w:hAnsi="Arial" w:cs="Arial"/>
          <w:sz w:val="20"/>
          <w:szCs w:val="20"/>
        </w:rPr>
        <w:t>493869 del 23 dicembre 2021</w:t>
      </w:r>
      <w:r>
        <w:rPr>
          <w:rFonts w:ascii="Arial" w:hAnsi="Arial" w:cs="Arial"/>
          <w:sz w:val="20"/>
          <w:szCs w:val="20"/>
        </w:rPr>
        <w:t xml:space="preserve">, a partire dai dati di gennaio 2022, sono state introdotte importanti novità nel </w:t>
      </w:r>
      <w:r w:rsidRPr="005A72C3">
        <w:rPr>
          <w:rFonts w:ascii="Arial" w:hAnsi="Arial" w:cs="Arial"/>
          <w:sz w:val="20"/>
          <w:szCs w:val="20"/>
        </w:rPr>
        <w:t>sistema Intrastat nel rispetto della recente normativa statistica comunitaria (</w:t>
      </w:r>
      <w:r w:rsidRPr="00D61DDB">
        <w:rPr>
          <w:rFonts w:ascii="Arial" w:hAnsi="Arial" w:cs="Arial"/>
          <w:sz w:val="20"/>
          <w:szCs w:val="20"/>
        </w:rPr>
        <w:t xml:space="preserve">Regolamento (UE) 2019/2152 </w:t>
      </w:r>
      <w:r>
        <w:rPr>
          <w:rFonts w:ascii="Arial" w:hAnsi="Arial" w:cs="Arial"/>
          <w:sz w:val="20"/>
          <w:szCs w:val="20"/>
        </w:rPr>
        <w:t xml:space="preserve">e il relativo </w:t>
      </w:r>
      <w:r w:rsidRPr="00D61DDB">
        <w:rPr>
          <w:rFonts w:ascii="Arial" w:hAnsi="Arial" w:cs="Arial"/>
          <w:sz w:val="20"/>
          <w:szCs w:val="20"/>
        </w:rPr>
        <w:t>Regolamento di esecuzione (UE) 2020/1197</w:t>
      </w:r>
      <w:r>
        <w:rPr>
          <w:rFonts w:ascii="Arial" w:hAnsi="Arial" w:cs="Arial"/>
          <w:sz w:val="20"/>
          <w:szCs w:val="20"/>
        </w:rPr>
        <w:t>)</w:t>
      </w:r>
      <w:r w:rsidRPr="005A72C3">
        <w:rPr>
          <w:rFonts w:ascii="Arial" w:hAnsi="Arial" w:cs="Arial"/>
          <w:sz w:val="20"/>
          <w:szCs w:val="20"/>
        </w:rPr>
        <w:t xml:space="preserve"> e nell’ottica della semplificazione e riduzione del carico statistico sugli operatori economici.</w:t>
      </w:r>
    </w:p>
    <w:p w14:paraId="10D25DB5" w14:textId="77777777" w:rsidR="00501E02" w:rsidRDefault="00501E02" w:rsidP="00501E02">
      <w:pPr>
        <w:spacing w:after="120"/>
        <w:jc w:val="both"/>
        <w:rPr>
          <w:rFonts w:ascii="Arial" w:hAnsi="Arial" w:cs="Arial"/>
          <w:sz w:val="20"/>
          <w:szCs w:val="20"/>
        </w:rPr>
      </w:pPr>
      <w:r w:rsidRPr="005A72C3">
        <w:rPr>
          <w:rFonts w:ascii="Arial" w:hAnsi="Arial" w:cs="Arial"/>
          <w:sz w:val="20"/>
          <w:szCs w:val="20"/>
        </w:rPr>
        <w:t xml:space="preserve">Il Regolamento </w:t>
      </w:r>
      <w:r>
        <w:rPr>
          <w:rFonts w:ascii="Arial" w:hAnsi="Arial" w:cs="Arial"/>
          <w:sz w:val="20"/>
          <w:szCs w:val="20"/>
        </w:rPr>
        <w:t>(</w:t>
      </w:r>
      <w:r w:rsidRPr="005A72C3">
        <w:rPr>
          <w:rFonts w:ascii="Arial" w:hAnsi="Arial" w:cs="Arial"/>
          <w:sz w:val="20"/>
          <w:szCs w:val="20"/>
        </w:rPr>
        <w:t>UE</w:t>
      </w:r>
      <w:r>
        <w:rPr>
          <w:rFonts w:ascii="Arial" w:hAnsi="Arial" w:cs="Arial"/>
          <w:sz w:val="20"/>
          <w:szCs w:val="20"/>
        </w:rPr>
        <w:t>)</w:t>
      </w:r>
      <w:r w:rsidRPr="005A72C3">
        <w:rPr>
          <w:rFonts w:ascii="Arial" w:hAnsi="Arial" w:cs="Arial"/>
          <w:sz w:val="20"/>
          <w:szCs w:val="20"/>
        </w:rPr>
        <w:t xml:space="preserve"> 2019/2152 introduce l’obbligo dello scambio di microdati relativi alle cessioni (indicate come esportazioni intracomunitarie nel nuovo Regolamento) tra gli Istituti nazionali di statistica dei Paesi membri a decorrere dal mese di gennaio 2022.</w:t>
      </w:r>
    </w:p>
    <w:p w14:paraId="7161A54B" w14:textId="77777777" w:rsidR="00501E02" w:rsidRPr="005A72C3" w:rsidRDefault="00501E02" w:rsidP="00501E02">
      <w:pPr>
        <w:spacing w:after="120"/>
        <w:jc w:val="both"/>
        <w:rPr>
          <w:rFonts w:ascii="Arial" w:hAnsi="Arial" w:cs="Arial"/>
          <w:sz w:val="20"/>
          <w:szCs w:val="20"/>
        </w:rPr>
      </w:pPr>
      <w:r w:rsidRPr="005A72C3">
        <w:rPr>
          <w:rFonts w:ascii="Arial" w:hAnsi="Arial" w:cs="Arial"/>
          <w:sz w:val="20"/>
          <w:szCs w:val="20"/>
        </w:rPr>
        <w:t>Il sistema di scambio dei microdati – basato sul principio che i dati non devono essere raccolti più di una volta (“once only”) – costituisce un approccio innovativo per la compilazione delle statistiche di commercio intracomunitario, progettato in ambito europeo con la finalità di ridurre l’onere statistico del sistema Intrastat e di fornire ai Paesi membri una fonte aggiuntiva e dettagliata per la compilazione delle statistiche sugli acquisti intracomunitari.</w:t>
      </w:r>
    </w:p>
    <w:p w14:paraId="66D92928" w14:textId="1F4F8CAD" w:rsidR="00501E02" w:rsidRDefault="00501E02" w:rsidP="00501E02">
      <w:pPr>
        <w:spacing w:after="120"/>
        <w:jc w:val="both"/>
        <w:rPr>
          <w:rFonts w:ascii="Arial" w:hAnsi="Arial" w:cs="Arial"/>
          <w:sz w:val="20"/>
          <w:szCs w:val="20"/>
        </w:rPr>
      </w:pPr>
      <w:r w:rsidRPr="005A72C3">
        <w:rPr>
          <w:rFonts w:ascii="Arial" w:hAnsi="Arial" w:cs="Arial"/>
          <w:sz w:val="20"/>
          <w:szCs w:val="20"/>
        </w:rPr>
        <w:t xml:space="preserve">Per attuare </w:t>
      </w:r>
      <w:r>
        <w:rPr>
          <w:rFonts w:ascii="Arial" w:hAnsi="Arial" w:cs="Arial"/>
          <w:sz w:val="20"/>
          <w:szCs w:val="20"/>
        </w:rPr>
        <w:t xml:space="preserve">questo </w:t>
      </w:r>
      <w:r w:rsidRPr="005A72C3">
        <w:rPr>
          <w:rFonts w:ascii="Arial" w:hAnsi="Arial" w:cs="Arial"/>
          <w:sz w:val="20"/>
          <w:szCs w:val="20"/>
        </w:rPr>
        <w:t xml:space="preserve">nuovo approccio e consentire a tutti gli Istituti nazionali di statistica dei Paesi Ue di utilizzare i microdati sulle cessioni </w:t>
      </w:r>
      <w:r>
        <w:rPr>
          <w:rFonts w:ascii="Arial" w:hAnsi="Arial" w:cs="Arial"/>
          <w:sz w:val="20"/>
          <w:szCs w:val="20"/>
        </w:rPr>
        <w:t>de</w:t>
      </w:r>
      <w:r w:rsidRPr="005A72C3">
        <w:rPr>
          <w:rFonts w:ascii="Arial" w:hAnsi="Arial" w:cs="Arial"/>
          <w:sz w:val="20"/>
          <w:szCs w:val="20"/>
        </w:rPr>
        <w:t>gli altri Paesi partner</w:t>
      </w:r>
      <w:r>
        <w:rPr>
          <w:rFonts w:ascii="Arial" w:hAnsi="Arial" w:cs="Arial"/>
          <w:sz w:val="20"/>
          <w:szCs w:val="20"/>
        </w:rPr>
        <w:t xml:space="preserve"> – </w:t>
      </w:r>
      <w:r w:rsidRPr="005A72C3">
        <w:rPr>
          <w:rFonts w:ascii="Arial" w:hAnsi="Arial" w:cs="Arial"/>
          <w:sz w:val="20"/>
          <w:szCs w:val="20"/>
        </w:rPr>
        <w:t>in sostituzione totale o parziale dei dati raccolti a livello nazionale</w:t>
      </w:r>
      <w:r>
        <w:rPr>
          <w:rFonts w:ascii="Arial" w:hAnsi="Arial" w:cs="Arial"/>
          <w:sz w:val="20"/>
          <w:szCs w:val="20"/>
        </w:rPr>
        <w:t xml:space="preserve"> –</w:t>
      </w:r>
      <w:r w:rsidRPr="005A72C3">
        <w:rPr>
          <w:rFonts w:ascii="Arial" w:hAnsi="Arial" w:cs="Arial"/>
          <w:sz w:val="20"/>
          <w:szCs w:val="20"/>
        </w:rPr>
        <w:t>,</w:t>
      </w:r>
      <w:r w:rsidRPr="00656343">
        <w:rPr>
          <w:rFonts w:ascii="Arial" w:hAnsi="Arial" w:cs="Arial"/>
          <w:sz w:val="20"/>
          <w:szCs w:val="20"/>
        </w:rPr>
        <w:t xml:space="preserve"> a decorrere dai dati di gennaio 2022 è stata richiesta la compilazione di una </w:t>
      </w:r>
      <w:r>
        <w:rPr>
          <w:rFonts w:ascii="Arial" w:hAnsi="Arial" w:cs="Arial"/>
          <w:sz w:val="20"/>
          <w:szCs w:val="20"/>
        </w:rPr>
        <w:t xml:space="preserve">nuova </w:t>
      </w:r>
      <w:r w:rsidRPr="00656343">
        <w:rPr>
          <w:rFonts w:ascii="Arial" w:hAnsi="Arial" w:cs="Arial"/>
          <w:sz w:val="20"/>
          <w:szCs w:val="20"/>
        </w:rPr>
        <w:t>variabile nei modelli Intrastat relativi alle cessioni</w:t>
      </w:r>
      <w:r>
        <w:rPr>
          <w:rFonts w:ascii="Arial" w:hAnsi="Arial" w:cs="Arial"/>
          <w:sz w:val="20"/>
          <w:szCs w:val="20"/>
        </w:rPr>
        <w:t xml:space="preserve"> (</w:t>
      </w:r>
      <w:r w:rsidRPr="00656343">
        <w:rPr>
          <w:rFonts w:ascii="Arial" w:hAnsi="Arial" w:cs="Arial"/>
          <w:sz w:val="20"/>
          <w:szCs w:val="20"/>
        </w:rPr>
        <w:t>la variabile “Paese di origine” delle merci, definito come il paese in cui il bene è stato sottoposto all’ultima trasformazione o lavorazione sostanziale</w:t>
      </w:r>
      <w:r>
        <w:rPr>
          <w:rFonts w:ascii="Arial" w:hAnsi="Arial" w:cs="Arial"/>
          <w:sz w:val="20"/>
          <w:szCs w:val="20"/>
        </w:rPr>
        <w:t xml:space="preserve"> - </w:t>
      </w:r>
      <w:r w:rsidRPr="00656343">
        <w:rPr>
          <w:rFonts w:ascii="Arial" w:hAnsi="Arial" w:cs="Arial"/>
          <w:sz w:val="20"/>
          <w:szCs w:val="20"/>
        </w:rPr>
        <w:t xml:space="preserve">Regolamento </w:t>
      </w:r>
      <w:r>
        <w:rPr>
          <w:rFonts w:ascii="Arial" w:hAnsi="Arial" w:cs="Arial"/>
          <w:sz w:val="20"/>
          <w:szCs w:val="20"/>
        </w:rPr>
        <w:t>(</w:t>
      </w:r>
      <w:r w:rsidRPr="00656343">
        <w:rPr>
          <w:rFonts w:ascii="Arial" w:hAnsi="Arial" w:cs="Arial"/>
          <w:sz w:val="20"/>
          <w:szCs w:val="20"/>
        </w:rPr>
        <w:t>UE</w:t>
      </w:r>
      <w:r>
        <w:rPr>
          <w:rFonts w:ascii="Arial" w:hAnsi="Arial" w:cs="Arial"/>
          <w:sz w:val="20"/>
          <w:szCs w:val="20"/>
        </w:rPr>
        <w:t>)</w:t>
      </w:r>
      <w:r w:rsidRPr="00656343">
        <w:rPr>
          <w:rFonts w:ascii="Arial" w:hAnsi="Arial" w:cs="Arial"/>
          <w:sz w:val="20"/>
          <w:szCs w:val="20"/>
        </w:rPr>
        <w:t xml:space="preserve"> 2020/1197, sez. 12 par. 3). È stata inoltre adottata una codifica</w:t>
      </w:r>
      <w:r>
        <w:rPr>
          <w:rFonts w:ascii="Arial" w:hAnsi="Arial" w:cs="Arial"/>
          <w:sz w:val="20"/>
          <w:szCs w:val="20"/>
        </w:rPr>
        <w:t xml:space="preserve"> più dettagliata</w:t>
      </w:r>
      <w:r w:rsidRPr="00656343">
        <w:rPr>
          <w:rFonts w:ascii="Arial" w:hAnsi="Arial" w:cs="Arial"/>
          <w:sz w:val="20"/>
          <w:szCs w:val="20"/>
        </w:rPr>
        <w:t xml:space="preserve"> per la variabile “Natura della transazione”. </w:t>
      </w:r>
    </w:p>
    <w:p w14:paraId="340CCD68" w14:textId="77777777" w:rsidR="00501E02" w:rsidRDefault="00501E02" w:rsidP="00501E02">
      <w:pPr>
        <w:spacing w:after="120"/>
        <w:jc w:val="both"/>
        <w:rPr>
          <w:rFonts w:ascii="Arial" w:hAnsi="Arial" w:cs="Arial"/>
          <w:sz w:val="20"/>
          <w:szCs w:val="20"/>
        </w:rPr>
      </w:pPr>
      <w:r>
        <w:rPr>
          <w:rFonts w:ascii="Arial" w:hAnsi="Arial" w:cs="Arial"/>
          <w:sz w:val="20"/>
          <w:szCs w:val="20"/>
        </w:rPr>
        <w:t xml:space="preserve">Allo stesso tempo sono state introdotte numerose semplificazioni, tra queste l’innalzamento della soglia statistica che determina </w:t>
      </w:r>
      <w:r w:rsidRPr="00656343">
        <w:rPr>
          <w:rFonts w:ascii="Arial" w:hAnsi="Arial" w:cs="Arial"/>
          <w:sz w:val="20"/>
          <w:szCs w:val="20"/>
        </w:rPr>
        <w:t xml:space="preserve">l’obbligatorietà di compilazione mensile dei modelli Intrastat relativi agli acquisti (da 200.000 a 350.000 euro). </w:t>
      </w:r>
    </w:p>
    <w:p w14:paraId="6A30DB81" w14:textId="77777777" w:rsidR="00501E02" w:rsidRDefault="006A2C28" w:rsidP="006A2C28">
      <w:pPr>
        <w:spacing w:after="120"/>
        <w:jc w:val="both"/>
        <w:rPr>
          <w:rFonts w:ascii="Arial" w:hAnsi="Arial" w:cs="Arial"/>
          <w:sz w:val="20"/>
          <w:szCs w:val="20"/>
        </w:rPr>
      </w:pPr>
      <w:r>
        <w:rPr>
          <w:rFonts w:ascii="Arial" w:hAnsi="Arial" w:cs="Arial"/>
          <w:sz w:val="20"/>
          <w:szCs w:val="20"/>
        </w:rPr>
        <w:t>Infine</w:t>
      </w:r>
      <w:r w:rsidR="00220D58">
        <w:rPr>
          <w:rFonts w:ascii="Arial" w:hAnsi="Arial" w:cs="Arial"/>
          <w:sz w:val="20"/>
          <w:szCs w:val="20"/>
        </w:rPr>
        <w:t>, ai soli fini fiscali,</w:t>
      </w:r>
      <w:r>
        <w:rPr>
          <w:rFonts w:ascii="Arial" w:hAnsi="Arial" w:cs="Arial"/>
          <w:sz w:val="20"/>
          <w:szCs w:val="20"/>
        </w:rPr>
        <w:t xml:space="preserve"> nei</w:t>
      </w:r>
      <w:r w:rsidRPr="00483363">
        <w:rPr>
          <w:rFonts w:ascii="Arial" w:hAnsi="Arial" w:cs="Arial"/>
          <w:sz w:val="20"/>
          <w:szCs w:val="20"/>
        </w:rPr>
        <w:t xml:space="preserve"> modelli Intrastat</w:t>
      </w:r>
      <w:r>
        <w:rPr>
          <w:rFonts w:ascii="Arial" w:hAnsi="Arial" w:cs="Arial"/>
          <w:sz w:val="20"/>
          <w:szCs w:val="20"/>
        </w:rPr>
        <w:t xml:space="preserve"> per </w:t>
      </w:r>
      <w:r w:rsidRPr="00483363">
        <w:rPr>
          <w:rFonts w:ascii="Arial" w:hAnsi="Arial" w:cs="Arial"/>
          <w:sz w:val="20"/>
          <w:szCs w:val="20"/>
        </w:rPr>
        <w:t xml:space="preserve">le </w:t>
      </w:r>
      <w:r>
        <w:rPr>
          <w:rFonts w:ascii="Arial" w:hAnsi="Arial" w:cs="Arial"/>
          <w:sz w:val="20"/>
          <w:szCs w:val="20"/>
        </w:rPr>
        <w:t>cessioni è stata inserita</w:t>
      </w:r>
      <w:r w:rsidRPr="00483363">
        <w:rPr>
          <w:rFonts w:ascii="Arial" w:hAnsi="Arial" w:cs="Arial"/>
          <w:sz w:val="20"/>
          <w:szCs w:val="20"/>
        </w:rPr>
        <w:t xml:space="preserve"> una nuova sezione </w:t>
      </w:r>
      <w:r>
        <w:rPr>
          <w:rFonts w:ascii="Arial" w:hAnsi="Arial" w:cs="Arial"/>
          <w:sz w:val="20"/>
          <w:szCs w:val="20"/>
        </w:rPr>
        <w:t>relativa alle cessioni in regime cosiddetto di “call-off stock” (</w:t>
      </w:r>
      <w:r w:rsidRPr="00217CBB">
        <w:rPr>
          <w:rFonts w:ascii="Arial" w:hAnsi="Arial" w:cs="Arial"/>
          <w:sz w:val="20"/>
          <w:szCs w:val="20"/>
        </w:rPr>
        <w:t>Decreto legislativo 5 novembre 2021, n. 192</w:t>
      </w:r>
      <w:r>
        <w:rPr>
          <w:rFonts w:ascii="Arial" w:hAnsi="Arial" w:cs="Arial"/>
          <w:sz w:val="20"/>
          <w:szCs w:val="20"/>
        </w:rPr>
        <w:t>).</w:t>
      </w:r>
    </w:p>
    <w:p w14:paraId="6F61E410" w14:textId="77777777" w:rsidR="006A2C28" w:rsidRPr="006A2C28" w:rsidRDefault="006A2C28" w:rsidP="006A2C28">
      <w:pPr>
        <w:spacing w:after="120"/>
        <w:jc w:val="both"/>
        <w:rPr>
          <w:rFonts w:ascii="Arial" w:hAnsi="Arial" w:cs="Arial"/>
          <w:sz w:val="20"/>
          <w:szCs w:val="20"/>
        </w:rPr>
      </w:pPr>
    </w:p>
    <w:p w14:paraId="748D9BB0" w14:textId="77777777" w:rsidR="001C0874" w:rsidRDefault="001C0874" w:rsidP="00F21E70">
      <w:pPr>
        <w:pStyle w:val="Titolo8"/>
        <w:spacing w:before="0" w:after="120"/>
        <w:rPr>
          <w:rFonts w:ascii="Arial" w:hAnsi="Arial" w:cs="Arial"/>
          <w:b/>
          <w:i w:val="0"/>
          <w:color w:val="E42618"/>
          <w:sz w:val="22"/>
          <w:szCs w:val="20"/>
        </w:rPr>
      </w:pPr>
    </w:p>
    <w:p w14:paraId="197731DA" w14:textId="16953136" w:rsidR="00F21E70" w:rsidRPr="00C9631A" w:rsidRDefault="00F21E70" w:rsidP="00F21E70">
      <w:pPr>
        <w:pStyle w:val="Titolo8"/>
        <w:spacing w:before="0" w:after="120"/>
        <w:rPr>
          <w:rFonts w:ascii="Arial" w:hAnsi="Arial" w:cs="Arial"/>
          <w:b/>
          <w:i w:val="0"/>
          <w:color w:val="E42618"/>
          <w:sz w:val="22"/>
          <w:szCs w:val="20"/>
        </w:rPr>
      </w:pPr>
      <w:r w:rsidRPr="00C9631A">
        <w:rPr>
          <w:rFonts w:ascii="Arial" w:hAnsi="Arial" w:cs="Arial"/>
          <w:b/>
          <w:i w:val="0"/>
          <w:color w:val="E42618"/>
          <w:sz w:val="22"/>
          <w:szCs w:val="20"/>
        </w:rPr>
        <w:t>Prezzi all’importazione</w:t>
      </w:r>
    </w:p>
    <w:p w14:paraId="0CC02B60" w14:textId="77777777" w:rsidR="00F21E70" w:rsidRDefault="00F21E70" w:rsidP="00F21E70">
      <w:pPr>
        <w:spacing w:after="100"/>
        <w:jc w:val="both"/>
        <w:rPr>
          <w:rFonts w:ascii="Arial" w:hAnsi="Arial" w:cs="Arial"/>
          <w:b/>
          <w:bCs/>
          <w:sz w:val="20"/>
          <w:szCs w:val="20"/>
        </w:rPr>
      </w:pPr>
      <w:r w:rsidRPr="00BE3D84">
        <w:rPr>
          <w:rFonts w:ascii="Arial" w:hAnsi="Arial" w:cs="Arial"/>
          <w:b/>
          <w:bCs/>
          <w:sz w:val="20"/>
          <w:szCs w:val="20"/>
        </w:rPr>
        <w:t>Obiettivi conoscitivi e quadro normativo di riferimento</w:t>
      </w:r>
    </w:p>
    <w:p w14:paraId="434CB7AC" w14:textId="77777777" w:rsidR="00F21E70" w:rsidRDefault="00F21E70" w:rsidP="00F21E70">
      <w:pPr>
        <w:spacing w:after="100"/>
        <w:jc w:val="both"/>
        <w:rPr>
          <w:rFonts w:ascii="Arial" w:hAnsi="Arial" w:cs="Arial"/>
          <w:bCs/>
          <w:sz w:val="20"/>
          <w:szCs w:val="20"/>
        </w:rPr>
      </w:pPr>
      <w:r w:rsidRPr="0038751B">
        <w:rPr>
          <w:rFonts w:ascii="Arial" w:hAnsi="Arial" w:cs="Arial"/>
          <w:bCs/>
          <w:sz w:val="20"/>
          <w:szCs w:val="20"/>
        </w:rPr>
        <w:t>Gli indici dei prezzi all’importazione misurano la variazione nel tempo dei prezzi di un paniere rappresentativo dei principali prodotti importati, dall’area euro e dall’area non euro, da imprese dell’industria e dei servizi.</w:t>
      </w:r>
    </w:p>
    <w:p w14:paraId="712F2B5B" w14:textId="77777777" w:rsidR="00F21E70" w:rsidRPr="00BE3D84" w:rsidRDefault="00F21E70" w:rsidP="00F21E70">
      <w:pPr>
        <w:spacing w:after="100"/>
        <w:jc w:val="both"/>
        <w:rPr>
          <w:rFonts w:ascii="Arial" w:hAnsi="Arial" w:cs="Arial"/>
          <w:bCs/>
          <w:sz w:val="20"/>
          <w:szCs w:val="20"/>
        </w:rPr>
      </w:pPr>
      <w:r w:rsidRPr="00BE3D84">
        <w:rPr>
          <w:rFonts w:ascii="Arial" w:hAnsi="Arial" w:cs="Arial"/>
          <w:bCs/>
          <w:sz w:val="20"/>
          <w:szCs w:val="20"/>
        </w:rPr>
        <w:t>Dal 1° gennaio 2021 ha effetto il Regolamento (UE) 2019/2152 del Parlamento europeo e del Consiglio del 27 novembre 2019 (con successivo Regolamento di esecuzione (UE) 2020/1197 della Commissione europea del 30 luglio 2020) che sostituisce il Regolamento (CE) 1165/1998 del Consiglio europeo (successivamente emendato dal Regolamento (CE) 1158/2005) e stabilisce il livello di dettaglio, la metodologia e la cadenza con cui gli indicatori congiunturali devono essere prodotti e trasmessi a Eurostat.</w:t>
      </w:r>
    </w:p>
    <w:p w14:paraId="399F3526" w14:textId="77777777" w:rsidR="00F21E70" w:rsidRDefault="00F21E70" w:rsidP="00F21E70">
      <w:pPr>
        <w:spacing w:after="100"/>
        <w:jc w:val="both"/>
        <w:rPr>
          <w:rFonts w:ascii="Arial" w:hAnsi="Arial" w:cs="Arial"/>
          <w:sz w:val="20"/>
          <w:szCs w:val="20"/>
        </w:rPr>
      </w:pPr>
      <w:r w:rsidRPr="00BE3D84">
        <w:rPr>
          <w:rFonts w:ascii="Arial" w:hAnsi="Arial" w:cs="Arial"/>
          <w:bCs/>
          <w:sz w:val="20"/>
          <w:szCs w:val="20"/>
        </w:rPr>
        <w:t>La rilevazione dei prezzi all’importazione è prevista dal Programma Statistico Nazionale in vigore, consultabile sul sito internet dell'Istat all'indirizzo</w:t>
      </w:r>
      <w:r w:rsidRPr="00380EB6">
        <w:rPr>
          <w:rFonts w:ascii="Arial" w:hAnsi="Arial" w:cs="Arial"/>
        </w:rPr>
        <w:t xml:space="preserve"> </w:t>
      </w:r>
      <w:hyperlink r:id="rId46" w:history="1">
        <w:r w:rsidRPr="00BE3D84">
          <w:rPr>
            <w:rStyle w:val="Collegamentoipertestuale"/>
            <w:rFonts w:ascii="Arial" w:hAnsi="Arial" w:cs="Arial"/>
            <w:sz w:val="20"/>
            <w:szCs w:val="20"/>
          </w:rPr>
          <w:t>https://www.istat.it/it/istituto-nazionale-di-statistica/organizzazione/normativa</w:t>
        </w:r>
      </w:hyperlink>
      <w:r w:rsidRPr="00BE3D84">
        <w:rPr>
          <w:rFonts w:ascii="Arial" w:hAnsi="Arial" w:cs="Arial"/>
          <w:sz w:val="20"/>
          <w:szCs w:val="20"/>
        </w:rPr>
        <w:t>.</w:t>
      </w:r>
    </w:p>
    <w:p w14:paraId="2BC6CCA5" w14:textId="77777777" w:rsidR="00F21E70" w:rsidRDefault="00F21E70" w:rsidP="00F21E70">
      <w:pPr>
        <w:spacing w:after="120"/>
        <w:jc w:val="both"/>
        <w:rPr>
          <w:rFonts w:ascii="Arial" w:hAnsi="Arial" w:cs="Arial"/>
          <w:b/>
          <w:bCs/>
          <w:sz w:val="20"/>
          <w:szCs w:val="20"/>
        </w:rPr>
      </w:pPr>
    </w:p>
    <w:p w14:paraId="04A5A79E" w14:textId="77777777" w:rsidR="00F21E70" w:rsidRPr="00C9631A" w:rsidRDefault="00F21E70" w:rsidP="00F21E70">
      <w:pPr>
        <w:spacing w:after="120"/>
        <w:jc w:val="both"/>
        <w:rPr>
          <w:rFonts w:ascii="Arial" w:hAnsi="Arial" w:cs="Arial"/>
          <w:b/>
          <w:bCs/>
          <w:sz w:val="20"/>
          <w:szCs w:val="20"/>
        </w:rPr>
      </w:pPr>
      <w:r>
        <w:rPr>
          <w:rFonts w:ascii="Arial" w:hAnsi="Arial" w:cs="Arial"/>
          <w:b/>
          <w:bCs/>
          <w:sz w:val="20"/>
          <w:szCs w:val="20"/>
        </w:rPr>
        <w:t>Fonte dei dati, c</w:t>
      </w:r>
      <w:r w:rsidRPr="00C9631A">
        <w:rPr>
          <w:rFonts w:ascii="Arial" w:hAnsi="Arial" w:cs="Arial"/>
          <w:b/>
          <w:bCs/>
          <w:sz w:val="20"/>
          <w:szCs w:val="20"/>
        </w:rPr>
        <w:t>ampo di osservazione, unità di analisi e di rilevazione</w:t>
      </w:r>
    </w:p>
    <w:p w14:paraId="621C0B6C" w14:textId="77777777" w:rsidR="00F21E70" w:rsidRPr="00BE3D84" w:rsidRDefault="00F21E70" w:rsidP="00F21E70">
      <w:pPr>
        <w:spacing w:after="120"/>
        <w:jc w:val="both"/>
        <w:rPr>
          <w:rFonts w:ascii="Arial" w:hAnsi="Arial" w:cs="Arial"/>
          <w:sz w:val="20"/>
          <w:szCs w:val="20"/>
        </w:rPr>
      </w:pPr>
      <w:r w:rsidRPr="00A54830">
        <w:rPr>
          <w:rFonts w:ascii="Arial" w:hAnsi="Arial" w:cs="Arial"/>
          <w:sz w:val="20"/>
          <w:szCs w:val="20"/>
        </w:rPr>
        <w:t>Il sistema degli indici dei prezzi all’importazione è elaborato a partire dai dati raccolti mediante una rilevazione statistica campionaria, con periodicità mensile.</w:t>
      </w:r>
    </w:p>
    <w:p w14:paraId="68EF22D2" w14:textId="77777777" w:rsidR="00F21E70" w:rsidRPr="00C9631A" w:rsidRDefault="00F21E70" w:rsidP="00F21E70">
      <w:pPr>
        <w:spacing w:after="100"/>
        <w:jc w:val="both"/>
        <w:rPr>
          <w:rFonts w:ascii="Arial" w:hAnsi="Arial" w:cs="Arial"/>
          <w:bCs/>
          <w:sz w:val="20"/>
          <w:szCs w:val="20"/>
        </w:rPr>
      </w:pPr>
      <w:r w:rsidRPr="00C9631A">
        <w:rPr>
          <w:rFonts w:ascii="Arial" w:hAnsi="Arial" w:cs="Arial"/>
          <w:bCs/>
          <w:sz w:val="20"/>
          <w:szCs w:val="20"/>
        </w:rPr>
        <w:t xml:space="preserve">Dal punto di vista dimensionale, l’indagine è basata su un campione </w:t>
      </w:r>
      <w:r>
        <w:rPr>
          <w:rFonts w:ascii="Arial" w:hAnsi="Arial" w:cs="Arial"/>
          <w:bCs/>
          <w:sz w:val="20"/>
          <w:szCs w:val="20"/>
        </w:rPr>
        <w:t>di</w:t>
      </w:r>
      <w:r w:rsidRPr="00C9631A">
        <w:rPr>
          <w:rFonts w:ascii="Arial" w:hAnsi="Arial" w:cs="Arial"/>
          <w:bCs/>
          <w:sz w:val="20"/>
          <w:szCs w:val="20"/>
        </w:rPr>
        <w:t xml:space="preserve"> </w:t>
      </w:r>
      <w:r>
        <w:rPr>
          <w:rFonts w:ascii="Arial" w:hAnsi="Arial" w:cs="Arial"/>
          <w:bCs/>
          <w:sz w:val="20"/>
          <w:szCs w:val="20"/>
        </w:rPr>
        <w:t>1.227</w:t>
      </w:r>
      <w:r w:rsidRPr="00C9631A">
        <w:rPr>
          <w:rFonts w:ascii="Arial" w:hAnsi="Arial" w:cs="Arial"/>
          <w:bCs/>
          <w:sz w:val="20"/>
          <w:szCs w:val="20"/>
        </w:rPr>
        <w:t xml:space="preserve"> prodotti rilevati presso una lista di </w:t>
      </w:r>
      <w:r>
        <w:rPr>
          <w:rFonts w:ascii="Arial" w:hAnsi="Arial" w:cs="Arial"/>
          <w:bCs/>
          <w:sz w:val="20"/>
          <w:szCs w:val="20"/>
        </w:rPr>
        <w:t>3</w:t>
      </w:r>
      <w:r w:rsidRPr="00C9631A">
        <w:rPr>
          <w:rFonts w:ascii="Arial" w:hAnsi="Arial" w:cs="Arial"/>
          <w:bCs/>
          <w:sz w:val="20"/>
          <w:szCs w:val="20"/>
        </w:rPr>
        <w:t>.</w:t>
      </w:r>
      <w:r>
        <w:rPr>
          <w:rFonts w:ascii="Arial" w:hAnsi="Arial" w:cs="Arial"/>
          <w:bCs/>
          <w:sz w:val="20"/>
          <w:szCs w:val="20"/>
        </w:rPr>
        <w:t>563</w:t>
      </w:r>
      <w:r w:rsidRPr="00C9631A">
        <w:rPr>
          <w:rFonts w:ascii="Arial" w:hAnsi="Arial" w:cs="Arial"/>
          <w:bCs/>
          <w:sz w:val="20"/>
          <w:szCs w:val="20"/>
        </w:rPr>
        <w:t xml:space="preserve"> imprese che forniscono mensilmente </w:t>
      </w:r>
      <w:r>
        <w:rPr>
          <w:rFonts w:ascii="Arial" w:hAnsi="Arial" w:cs="Arial"/>
          <w:bCs/>
          <w:sz w:val="20"/>
          <w:szCs w:val="20"/>
        </w:rPr>
        <w:t>9.884</w:t>
      </w:r>
      <w:r w:rsidRPr="00C9631A">
        <w:rPr>
          <w:rFonts w:ascii="Arial" w:hAnsi="Arial" w:cs="Arial"/>
          <w:bCs/>
          <w:sz w:val="20"/>
          <w:szCs w:val="20"/>
        </w:rPr>
        <w:t xml:space="preserve"> quotazioni di prezzo.</w:t>
      </w:r>
    </w:p>
    <w:p w14:paraId="3917C468" w14:textId="77777777" w:rsidR="00F21E70" w:rsidRPr="00C9631A" w:rsidRDefault="00F21E70" w:rsidP="00F21E70">
      <w:pPr>
        <w:spacing w:after="120"/>
        <w:jc w:val="both"/>
        <w:rPr>
          <w:rFonts w:ascii="Arial" w:hAnsi="Arial" w:cs="Arial"/>
          <w:sz w:val="20"/>
          <w:szCs w:val="20"/>
        </w:rPr>
      </w:pPr>
      <w:r w:rsidRPr="00C9631A">
        <w:rPr>
          <w:rFonts w:ascii="Arial" w:hAnsi="Arial" w:cs="Arial"/>
          <w:sz w:val="20"/>
          <w:szCs w:val="20"/>
        </w:rPr>
        <w:t>Il campo di osservazione della rilevazione riguarda:</w:t>
      </w:r>
    </w:p>
    <w:p w14:paraId="5FD695C2" w14:textId="77777777" w:rsidR="00F21E70" w:rsidRPr="00C9631A" w:rsidRDefault="00F21E70" w:rsidP="00F21E70">
      <w:pPr>
        <w:numPr>
          <w:ilvl w:val="0"/>
          <w:numId w:val="31"/>
        </w:numPr>
        <w:spacing w:after="120"/>
        <w:ind w:left="426"/>
        <w:jc w:val="both"/>
        <w:rPr>
          <w:rFonts w:ascii="Arial" w:hAnsi="Arial" w:cs="Arial"/>
          <w:sz w:val="20"/>
          <w:szCs w:val="20"/>
        </w:rPr>
      </w:pPr>
      <w:r w:rsidRPr="00C9631A">
        <w:rPr>
          <w:rFonts w:ascii="Arial" w:hAnsi="Arial" w:cs="Arial"/>
          <w:sz w:val="20"/>
          <w:szCs w:val="20"/>
        </w:rPr>
        <w:t>prodotti inclusi nelle sezioni da B a D della classificazione CPA;</w:t>
      </w:r>
    </w:p>
    <w:p w14:paraId="463C145C" w14:textId="77777777" w:rsidR="00F21E70" w:rsidRPr="00C9631A" w:rsidRDefault="00F21E70" w:rsidP="00F21E70">
      <w:pPr>
        <w:numPr>
          <w:ilvl w:val="0"/>
          <w:numId w:val="31"/>
        </w:numPr>
        <w:spacing w:after="120"/>
        <w:ind w:left="426"/>
        <w:jc w:val="both"/>
        <w:rPr>
          <w:rFonts w:ascii="Arial" w:hAnsi="Arial" w:cs="Arial"/>
          <w:sz w:val="20"/>
          <w:szCs w:val="20"/>
        </w:rPr>
      </w:pPr>
      <w:r w:rsidRPr="00C9631A">
        <w:rPr>
          <w:rFonts w:ascii="Arial" w:hAnsi="Arial" w:cs="Arial"/>
          <w:sz w:val="20"/>
          <w:szCs w:val="20"/>
        </w:rPr>
        <w:t>imprese con attività economica prevalente nelle sezioni B, C, D, E, G della classificazione Ateco 2007.</w:t>
      </w:r>
    </w:p>
    <w:p w14:paraId="09E5E1F2" w14:textId="77777777" w:rsidR="00F21E70" w:rsidRPr="00C9631A" w:rsidRDefault="00F21E70" w:rsidP="00F21E70">
      <w:pPr>
        <w:spacing w:after="120"/>
        <w:ind w:left="426"/>
        <w:jc w:val="both"/>
        <w:rPr>
          <w:rFonts w:ascii="Arial" w:hAnsi="Arial" w:cs="Arial"/>
          <w:sz w:val="20"/>
          <w:szCs w:val="20"/>
        </w:rPr>
      </w:pPr>
      <w:r w:rsidRPr="00C9631A">
        <w:rPr>
          <w:rFonts w:ascii="Arial" w:hAnsi="Arial" w:cs="Arial"/>
          <w:sz w:val="20"/>
          <w:szCs w:val="20"/>
        </w:rPr>
        <w:t xml:space="preserve">L’unità di analisi è il prodotto, ovvero la </w:t>
      </w:r>
      <w:r w:rsidRPr="00E660CB">
        <w:rPr>
          <w:rFonts w:ascii="Arial" w:hAnsi="Arial" w:cs="Arial"/>
          <w:sz w:val="20"/>
          <w:szCs w:val="20"/>
        </w:rPr>
        <w:t>tipologia di prodotto</w:t>
      </w:r>
      <w:r w:rsidRPr="00C9631A">
        <w:rPr>
          <w:rFonts w:ascii="Arial" w:hAnsi="Arial" w:cs="Arial"/>
          <w:sz w:val="20"/>
          <w:szCs w:val="20"/>
        </w:rPr>
        <w:t xml:space="preserve"> (materia prima, semilavorato e prodotto finito) acquistata sul mercato estero e destinata al reimpiego nel processo di produzione (nel caso di un’impresa industriale) oppure alla vendita sul territorio nazionale o estero (nel caso di un’impresa commerciale).</w:t>
      </w:r>
    </w:p>
    <w:p w14:paraId="5319B031" w14:textId="77777777" w:rsidR="00F21E70" w:rsidRPr="00C9631A" w:rsidRDefault="00F21E70" w:rsidP="00F21E70">
      <w:pPr>
        <w:spacing w:after="120"/>
        <w:ind w:left="426"/>
        <w:jc w:val="both"/>
        <w:rPr>
          <w:rFonts w:ascii="Arial" w:hAnsi="Arial" w:cs="Arial"/>
          <w:sz w:val="20"/>
          <w:szCs w:val="20"/>
        </w:rPr>
      </w:pPr>
      <w:r w:rsidRPr="00C9631A">
        <w:rPr>
          <w:rFonts w:ascii="Arial" w:hAnsi="Arial" w:cs="Arial"/>
          <w:sz w:val="20"/>
          <w:szCs w:val="20"/>
        </w:rPr>
        <w:t>L’unità di rilevazione – impresa – deve essere localizzata sul territorio nazionale; nel caso di impresa industriale, la localizzazione è riferita agli stabilimenti di produzione: l’impresa acquista sul mercato estero materie prime, semilavorati e prodotti finiti che reimpiega nel proprio processo di produzione. Se l’impresa è commerciale, acquista sul mercato estero materie prime, semilavorati e prodotti finiti al fine di rivenderli sul mercato nazionale o estero.</w:t>
      </w:r>
    </w:p>
    <w:p w14:paraId="1B89393F" w14:textId="77777777" w:rsidR="00F21E70" w:rsidRPr="000D4A0C" w:rsidRDefault="00F21E70" w:rsidP="00F21E70">
      <w:pPr>
        <w:spacing w:after="120"/>
        <w:jc w:val="both"/>
        <w:rPr>
          <w:rFonts w:ascii="Arial" w:hAnsi="Arial" w:cs="Arial"/>
          <w:sz w:val="20"/>
          <w:szCs w:val="20"/>
        </w:rPr>
      </w:pPr>
      <w:r w:rsidRPr="000D4A0C">
        <w:rPr>
          <w:rFonts w:ascii="Arial" w:hAnsi="Arial" w:cs="Arial"/>
          <w:sz w:val="20"/>
          <w:szCs w:val="20"/>
        </w:rPr>
        <w:t>Il regime del commercio considerato è quello del regime del commercio speciale, sono pertanto incluse le importazioni normali nonché le importazioni in regime di perfezionamento attivo e dopo perfezionamento passivo, quando l’unità rispondente acquisisce la proprietà dei beni; sono escluse dal campo di osservazione:</w:t>
      </w:r>
    </w:p>
    <w:p w14:paraId="7A65D982" w14:textId="77777777" w:rsidR="00F21E70" w:rsidRDefault="00F21E70" w:rsidP="00F21E70">
      <w:pPr>
        <w:numPr>
          <w:ilvl w:val="0"/>
          <w:numId w:val="39"/>
        </w:numPr>
        <w:spacing w:after="120"/>
        <w:ind w:left="425" w:hanging="425"/>
        <w:jc w:val="both"/>
        <w:rPr>
          <w:rFonts w:ascii="Arial" w:hAnsi="Arial" w:cs="Arial"/>
          <w:sz w:val="20"/>
          <w:szCs w:val="20"/>
        </w:rPr>
      </w:pPr>
      <w:r w:rsidRPr="000D4A0C">
        <w:rPr>
          <w:rFonts w:ascii="Arial" w:hAnsi="Arial" w:cs="Arial"/>
          <w:sz w:val="20"/>
          <w:szCs w:val="20"/>
        </w:rPr>
        <w:t>le importazioni delle famiglie, delle amministrazioni pubbliche e delle istituzioni senza scopo di lucro;</w:t>
      </w:r>
    </w:p>
    <w:p w14:paraId="30565633" w14:textId="77777777" w:rsidR="00F21E70" w:rsidRDefault="00F21E70" w:rsidP="00F21E70">
      <w:pPr>
        <w:numPr>
          <w:ilvl w:val="0"/>
          <w:numId w:val="39"/>
        </w:numPr>
        <w:spacing w:after="120"/>
        <w:ind w:left="425" w:hanging="425"/>
        <w:jc w:val="both"/>
        <w:rPr>
          <w:rFonts w:ascii="Arial" w:hAnsi="Arial" w:cs="Arial"/>
          <w:sz w:val="20"/>
          <w:szCs w:val="20"/>
        </w:rPr>
      </w:pPr>
      <w:r w:rsidRPr="002A34BD">
        <w:rPr>
          <w:rFonts w:ascii="Arial" w:hAnsi="Arial" w:cs="Arial"/>
          <w:sz w:val="20"/>
          <w:szCs w:val="20"/>
        </w:rPr>
        <w:t>l’importazione a fini di riparazione;</w:t>
      </w:r>
    </w:p>
    <w:p w14:paraId="7B35B3AC" w14:textId="77777777" w:rsidR="00F21E70" w:rsidRPr="002A34BD" w:rsidRDefault="00F21E70" w:rsidP="00F21E70">
      <w:pPr>
        <w:numPr>
          <w:ilvl w:val="0"/>
          <w:numId w:val="39"/>
        </w:numPr>
        <w:spacing w:after="120"/>
        <w:ind w:left="425" w:hanging="425"/>
        <w:jc w:val="both"/>
        <w:rPr>
          <w:rFonts w:ascii="Arial" w:hAnsi="Arial" w:cs="Arial"/>
          <w:sz w:val="20"/>
          <w:szCs w:val="20"/>
        </w:rPr>
      </w:pPr>
      <w:r w:rsidRPr="002A34BD">
        <w:rPr>
          <w:rFonts w:ascii="Arial" w:hAnsi="Arial" w:cs="Arial"/>
          <w:sz w:val="20"/>
          <w:szCs w:val="20"/>
        </w:rPr>
        <w:t>tutti i servizi correlati ai prodotti.</w:t>
      </w:r>
    </w:p>
    <w:p w14:paraId="563AC2D2" w14:textId="77777777" w:rsidR="00F21E70" w:rsidRPr="00C9631A" w:rsidRDefault="00F21E70" w:rsidP="00F21E70">
      <w:pPr>
        <w:spacing w:after="120"/>
        <w:ind w:left="426"/>
        <w:jc w:val="both"/>
        <w:rPr>
          <w:rFonts w:ascii="Arial" w:hAnsi="Arial" w:cs="Arial"/>
          <w:sz w:val="20"/>
          <w:szCs w:val="20"/>
        </w:rPr>
      </w:pPr>
    </w:p>
    <w:p w14:paraId="2750DD83" w14:textId="77777777" w:rsidR="00F21E70" w:rsidRPr="00C9631A" w:rsidRDefault="00F21E70" w:rsidP="00F21E70">
      <w:pPr>
        <w:spacing w:after="120"/>
        <w:jc w:val="both"/>
        <w:rPr>
          <w:rFonts w:ascii="Arial" w:hAnsi="Arial" w:cs="Arial"/>
          <w:b/>
          <w:sz w:val="20"/>
          <w:szCs w:val="20"/>
        </w:rPr>
      </w:pPr>
      <w:r w:rsidRPr="00C9631A">
        <w:rPr>
          <w:rFonts w:ascii="Arial" w:hAnsi="Arial" w:cs="Arial"/>
          <w:b/>
          <w:sz w:val="20"/>
          <w:szCs w:val="20"/>
        </w:rPr>
        <w:t>Disegno di campionamento</w:t>
      </w:r>
    </w:p>
    <w:p w14:paraId="644EC1A8" w14:textId="77777777" w:rsidR="00F21E70" w:rsidRPr="00C9631A" w:rsidRDefault="00F21E70" w:rsidP="00F21E70">
      <w:pPr>
        <w:spacing w:after="120"/>
        <w:jc w:val="both"/>
        <w:rPr>
          <w:rFonts w:ascii="Arial" w:hAnsi="Arial" w:cs="Arial"/>
          <w:sz w:val="20"/>
          <w:szCs w:val="20"/>
        </w:rPr>
      </w:pPr>
      <w:r w:rsidRPr="00C9631A">
        <w:rPr>
          <w:rFonts w:ascii="Arial" w:hAnsi="Arial" w:cs="Arial"/>
          <w:sz w:val="20"/>
          <w:szCs w:val="20"/>
        </w:rPr>
        <w:t>La rilevazione mensile dei prezzi dei prodotti importati dall</w:t>
      </w:r>
      <w:r>
        <w:rPr>
          <w:rFonts w:ascii="Arial" w:hAnsi="Arial" w:cs="Arial"/>
          <w:sz w:val="20"/>
          <w:szCs w:val="20"/>
        </w:rPr>
        <w:t xml:space="preserve">e </w:t>
      </w:r>
      <w:r w:rsidRPr="00C9631A">
        <w:rPr>
          <w:rFonts w:ascii="Arial" w:hAnsi="Arial" w:cs="Arial"/>
          <w:sz w:val="20"/>
          <w:szCs w:val="20"/>
        </w:rPr>
        <w:t>impres</w:t>
      </w:r>
      <w:r>
        <w:rPr>
          <w:rFonts w:ascii="Arial" w:hAnsi="Arial" w:cs="Arial"/>
          <w:sz w:val="20"/>
          <w:szCs w:val="20"/>
        </w:rPr>
        <w:t xml:space="preserve">e </w:t>
      </w:r>
      <w:r w:rsidRPr="00C9631A">
        <w:rPr>
          <w:rFonts w:ascii="Arial" w:hAnsi="Arial" w:cs="Arial"/>
          <w:sz w:val="20"/>
          <w:szCs w:val="20"/>
        </w:rPr>
        <w:t xml:space="preserve">si effettua </w:t>
      </w:r>
      <w:r>
        <w:rPr>
          <w:rFonts w:ascii="Arial" w:hAnsi="Arial" w:cs="Arial"/>
          <w:sz w:val="20"/>
          <w:szCs w:val="20"/>
        </w:rPr>
        <w:t xml:space="preserve">– con riferimento alle due aree, euro e non euro – </w:t>
      </w:r>
      <w:r w:rsidRPr="00C9631A">
        <w:rPr>
          <w:rFonts w:ascii="Arial" w:hAnsi="Arial" w:cs="Arial"/>
          <w:sz w:val="20"/>
          <w:szCs w:val="20"/>
        </w:rPr>
        <w:t xml:space="preserve">sulla base di un disegno di campionamento nel quale si definiscono, relativamente </w:t>
      </w:r>
      <w:r>
        <w:rPr>
          <w:rFonts w:ascii="Arial" w:hAnsi="Arial" w:cs="Arial"/>
          <w:sz w:val="20"/>
          <w:szCs w:val="20"/>
        </w:rPr>
        <w:t>alla base di calcolo</w:t>
      </w:r>
      <w:r w:rsidRPr="00C9631A">
        <w:rPr>
          <w:rFonts w:ascii="Arial" w:hAnsi="Arial" w:cs="Arial"/>
          <w:sz w:val="20"/>
          <w:szCs w:val="20"/>
        </w:rPr>
        <w:t xml:space="preserve">, la composizione del paniere dei prodotti e la lista delle unità di rilevazione. </w:t>
      </w:r>
    </w:p>
    <w:p w14:paraId="0296AF4A" w14:textId="77777777" w:rsidR="00F21E70" w:rsidRPr="00C9631A" w:rsidRDefault="00F21E70" w:rsidP="00F21E70">
      <w:pPr>
        <w:spacing w:after="120"/>
        <w:jc w:val="both"/>
        <w:rPr>
          <w:rFonts w:ascii="Arial" w:hAnsi="Arial" w:cs="Arial"/>
          <w:sz w:val="20"/>
          <w:szCs w:val="20"/>
        </w:rPr>
      </w:pPr>
      <w:r w:rsidRPr="00C9631A">
        <w:rPr>
          <w:rFonts w:ascii="Arial" w:hAnsi="Arial" w:cs="Arial"/>
          <w:sz w:val="20"/>
          <w:szCs w:val="20"/>
        </w:rPr>
        <w:t>Il paniere dei prodotti è costituito da un campione rappresentativo dei principali beni acquistati dalle imprese sul mercato estero e destinati al reimpiego nel processo di produzione (nel caso di un’impresa industriale) oppure alla vendita sul territorio nazionale o estero (nel caso di un’impresa commerciale). La selezione dei prodotti si effettua utilizzando, come informazione principale, quella proveniente dalle statistiche del commercio con l’estero (valore annuale delle importazioni a livello di merce, codificata secondo la Nomenclatura Combinata).</w:t>
      </w:r>
    </w:p>
    <w:p w14:paraId="69CF6A3E" w14:textId="77777777" w:rsidR="00F21E70" w:rsidRDefault="00F21E70" w:rsidP="00F21E70">
      <w:pPr>
        <w:spacing w:after="120"/>
        <w:jc w:val="both"/>
        <w:rPr>
          <w:rFonts w:ascii="Arial" w:hAnsi="Arial" w:cs="Arial"/>
          <w:sz w:val="20"/>
          <w:szCs w:val="20"/>
        </w:rPr>
      </w:pPr>
      <w:r w:rsidRPr="00C9631A">
        <w:rPr>
          <w:rFonts w:ascii="Arial" w:hAnsi="Arial" w:cs="Arial"/>
          <w:sz w:val="20"/>
          <w:szCs w:val="20"/>
        </w:rPr>
        <w:t>La lista delle unità di rilevazione è determinata integrando le informazioni sull’interscambio commerciale con quelle contenute nell’Archivio Statistico delle Imprese Attive (Asia) dell’Istat (relativamente all’identificativo dell’impresa e all’attività econo</w:t>
      </w:r>
      <w:r>
        <w:rPr>
          <w:rFonts w:ascii="Arial" w:hAnsi="Arial" w:cs="Arial"/>
          <w:sz w:val="20"/>
          <w:szCs w:val="20"/>
        </w:rPr>
        <w:t>mica prevalente della medesima)</w:t>
      </w:r>
      <w:r w:rsidRPr="00C9631A">
        <w:rPr>
          <w:rFonts w:ascii="Arial" w:hAnsi="Arial" w:cs="Arial"/>
          <w:sz w:val="20"/>
          <w:szCs w:val="20"/>
        </w:rPr>
        <w:t xml:space="preserve"> e nell’Anagrafe Tributaria (relativamente alla corrispondenza operatore economico/partita Iva – impresa/codice fiscale). Attraverso tale link si collegano le unità di analisi (i prodotti importati) alle unità di rilevazione (le imprese importatrici).</w:t>
      </w:r>
    </w:p>
    <w:p w14:paraId="3269042E" w14:textId="77777777" w:rsidR="001C0874" w:rsidRDefault="001C0874" w:rsidP="00F21E70">
      <w:pPr>
        <w:spacing w:after="120"/>
        <w:jc w:val="both"/>
        <w:rPr>
          <w:rFonts w:ascii="Arial" w:hAnsi="Arial" w:cs="Arial"/>
          <w:sz w:val="20"/>
          <w:szCs w:val="20"/>
        </w:rPr>
      </w:pPr>
    </w:p>
    <w:p w14:paraId="552BCDDA" w14:textId="1EFEDCCA" w:rsidR="00F21E70" w:rsidRDefault="00F21E70" w:rsidP="00F21E70">
      <w:pPr>
        <w:spacing w:after="120"/>
        <w:jc w:val="both"/>
        <w:rPr>
          <w:rFonts w:ascii="Arial" w:hAnsi="Arial" w:cs="Arial"/>
          <w:sz w:val="20"/>
          <w:szCs w:val="20"/>
        </w:rPr>
      </w:pPr>
      <w:r>
        <w:rPr>
          <w:rFonts w:ascii="Arial" w:hAnsi="Arial" w:cs="Arial"/>
          <w:sz w:val="20"/>
          <w:szCs w:val="20"/>
        </w:rPr>
        <w:t xml:space="preserve">Nel Prospetto B viene sintetizzata la composizione imprese/prodotti/prezzi della base di calcolo </w:t>
      </w:r>
      <w:r w:rsidRPr="00F04670">
        <w:rPr>
          <w:rFonts w:ascii="Arial" w:hAnsi="Arial" w:cs="Arial"/>
          <w:sz w:val="20"/>
          <w:szCs w:val="20"/>
        </w:rPr>
        <w:t>dicembre 2022, con riferimento alle tre variabili elaborate.</w:t>
      </w:r>
    </w:p>
    <w:p w14:paraId="0C85024F" w14:textId="77777777" w:rsidR="00454BAB" w:rsidRDefault="00454BAB" w:rsidP="00F21E70">
      <w:pPr>
        <w:jc w:val="both"/>
        <w:rPr>
          <w:rFonts w:ascii="Arial Narrow" w:hAnsi="Arial Narrow" w:cs="Arial"/>
          <w:b/>
          <w:color w:val="E42618"/>
          <w:sz w:val="22"/>
          <w:szCs w:val="22"/>
        </w:rPr>
      </w:pPr>
    </w:p>
    <w:p w14:paraId="65B64991" w14:textId="77777777" w:rsidR="00F21E70" w:rsidRDefault="00F21E70" w:rsidP="00F21E70">
      <w:pPr>
        <w:jc w:val="both"/>
        <w:rPr>
          <w:rFonts w:ascii="Arial Narrow" w:hAnsi="Arial Narrow" w:cs="Arial"/>
          <w:color w:val="7F7F7F"/>
          <w:sz w:val="20"/>
          <w:szCs w:val="20"/>
        </w:rPr>
      </w:pPr>
      <w:r w:rsidRPr="00861AAF">
        <w:rPr>
          <w:rFonts w:ascii="Arial Narrow" w:hAnsi="Arial Narrow" w:cs="Arial"/>
          <w:b/>
          <w:color w:val="E42618"/>
          <w:sz w:val="22"/>
          <w:szCs w:val="22"/>
        </w:rPr>
        <w:t xml:space="preserve">PROSPETTO </w:t>
      </w:r>
      <w:r>
        <w:rPr>
          <w:rFonts w:ascii="Arial Narrow" w:hAnsi="Arial Narrow" w:cs="Arial"/>
          <w:b/>
          <w:color w:val="E42618"/>
          <w:sz w:val="22"/>
          <w:szCs w:val="22"/>
        </w:rPr>
        <w:t>B</w:t>
      </w:r>
      <w:r w:rsidRPr="00861AAF">
        <w:rPr>
          <w:rFonts w:ascii="Arial Narrow" w:hAnsi="Arial Narrow" w:cs="Arial"/>
          <w:b/>
          <w:color w:val="E42618"/>
          <w:sz w:val="22"/>
          <w:szCs w:val="22"/>
        </w:rPr>
        <w:t>.</w:t>
      </w:r>
      <w:r w:rsidRPr="00861AAF">
        <w:rPr>
          <w:rFonts w:ascii="Arial Narrow" w:hAnsi="Arial Narrow" w:cs="Arial"/>
          <w:b/>
          <w:color w:val="7F7F7F"/>
          <w:sz w:val="22"/>
          <w:szCs w:val="22"/>
        </w:rPr>
        <w:t xml:space="preserve"> PREZZI ALL</w:t>
      </w:r>
      <w:r>
        <w:rPr>
          <w:rFonts w:ascii="Arial Narrow" w:hAnsi="Arial Narrow" w:cs="Arial"/>
          <w:b/>
          <w:color w:val="7F7F7F"/>
          <w:sz w:val="22"/>
          <w:szCs w:val="22"/>
        </w:rPr>
        <w:t xml:space="preserve">’IMPORTAZIONE. </w:t>
      </w:r>
      <w:r w:rsidRPr="00832200">
        <w:rPr>
          <w:rFonts w:ascii="Arial Narrow" w:hAnsi="Arial Narrow" w:cs="Arial"/>
          <w:b/>
          <w:color w:val="7F7F7F"/>
          <w:sz w:val="22"/>
          <w:szCs w:val="22"/>
        </w:rPr>
        <w:t>N</w:t>
      </w:r>
      <w:r>
        <w:rPr>
          <w:rFonts w:ascii="Arial Narrow" w:hAnsi="Arial Narrow" w:cs="Arial"/>
          <w:b/>
          <w:color w:val="7F7F7F"/>
          <w:sz w:val="22"/>
          <w:szCs w:val="22"/>
        </w:rPr>
        <w:t>U</w:t>
      </w:r>
      <w:r w:rsidRPr="00832200">
        <w:rPr>
          <w:rFonts w:ascii="Arial Narrow" w:hAnsi="Arial Narrow" w:cs="Arial"/>
          <w:b/>
          <w:color w:val="7F7F7F"/>
          <w:sz w:val="22"/>
          <w:szCs w:val="22"/>
        </w:rPr>
        <w:t>MEROSITÀ DEL CAMPIONE DEI PRODOTTI, IMPRESE E PREZZI</w:t>
      </w:r>
    </w:p>
    <w:p w14:paraId="1D313AB6" w14:textId="77777777" w:rsidR="00F21E70" w:rsidRPr="001F0B80" w:rsidRDefault="00F21E70" w:rsidP="00F21E70">
      <w:pPr>
        <w:jc w:val="both"/>
        <w:rPr>
          <w:rFonts w:ascii="Arial Narrow" w:hAnsi="Arial Narrow" w:cs="Arial"/>
          <w:color w:val="7F7F7F"/>
          <w:sz w:val="20"/>
          <w:szCs w:val="20"/>
        </w:rPr>
      </w:pPr>
      <w:r w:rsidRPr="001F0B80">
        <w:rPr>
          <w:rFonts w:ascii="Arial Narrow" w:hAnsi="Arial Narrow" w:cs="Arial"/>
          <w:color w:val="7F7F7F"/>
          <w:sz w:val="20"/>
          <w:szCs w:val="20"/>
        </w:rPr>
        <w:t xml:space="preserve">Base di calcolo </w:t>
      </w:r>
      <w:r w:rsidRPr="00F04670">
        <w:rPr>
          <w:rFonts w:ascii="Arial Narrow" w:hAnsi="Arial Narrow" w:cs="Arial"/>
          <w:color w:val="7F7F7F"/>
          <w:sz w:val="20"/>
          <w:szCs w:val="20"/>
        </w:rPr>
        <w:t>Dicembre 2022</w:t>
      </w:r>
    </w:p>
    <w:tbl>
      <w:tblPr>
        <w:tblW w:w="10147" w:type="dxa"/>
        <w:tblCellMar>
          <w:left w:w="70" w:type="dxa"/>
          <w:right w:w="454" w:type="dxa"/>
        </w:tblCellMar>
        <w:tblLook w:val="04A0" w:firstRow="1" w:lastRow="0" w:firstColumn="1" w:lastColumn="0" w:noHBand="0" w:noVBand="1"/>
      </w:tblPr>
      <w:tblGrid>
        <w:gridCol w:w="2551"/>
        <w:gridCol w:w="2494"/>
        <w:gridCol w:w="2551"/>
        <w:gridCol w:w="2551"/>
      </w:tblGrid>
      <w:tr w:rsidR="00F21E70" w:rsidRPr="00861AAF" w14:paraId="173E2BA2" w14:textId="77777777" w:rsidTr="00454BAB">
        <w:trPr>
          <w:trHeight w:val="340"/>
        </w:trPr>
        <w:tc>
          <w:tcPr>
            <w:tcW w:w="2551" w:type="dxa"/>
            <w:tcBorders>
              <w:top w:val="single" w:sz="8" w:space="0" w:color="333333"/>
              <w:left w:val="nil"/>
              <w:bottom w:val="single" w:sz="8" w:space="0" w:color="333333"/>
              <w:right w:val="nil"/>
            </w:tcBorders>
            <w:shd w:val="clear" w:color="auto" w:fill="auto"/>
            <w:vAlign w:val="center"/>
            <w:hideMark/>
          </w:tcPr>
          <w:p w14:paraId="04A61556" w14:textId="77777777" w:rsidR="00F21E70" w:rsidRPr="00861AAF" w:rsidRDefault="00F21E70" w:rsidP="00454BAB">
            <w:pPr>
              <w:rPr>
                <w:rFonts w:ascii="Arial Narrow" w:hAnsi="Arial Narrow" w:cs="Arial"/>
                <w:b/>
                <w:bCs/>
                <w:color w:val="000000"/>
                <w:sz w:val="18"/>
                <w:szCs w:val="18"/>
              </w:rPr>
            </w:pPr>
            <w:r w:rsidRPr="00861AAF">
              <w:rPr>
                <w:rFonts w:ascii="Arial Narrow" w:hAnsi="Arial Narrow" w:cs="Arial"/>
                <w:b/>
                <w:bCs/>
                <w:color w:val="000000"/>
                <w:sz w:val="18"/>
                <w:szCs w:val="18"/>
              </w:rPr>
              <w:t>UNITÀ</w:t>
            </w:r>
          </w:p>
        </w:tc>
        <w:tc>
          <w:tcPr>
            <w:tcW w:w="2494" w:type="dxa"/>
            <w:tcBorders>
              <w:top w:val="single" w:sz="8" w:space="0" w:color="333333"/>
              <w:left w:val="nil"/>
              <w:bottom w:val="single" w:sz="4" w:space="0" w:color="auto"/>
              <w:right w:val="nil"/>
            </w:tcBorders>
            <w:shd w:val="clear" w:color="000000" w:fill="E6E6E6"/>
            <w:vAlign w:val="center"/>
            <w:hideMark/>
          </w:tcPr>
          <w:p w14:paraId="728D4713" w14:textId="77777777" w:rsidR="00F21E70" w:rsidRPr="00861AAF" w:rsidRDefault="00F21E70" w:rsidP="00454BAB">
            <w:pPr>
              <w:jc w:val="right"/>
              <w:rPr>
                <w:rFonts w:ascii="Arial Narrow" w:hAnsi="Arial Narrow" w:cs="Arial"/>
                <w:b/>
                <w:bCs/>
                <w:color w:val="000000"/>
                <w:sz w:val="18"/>
                <w:szCs w:val="18"/>
              </w:rPr>
            </w:pPr>
            <w:r w:rsidRPr="00861AAF">
              <w:rPr>
                <w:rFonts w:ascii="Arial Narrow" w:hAnsi="Arial Narrow" w:cs="Arial"/>
                <w:b/>
                <w:bCs/>
                <w:color w:val="000000"/>
                <w:sz w:val="18"/>
                <w:szCs w:val="18"/>
              </w:rPr>
              <w:t>Totale</w:t>
            </w:r>
          </w:p>
        </w:tc>
        <w:tc>
          <w:tcPr>
            <w:tcW w:w="2551" w:type="dxa"/>
            <w:tcBorders>
              <w:top w:val="single" w:sz="8" w:space="0" w:color="333333"/>
              <w:left w:val="nil"/>
              <w:bottom w:val="single" w:sz="4" w:space="0" w:color="auto"/>
              <w:right w:val="nil"/>
            </w:tcBorders>
            <w:shd w:val="clear" w:color="auto" w:fill="auto"/>
            <w:vAlign w:val="center"/>
            <w:hideMark/>
          </w:tcPr>
          <w:p w14:paraId="30ECA501" w14:textId="77777777" w:rsidR="00F21E70" w:rsidRPr="00861AAF" w:rsidRDefault="00F21E70" w:rsidP="00454BAB">
            <w:pPr>
              <w:jc w:val="right"/>
              <w:rPr>
                <w:rFonts w:ascii="Arial Narrow" w:hAnsi="Arial Narrow" w:cs="Arial"/>
                <w:b/>
                <w:bCs/>
                <w:color w:val="000000"/>
                <w:sz w:val="18"/>
                <w:szCs w:val="18"/>
              </w:rPr>
            </w:pPr>
            <w:r>
              <w:rPr>
                <w:rFonts w:ascii="Arial Narrow" w:hAnsi="Arial Narrow" w:cs="Arial"/>
                <w:b/>
                <w:bCs/>
                <w:color w:val="000000"/>
                <w:sz w:val="18"/>
                <w:szCs w:val="18"/>
              </w:rPr>
              <w:t>A</w:t>
            </w:r>
            <w:r w:rsidRPr="00861AAF">
              <w:rPr>
                <w:rFonts w:ascii="Arial Narrow" w:hAnsi="Arial Narrow" w:cs="Arial"/>
                <w:b/>
                <w:bCs/>
                <w:color w:val="000000"/>
                <w:sz w:val="18"/>
                <w:szCs w:val="18"/>
              </w:rPr>
              <w:t>rea euro</w:t>
            </w:r>
          </w:p>
        </w:tc>
        <w:tc>
          <w:tcPr>
            <w:tcW w:w="2551" w:type="dxa"/>
            <w:tcBorders>
              <w:top w:val="single" w:sz="8" w:space="0" w:color="333333"/>
              <w:left w:val="nil"/>
              <w:bottom w:val="single" w:sz="4" w:space="0" w:color="auto"/>
              <w:right w:val="nil"/>
            </w:tcBorders>
            <w:shd w:val="clear" w:color="000000" w:fill="E6E6E6"/>
            <w:vAlign w:val="center"/>
            <w:hideMark/>
          </w:tcPr>
          <w:p w14:paraId="0182F002" w14:textId="77777777" w:rsidR="00F21E70" w:rsidRPr="00861AAF" w:rsidRDefault="00F21E70" w:rsidP="00454BAB">
            <w:pPr>
              <w:jc w:val="right"/>
              <w:rPr>
                <w:rFonts w:ascii="Arial Narrow" w:hAnsi="Arial Narrow" w:cs="Arial"/>
                <w:b/>
                <w:bCs/>
                <w:color w:val="000000"/>
                <w:sz w:val="18"/>
                <w:szCs w:val="18"/>
              </w:rPr>
            </w:pPr>
            <w:r>
              <w:rPr>
                <w:rFonts w:ascii="Arial Narrow" w:hAnsi="Arial Narrow" w:cs="Arial"/>
                <w:b/>
                <w:bCs/>
                <w:color w:val="000000"/>
                <w:sz w:val="18"/>
                <w:szCs w:val="18"/>
              </w:rPr>
              <w:t>A</w:t>
            </w:r>
            <w:r w:rsidRPr="00861AAF">
              <w:rPr>
                <w:rFonts w:ascii="Arial Narrow" w:hAnsi="Arial Narrow" w:cs="Arial"/>
                <w:b/>
                <w:bCs/>
                <w:color w:val="000000"/>
                <w:sz w:val="18"/>
                <w:szCs w:val="18"/>
              </w:rPr>
              <w:t>rea non euro</w:t>
            </w:r>
          </w:p>
        </w:tc>
      </w:tr>
      <w:tr w:rsidR="00F21E70" w:rsidRPr="00861AAF" w14:paraId="476DB608" w14:textId="77777777" w:rsidTr="00454BAB">
        <w:trPr>
          <w:trHeight w:val="255"/>
        </w:trPr>
        <w:tc>
          <w:tcPr>
            <w:tcW w:w="2551" w:type="dxa"/>
            <w:tcBorders>
              <w:top w:val="nil"/>
              <w:left w:val="nil"/>
              <w:bottom w:val="single" w:sz="8" w:space="0" w:color="333333"/>
              <w:right w:val="nil"/>
            </w:tcBorders>
            <w:shd w:val="clear" w:color="auto" w:fill="auto"/>
            <w:vAlign w:val="center"/>
            <w:hideMark/>
          </w:tcPr>
          <w:p w14:paraId="471CB474" w14:textId="77777777" w:rsidR="00F21E70" w:rsidRPr="00861AAF" w:rsidRDefault="00F21E70" w:rsidP="00454BAB">
            <w:pPr>
              <w:rPr>
                <w:rFonts w:ascii="Arial Narrow" w:hAnsi="Arial Narrow" w:cs="Arial"/>
                <w:color w:val="000000"/>
                <w:sz w:val="18"/>
                <w:szCs w:val="18"/>
              </w:rPr>
            </w:pPr>
            <w:r w:rsidRPr="00861AAF">
              <w:rPr>
                <w:rFonts w:ascii="Arial Narrow" w:hAnsi="Arial Narrow" w:cs="Arial"/>
                <w:color w:val="000000"/>
                <w:sz w:val="18"/>
                <w:szCs w:val="18"/>
              </w:rPr>
              <w:t>Prodotti</w:t>
            </w:r>
          </w:p>
        </w:tc>
        <w:tc>
          <w:tcPr>
            <w:tcW w:w="2494" w:type="dxa"/>
            <w:tcBorders>
              <w:top w:val="single" w:sz="4" w:space="0" w:color="auto"/>
              <w:left w:val="nil"/>
              <w:bottom w:val="single" w:sz="8" w:space="0" w:color="333333"/>
              <w:right w:val="nil"/>
            </w:tcBorders>
            <w:shd w:val="clear" w:color="auto" w:fill="D9D9D9"/>
            <w:vAlign w:val="center"/>
          </w:tcPr>
          <w:p w14:paraId="334399E0" w14:textId="77777777" w:rsidR="00F21E70" w:rsidRPr="001F0B80" w:rsidRDefault="00F21E70" w:rsidP="00454BAB">
            <w:pPr>
              <w:jc w:val="right"/>
              <w:rPr>
                <w:rFonts w:ascii="Arial Narrow" w:hAnsi="Arial Narrow"/>
                <w:color w:val="000000"/>
                <w:sz w:val="18"/>
                <w:szCs w:val="18"/>
              </w:rPr>
            </w:pPr>
            <w:r w:rsidRPr="00861AAF">
              <w:rPr>
                <w:rFonts w:ascii="Arial Narrow" w:hAnsi="Arial Narrow"/>
                <w:color w:val="000000"/>
                <w:sz w:val="18"/>
                <w:szCs w:val="18"/>
              </w:rPr>
              <w:t>1.</w:t>
            </w:r>
            <w:r>
              <w:rPr>
                <w:rFonts w:ascii="Arial Narrow" w:hAnsi="Arial Narrow"/>
                <w:color w:val="000000"/>
                <w:sz w:val="18"/>
                <w:szCs w:val="18"/>
              </w:rPr>
              <w:t>227</w:t>
            </w:r>
          </w:p>
        </w:tc>
        <w:tc>
          <w:tcPr>
            <w:tcW w:w="2551" w:type="dxa"/>
            <w:tcBorders>
              <w:top w:val="single" w:sz="4" w:space="0" w:color="auto"/>
              <w:left w:val="nil"/>
              <w:bottom w:val="single" w:sz="8" w:space="0" w:color="333333"/>
              <w:right w:val="nil"/>
            </w:tcBorders>
            <w:shd w:val="clear" w:color="auto" w:fill="auto"/>
            <w:vAlign w:val="center"/>
          </w:tcPr>
          <w:p w14:paraId="4372EC5C" w14:textId="77777777" w:rsidR="00F21E70" w:rsidRPr="001F0B80" w:rsidRDefault="00F21E70" w:rsidP="00454BAB">
            <w:pPr>
              <w:jc w:val="right"/>
              <w:rPr>
                <w:rFonts w:ascii="Arial Narrow" w:hAnsi="Arial Narrow"/>
                <w:color w:val="000000"/>
                <w:sz w:val="18"/>
                <w:szCs w:val="18"/>
              </w:rPr>
            </w:pPr>
            <w:r>
              <w:rPr>
                <w:rFonts w:ascii="Arial Narrow" w:hAnsi="Arial Narrow"/>
                <w:color w:val="000000"/>
                <w:sz w:val="18"/>
                <w:szCs w:val="18"/>
              </w:rPr>
              <w:t>953</w:t>
            </w:r>
          </w:p>
        </w:tc>
        <w:tc>
          <w:tcPr>
            <w:tcW w:w="2551" w:type="dxa"/>
            <w:tcBorders>
              <w:top w:val="single" w:sz="4" w:space="0" w:color="auto"/>
              <w:left w:val="nil"/>
              <w:bottom w:val="single" w:sz="8" w:space="0" w:color="333333"/>
              <w:right w:val="nil"/>
            </w:tcBorders>
            <w:shd w:val="clear" w:color="auto" w:fill="D9D9D9"/>
            <w:vAlign w:val="center"/>
          </w:tcPr>
          <w:p w14:paraId="2AE251ED" w14:textId="77777777" w:rsidR="00F21E70" w:rsidRPr="001F0B80" w:rsidRDefault="00F21E70" w:rsidP="00454BAB">
            <w:pPr>
              <w:jc w:val="right"/>
              <w:rPr>
                <w:rFonts w:ascii="Arial Narrow" w:hAnsi="Arial Narrow"/>
                <w:color w:val="000000"/>
                <w:sz w:val="18"/>
                <w:szCs w:val="18"/>
              </w:rPr>
            </w:pPr>
            <w:r>
              <w:rPr>
                <w:rFonts w:ascii="Arial Narrow" w:hAnsi="Arial Narrow"/>
                <w:color w:val="000000"/>
                <w:sz w:val="18"/>
                <w:szCs w:val="18"/>
              </w:rPr>
              <w:t>788</w:t>
            </w:r>
          </w:p>
        </w:tc>
      </w:tr>
      <w:tr w:rsidR="00F21E70" w:rsidRPr="00861AAF" w14:paraId="16B62A4C" w14:textId="77777777" w:rsidTr="00454BAB">
        <w:trPr>
          <w:trHeight w:val="255"/>
        </w:trPr>
        <w:tc>
          <w:tcPr>
            <w:tcW w:w="2551" w:type="dxa"/>
            <w:tcBorders>
              <w:top w:val="nil"/>
              <w:left w:val="nil"/>
              <w:bottom w:val="single" w:sz="8" w:space="0" w:color="333333"/>
              <w:right w:val="nil"/>
            </w:tcBorders>
            <w:shd w:val="clear" w:color="auto" w:fill="auto"/>
            <w:vAlign w:val="center"/>
            <w:hideMark/>
          </w:tcPr>
          <w:p w14:paraId="56ED2EF1" w14:textId="77777777" w:rsidR="00F21E70" w:rsidRPr="00861AAF" w:rsidRDefault="00F21E70" w:rsidP="00454BAB">
            <w:pPr>
              <w:rPr>
                <w:rFonts w:ascii="Arial Narrow" w:hAnsi="Arial Narrow" w:cs="Arial"/>
                <w:color w:val="000000"/>
                <w:sz w:val="18"/>
                <w:szCs w:val="18"/>
              </w:rPr>
            </w:pPr>
            <w:r w:rsidRPr="00861AAF">
              <w:rPr>
                <w:rFonts w:ascii="Arial Narrow" w:hAnsi="Arial Narrow" w:cs="Arial"/>
                <w:color w:val="000000"/>
                <w:sz w:val="18"/>
                <w:szCs w:val="18"/>
              </w:rPr>
              <w:t>Imprese</w:t>
            </w:r>
          </w:p>
        </w:tc>
        <w:tc>
          <w:tcPr>
            <w:tcW w:w="2494" w:type="dxa"/>
            <w:tcBorders>
              <w:top w:val="nil"/>
              <w:left w:val="nil"/>
              <w:bottom w:val="single" w:sz="8" w:space="0" w:color="333333"/>
              <w:right w:val="nil"/>
            </w:tcBorders>
            <w:shd w:val="clear" w:color="auto" w:fill="D9D9D9"/>
            <w:vAlign w:val="center"/>
          </w:tcPr>
          <w:p w14:paraId="642EABD0" w14:textId="77777777" w:rsidR="00F21E70" w:rsidRPr="00861AAF" w:rsidRDefault="00F21E70" w:rsidP="00454BAB">
            <w:pPr>
              <w:jc w:val="right"/>
              <w:rPr>
                <w:rFonts w:ascii="Arial Narrow" w:hAnsi="Arial Narrow" w:cs="Arial"/>
                <w:color w:val="000000"/>
                <w:sz w:val="18"/>
                <w:szCs w:val="18"/>
              </w:rPr>
            </w:pPr>
            <w:r>
              <w:rPr>
                <w:rFonts w:ascii="Arial Narrow" w:hAnsi="Arial Narrow"/>
                <w:color w:val="000000"/>
                <w:sz w:val="18"/>
                <w:szCs w:val="18"/>
              </w:rPr>
              <w:t>3</w:t>
            </w:r>
            <w:r w:rsidRPr="00861AAF">
              <w:rPr>
                <w:rFonts w:ascii="Arial Narrow" w:hAnsi="Arial Narrow"/>
                <w:color w:val="000000"/>
                <w:sz w:val="18"/>
                <w:szCs w:val="18"/>
              </w:rPr>
              <w:t>.</w:t>
            </w:r>
            <w:r>
              <w:rPr>
                <w:rFonts w:ascii="Arial Narrow" w:hAnsi="Arial Narrow"/>
                <w:color w:val="000000"/>
                <w:sz w:val="18"/>
                <w:szCs w:val="18"/>
              </w:rPr>
              <w:t>563</w:t>
            </w:r>
          </w:p>
        </w:tc>
        <w:tc>
          <w:tcPr>
            <w:tcW w:w="2551" w:type="dxa"/>
            <w:tcBorders>
              <w:top w:val="nil"/>
              <w:left w:val="nil"/>
              <w:bottom w:val="single" w:sz="8" w:space="0" w:color="333333"/>
              <w:right w:val="nil"/>
            </w:tcBorders>
            <w:shd w:val="clear" w:color="auto" w:fill="auto"/>
            <w:vAlign w:val="center"/>
          </w:tcPr>
          <w:p w14:paraId="6D8249B7" w14:textId="77777777" w:rsidR="00F21E70" w:rsidRPr="00861AAF" w:rsidRDefault="00F21E70" w:rsidP="00454BAB">
            <w:pPr>
              <w:jc w:val="right"/>
              <w:rPr>
                <w:rFonts w:ascii="Arial Narrow" w:hAnsi="Arial Narrow" w:cs="Arial"/>
                <w:color w:val="000000"/>
                <w:sz w:val="18"/>
                <w:szCs w:val="18"/>
              </w:rPr>
            </w:pPr>
            <w:r>
              <w:rPr>
                <w:rFonts w:ascii="Arial Narrow" w:hAnsi="Arial Narrow"/>
                <w:color w:val="000000"/>
                <w:sz w:val="18"/>
                <w:szCs w:val="18"/>
              </w:rPr>
              <w:t>2</w:t>
            </w:r>
            <w:r w:rsidRPr="00861AAF">
              <w:rPr>
                <w:rFonts w:ascii="Arial Narrow" w:hAnsi="Arial Narrow"/>
                <w:color w:val="000000"/>
                <w:sz w:val="18"/>
                <w:szCs w:val="18"/>
              </w:rPr>
              <w:t>.</w:t>
            </w:r>
            <w:r>
              <w:rPr>
                <w:rFonts w:ascii="Arial Narrow" w:hAnsi="Arial Narrow"/>
                <w:color w:val="000000"/>
                <w:sz w:val="18"/>
                <w:szCs w:val="18"/>
              </w:rPr>
              <w:t>156</w:t>
            </w:r>
          </w:p>
        </w:tc>
        <w:tc>
          <w:tcPr>
            <w:tcW w:w="2551" w:type="dxa"/>
            <w:tcBorders>
              <w:top w:val="nil"/>
              <w:left w:val="nil"/>
              <w:bottom w:val="single" w:sz="8" w:space="0" w:color="333333"/>
              <w:right w:val="nil"/>
            </w:tcBorders>
            <w:shd w:val="clear" w:color="auto" w:fill="D9D9D9"/>
            <w:vAlign w:val="center"/>
          </w:tcPr>
          <w:p w14:paraId="3A52D4B0" w14:textId="77777777" w:rsidR="00F21E70" w:rsidRPr="00861AAF" w:rsidRDefault="00F21E70" w:rsidP="00454BAB">
            <w:pPr>
              <w:jc w:val="right"/>
              <w:rPr>
                <w:rFonts w:ascii="Arial Narrow" w:hAnsi="Arial Narrow" w:cs="Arial"/>
                <w:color w:val="000000"/>
                <w:sz w:val="18"/>
                <w:szCs w:val="18"/>
              </w:rPr>
            </w:pPr>
            <w:r>
              <w:rPr>
                <w:rFonts w:ascii="Arial Narrow" w:hAnsi="Arial Narrow"/>
                <w:color w:val="000000"/>
                <w:sz w:val="18"/>
                <w:szCs w:val="18"/>
              </w:rPr>
              <w:t>2</w:t>
            </w:r>
            <w:r w:rsidRPr="00861AAF">
              <w:rPr>
                <w:rFonts w:ascii="Arial Narrow" w:hAnsi="Arial Narrow"/>
                <w:color w:val="000000"/>
                <w:sz w:val="18"/>
                <w:szCs w:val="18"/>
              </w:rPr>
              <w:t>.</w:t>
            </w:r>
            <w:r>
              <w:rPr>
                <w:rFonts w:ascii="Arial Narrow" w:hAnsi="Arial Narrow"/>
                <w:color w:val="000000"/>
                <w:sz w:val="18"/>
                <w:szCs w:val="18"/>
              </w:rPr>
              <w:t>013</w:t>
            </w:r>
          </w:p>
        </w:tc>
      </w:tr>
      <w:tr w:rsidR="00F21E70" w:rsidRPr="00861AAF" w14:paraId="35D75690" w14:textId="77777777" w:rsidTr="00454BAB">
        <w:trPr>
          <w:trHeight w:val="255"/>
        </w:trPr>
        <w:tc>
          <w:tcPr>
            <w:tcW w:w="2551" w:type="dxa"/>
            <w:tcBorders>
              <w:top w:val="nil"/>
              <w:left w:val="nil"/>
              <w:bottom w:val="single" w:sz="8" w:space="0" w:color="333333"/>
              <w:right w:val="nil"/>
            </w:tcBorders>
            <w:shd w:val="clear" w:color="auto" w:fill="auto"/>
            <w:vAlign w:val="center"/>
            <w:hideMark/>
          </w:tcPr>
          <w:p w14:paraId="65816E96" w14:textId="77777777" w:rsidR="00F21E70" w:rsidRPr="00861AAF" w:rsidRDefault="00F21E70" w:rsidP="00454BAB">
            <w:pPr>
              <w:rPr>
                <w:rFonts w:ascii="Arial Narrow" w:hAnsi="Arial Narrow" w:cs="Arial"/>
                <w:color w:val="000000"/>
                <w:sz w:val="18"/>
                <w:szCs w:val="18"/>
              </w:rPr>
            </w:pPr>
            <w:r w:rsidRPr="00861AAF">
              <w:rPr>
                <w:rFonts w:ascii="Arial Narrow" w:hAnsi="Arial Narrow" w:cs="Arial"/>
                <w:color w:val="000000"/>
                <w:sz w:val="18"/>
                <w:szCs w:val="18"/>
              </w:rPr>
              <w:t>Prezzi</w:t>
            </w:r>
          </w:p>
        </w:tc>
        <w:tc>
          <w:tcPr>
            <w:tcW w:w="2494" w:type="dxa"/>
            <w:tcBorders>
              <w:top w:val="nil"/>
              <w:left w:val="nil"/>
              <w:bottom w:val="single" w:sz="8" w:space="0" w:color="333333"/>
              <w:right w:val="nil"/>
            </w:tcBorders>
            <w:shd w:val="clear" w:color="auto" w:fill="D9D9D9"/>
            <w:vAlign w:val="center"/>
          </w:tcPr>
          <w:p w14:paraId="317C6D8C" w14:textId="77777777" w:rsidR="00F21E70" w:rsidRPr="00861AAF" w:rsidRDefault="00F21E70" w:rsidP="00454BAB">
            <w:pPr>
              <w:jc w:val="right"/>
              <w:rPr>
                <w:rFonts w:ascii="Arial Narrow" w:hAnsi="Arial Narrow" w:cs="Arial"/>
                <w:color w:val="000000"/>
                <w:sz w:val="18"/>
                <w:szCs w:val="18"/>
              </w:rPr>
            </w:pPr>
            <w:r>
              <w:rPr>
                <w:rFonts w:ascii="Arial Narrow" w:hAnsi="Arial Narrow"/>
                <w:color w:val="000000"/>
                <w:sz w:val="18"/>
                <w:szCs w:val="18"/>
              </w:rPr>
              <w:t>9</w:t>
            </w:r>
            <w:r w:rsidRPr="00861AAF">
              <w:rPr>
                <w:rFonts w:ascii="Arial Narrow" w:hAnsi="Arial Narrow"/>
                <w:color w:val="000000"/>
                <w:sz w:val="18"/>
                <w:szCs w:val="18"/>
              </w:rPr>
              <w:t>.</w:t>
            </w:r>
            <w:r>
              <w:rPr>
                <w:rFonts w:ascii="Arial Narrow" w:hAnsi="Arial Narrow"/>
                <w:color w:val="000000"/>
                <w:sz w:val="18"/>
                <w:szCs w:val="18"/>
              </w:rPr>
              <w:t>884</w:t>
            </w:r>
          </w:p>
        </w:tc>
        <w:tc>
          <w:tcPr>
            <w:tcW w:w="2551" w:type="dxa"/>
            <w:tcBorders>
              <w:top w:val="nil"/>
              <w:left w:val="nil"/>
              <w:bottom w:val="single" w:sz="8" w:space="0" w:color="333333"/>
              <w:right w:val="nil"/>
            </w:tcBorders>
            <w:shd w:val="clear" w:color="auto" w:fill="auto"/>
            <w:vAlign w:val="center"/>
          </w:tcPr>
          <w:p w14:paraId="0D8373C5" w14:textId="77777777" w:rsidR="00F21E70" w:rsidRPr="00861AAF" w:rsidRDefault="00F21E70" w:rsidP="00454BAB">
            <w:pPr>
              <w:jc w:val="right"/>
              <w:rPr>
                <w:rFonts w:ascii="Arial Narrow" w:hAnsi="Arial Narrow" w:cs="Arial"/>
                <w:color w:val="000000"/>
                <w:sz w:val="18"/>
                <w:szCs w:val="18"/>
              </w:rPr>
            </w:pPr>
            <w:r>
              <w:rPr>
                <w:rFonts w:ascii="Arial Narrow" w:hAnsi="Arial Narrow"/>
                <w:color w:val="000000"/>
                <w:sz w:val="18"/>
                <w:szCs w:val="18"/>
              </w:rPr>
              <w:t>5</w:t>
            </w:r>
            <w:r w:rsidRPr="00861AAF">
              <w:rPr>
                <w:rFonts w:ascii="Arial Narrow" w:hAnsi="Arial Narrow"/>
                <w:color w:val="000000"/>
                <w:sz w:val="18"/>
                <w:szCs w:val="18"/>
              </w:rPr>
              <w:t>.</w:t>
            </w:r>
            <w:r>
              <w:rPr>
                <w:rFonts w:ascii="Arial Narrow" w:hAnsi="Arial Narrow"/>
                <w:color w:val="000000"/>
                <w:sz w:val="18"/>
                <w:szCs w:val="18"/>
              </w:rPr>
              <w:t>355</w:t>
            </w:r>
          </w:p>
        </w:tc>
        <w:tc>
          <w:tcPr>
            <w:tcW w:w="2551" w:type="dxa"/>
            <w:tcBorders>
              <w:top w:val="nil"/>
              <w:left w:val="nil"/>
              <w:bottom w:val="single" w:sz="8" w:space="0" w:color="333333"/>
              <w:right w:val="nil"/>
            </w:tcBorders>
            <w:shd w:val="clear" w:color="auto" w:fill="D9D9D9"/>
            <w:vAlign w:val="center"/>
          </w:tcPr>
          <w:p w14:paraId="06FD133A" w14:textId="77777777" w:rsidR="00F21E70" w:rsidRPr="00861AAF" w:rsidRDefault="00F21E70" w:rsidP="00454BAB">
            <w:pPr>
              <w:jc w:val="right"/>
              <w:rPr>
                <w:rFonts w:ascii="Arial Narrow" w:hAnsi="Arial Narrow" w:cs="Arial"/>
                <w:color w:val="000000"/>
                <w:sz w:val="18"/>
                <w:szCs w:val="18"/>
              </w:rPr>
            </w:pPr>
            <w:r w:rsidRPr="00861AAF">
              <w:rPr>
                <w:rFonts w:ascii="Arial Narrow" w:hAnsi="Arial Narrow"/>
                <w:color w:val="000000"/>
                <w:sz w:val="18"/>
                <w:szCs w:val="18"/>
              </w:rPr>
              <w:t>4.</w:t>
            </w:r>
            <w:r>
              <w:rPr>
                <w:rFonts w:ascii="Arial Narrow" w:hAnsi="Arial Narrow"/>
                <w:color w:val="000000"/>
                <w:sz w:val="18"/>
                <w:szCs w:val="18"/>
              </w:rPr>
              <w:t>529</w:t>
            </w:r>
          </w:p>
        </w:tc>
      </w:tr>
    </w:tbl>
    <w:p w14:paraId="21209886" w14:textId="77777777" w:rsidR="00F21E70" w:rsidRDefault="00F21E70" w:rsidP="00F21E70">
      <w:pPr>
        <w:spacing w:before="120" w:after="120"/>
        <w:jc w:val="both"/>
        <w:rPr>
          <w:rFonts w:ascii="Arial" w:hAnsi="Arial" w:cs="Arial"/>
          <w:b/>
          <w:sz w:val="22"/>
          <w:szCs w:val="22"/>
        </w:rPr>
      </w:pPr>
    </w:p>
    <w:p w14:paraId="7A8807B8" w14:textId="77777777" w:rsidR="00F21E70" w:rsidRPr="00C9631A" w:rsidRDefault="00F21E70" w:rsidP="00F21E70">
      <w:pPr>
        <w:spacing w:after="120"/>
        <w:jc w:val="both"/>
        <w:rPr>
          <w:rFonts w:ascii="Arial" w:hAnsi="Arial" w:cs="Arial"/>
          <w:b/>
          <w:bCs/>
          <w:sz w:val="20"/>
          <w:szCs w:val="20"/>
        </w:rPr>
      </w:pPr>
      <w:r w:rsidRPr="00C9631A">
        <w:rPr>
          <w:rFonts w:ascii="Arial" w:hAnsi="Arial" w:cs="Arial"/>
          <w:b/>
          <w:bCs/>
          <w:sz w:val="20"/>
          <w:szCs w:val="20"/>
        </w:rPr>
        <w:t>Raccolta e controllo di qualità dei dati</w:t>
      </w:r>
    </w:p>
    <w:p w14:paraId="4F9D2324" w14:textId="77777777" w:rsidR="00F21E70" w:rsidRDefault="00F21E70" w:rsidP="00F21E70">
      <w:pPr>
        <w:spacing w:after="120"/>
        <w:jc w:val="both"/>
        <w:rPr>
          <w:rFonts w:ascii="Arial" w:hAnsi="Arial" w:cs="Arial"/>
          <w:bCs/>
          <w:sz w:val="20"/>
          <w:szCs w:val="20"/>
        </w:rPr>
      </w:pPr>
      <w:r w:rsidRPr="00C9631A">
        <w:rPr>
          <w:rFonts w:ascii="Arial" w:hAnsi="Arial" w:cs="Arial"/>
          <w:bCs/>
          <w:sz w:val="20"/>
          <w:szCs w:val="20"/>
        </w:rPr>
        <w:t xml:space="preserve">La raccolta delle informazioni statistiche avviene mediante auto-compilazione del questionario elettronico disponibile all’interno del Portale statistico delle imprese, il sistema introdotto dall'Istat per la semplificazione degli adempimenti statistici delle imprese coinvolte nelle rilevazioni economiche. </w:t>
      </w:r>
    </w:p>
    <w:p w14:paraId="5A59FB50" w14:textId="77777777" w:rsidR="00F21E70" w:rsidRDefault="00F21E70" w:rsidP="00F21E70">
      <w:pPr>
        <w:pStyle w:val="Testocorrente"/>
        <w:keepNext w:val="0"/>
        <w:tabs>
          <w:tab w:val="left" w:pos="0"/>
        </w:tabs>
        <w:spacing w:after="120"/>
        <w:rPr>
          <w:rFonts w:ascii="Arial" w:hAnsi="Arial" w:cs="Arial"/>
          <w:b w:val="0"/>
          <w:i w:val="0"/>
          <w:sz w:val="20"/>
          <w:lang w:val="it-IT"/>
        </w:rPr>
      </w:pPr>
      <w:r w:rsidRPr="00DB2D37">
        <w:rPr>
          <w:rFonts w:ascii="Arial" w:hAnsi="Arial" w:cs="Arial"/>
          <w:b w:val="0"/>
          <w:i w:val="0"/>
          <w:sz w:val="20"/>
          <w:lang w:val="it-IT"/>
        </w:rPr>
        <w:t>Dall’edizione 2022, l’indagine si avvale della nuova piattaforma informatica integrata (nuovo questionario, nuovo software gestionale e nuovo data base), denominata SINTESI, già in uso per la rilevazione dei prezzi alla produzione dei servizi.</w:t>
      </w:r>
    </w:p>
    <w:p w14:paraId="490B00BB" w14:textId="77777777" w:rsidR="00F21E70" w:rsidRDefault="00F21E70" w:rsidP="00F21E70">
      <w:pPr>
        <w:spacing w:after="120"/>
        <w:jc w:val="both"/>
        <w:rPr>
          <w:rFonts w:ascii="Arial" w:hAnsi="Arial" w:cs="Arial"/>
          <w:bCs/>
          <w:sz w:val="20"/>
          <w:szCs w:val="20"/>
        </w:rPr>
      </w:pPr>
      <w:r w:rsidRPr="00C9631A">
        <w:rPr>
          <w:rFonts w:ascii="Arial" w:hAnsi="Arial" w:cs="Arial"/>
          <w:bCs/>
          <w:sz w:val="20"/>
          <w:szCs w:val="20"/>
        </w:rPr>
        <w:t xml:space="preserve">La modalità di compilazione per via telematica favorisce la tempestività della rilevazione dei dati e la qualità delle informazioni raccolte, poiché prevede un programma di </w:t>
      </w:r>
      <w:r w:rsidRPr="00C9631A">
        <w:rPr>
          <w:rFonts w:ascii="Arial" w:hAnsi="Arial" w:cs="Arial"/>
          <w:bCs/>
          <w:i/>
          <w:sz w:val="20"/>
          <w:szCs w:val="20"/>
        </w:rPr>
        <w:t>check</w:t>
      </w:r>
      <w:r w:rsidRPr="00C9631A">
        <w:rPr>
          <w:rFonts w:ascii="Arial" w:hAnsi="Arial" w:cs="Arial"/>
          <w:bCs/>
          <w:sz w:val="20"/>
          <w:szCs w:val="20"/>
        </w:rPr>
        <w:t xml:space="preserve"> automatico che segnala direttamente al rispondente eventuali risposte incompatibili, errori di coerenza, incongruenze e omissioni, che possono essere risolti nel corso della stessa compilazione.</w:t>
      </w:r>
    </w:p>
    <w:p w14:paraId="4627E983" w14:textId="77777777" w:rsidR="00F21E70" w:rsidRPr="00C9631A" w:rsidRDefault="00F21E70" w:rsidP="00F21E70">
      <w:pPr>
        <w:spacing w:after="120"/>
        <w:jc w:val="both"/>
        <w:rPr>
          <w:rFonts w:ascii="Arial" w:hAnsi="Arial" w:cs="Arial"/>
          <w:bCs/>
          <w:sz w:val="20"/>
          <w:szCs w:val="20"/>
        </w:rPr>
      </w:pPr>
      <w:r w:rsidRPr="00C9631A">
        <w:rPr>
          <w:rFonts w:ascii="Arial" w:hAnsi="Arial" w:cs="Arial"/>
          <w:bCs/>
          <w:sz w:val="20"/>
          <w:szCs w:val="20"/>
        </w:rPr>
        <w:t xml:space="preserve">I dati possono essere inviati dal </w:t>
      </w:r>
      <w:r>
        <w:rPr>
          <w:rFonts w:ascii="Arial" w:hAnsi="Arial" w:cs="Arial"/>
          <w:bCs/>
          <w:sz w:val="20"/>
          <w:szCs w:val="20"/>
        </w:rPr>
        <w:t>primo</w:t>
      </w:r>
      <w:r w:rsidRPr="00C9631A">
        <w:rPr>
          <w:rFonts w:ascii="Arial" w:hAnsi="Arial" w:cs="Arial"/>
          <w:bCs/>
          <w:sz w:val="20"/>
          <w:szCs w:val="20"/>
        </w:rPr>
        <w:t xml:space="preserve"> giorno dopo la fine del mese di riferimento</w:t>
      </w:r>
      <w:r>
        <w:rPr>
          <w:rFonts w:ascii="Arial" w:hAnsi="Arial" w:cs="Arial"/>
          <w:bCs/>
          <w:sz w:val="20"/>
          <w:szCs w:val="20"/>
        </w:rPr>
        <w:t xml:space="preserve"> e</w:t>
      </w:r>
      <w:r w:rsidRPr="00C9631A">
        <w:rPr>
          <w:rFonts w:ascii="Arial" w:hAnsi="Arial" w:cs="Arial"/>
          <w:bCs/>
          <w:sz w:val="20"/>
          <w:szCs w:val="20"/>
        </w:rPr>
        <w:t xml:space="preserve"> la trasmissione </w:t>
      </w:r>
      <w:r>
        <w:rPr>
          <w:rFonts w:ascii="Arial" w:hAnsi="Arial" w:cs="Arial"/>
          <w:bCs/>
          <w:sz w:val="20"/>
          <w:szCs w:val="20"/>
        </w:rPr>
        <w:t>deve essere effettu</w:t>
      </w:r>
      <w:r w:rsidR="00B1143F">
        <w:rPr>
          <w:rFonts w:ascii="Arial" w:hAnsi="Arial" w:cs="Arial"/>
          <w:bCs/>
          <w:sz w:val="20"/>
          <w:szCs w:val="20"/>
        </w:rPr>
        <w:t>a</w:t>
      </w:r>
      <w:r>
        <w:rPr>
          <w:rFonts w:ascii="Arial" w:hAnsi="Arial" w:cs="Arial"/>
          <w:bCs/>
          <w:sz w:val="20"/>
          <w:szCs w:val="20"/>
        </w:rPr>
        <w:t>ta</w:t>
      </w:r>
      <w:r w:rsidRPr="00EE3D7B">
        <w:rPr>
          <w:rFonts w:ascii="Arial" w:hAnsi="Arial" w:cs="Arial"/>
          <w:bCs/>
          <w:sz w:val="20"/>
          <w:szCs w:val="20"/>
        </w:rPr>
        <w:t xml:space="preserve"> entro le date di</w:t>
      </w:r>
      <w:r>
        <w:rPr>
          <w:rFonts w:ascii="Arial" w:hAnsi="Arial" w:cs="Arial"/>
          <w:bCs/>
          <w:sz w:val="20"/>
          <w:szCs w:val="20"/>
        </w:rPr>
        <w:t xml:space="preserve"> indicate nella lettera informativa</w:t>
      </w:r>
      <w:r w:rsidRPr="00EE3D7B">
        <w:rPr>
          <w:rFonts w:ascii="Arial" w:hAnsi="Arial" w:cs="Arial"/>
          <w:bCs/>
          <w:sz w:val="20"/>
          <w:szCs w:val="20"/>
        </w:rPr>
        <w:t xml:space="preserve"> </w:t>
      </w:r>
      <w:r w:rsidRPr="00C9631A">
        <w:rPr>
          <w:rFonts w:ascii="Arial" w:hAnsi="Arial" w:cs="Arial"/>
          <w:bCs/>
          <w:sz w:val="20"/>
          <w:szCs w:val="20"/>
        </w:rPr>
        <w:t>al fine di poter rispettare le scadenze dei regolamenti europei</w:t>
      </w:r>
      <w:r>
        <w:rPr>
          <w:rFonts w:ascii="Arial" w:hAnsi="Arial" w:cs="Arial"/>
          <w:bCs/>
          <w:sz w:val="20"/>
          <w:szCs w:val="20"/>
        </w:rPr>
        <w:t>.</w:t>
      </w:r>
      <w:r w:rsidRPr="00C9631A">
        <w:rPr>
          <w:rFonts w:ascii="Arial" w:hAnsi="Arial" w:cs="Arial"/>
          <w:bCs/>
          <w:sz w:val="20"/>
          <w:szCs w:val="20"/>
        </w:rPr>
        <w:t xml:space="preserve"> </w:t>
      </w:r>
      <w:r>
        <w:rPr>
          <w:rFonts w:ascii="Arial" w:hAnsi="Arial" w:cs="Arial"/>
          <w:bCs/>
          <w:sz w:val="20"/>
          <w:szCs w:val="20"/>
        </w:rPr>
        <w:t>S</w:t>
      </w:r>
      <w:r w:rsidRPr="00C9631A">
        <w:rPr>
          <w:rFonts w:ascii="Arial" w:hAnsi="Arial" w:cs="Arial"/>
          <w:bCs/>
          <w:sz w:val="20"/>
          <w:szCs w:val="20"/>
        </w:rPr>
        <w:t>uccessivamente sono previste operazioni di sollecito e contatto delle unità non rispondenti al fine di aumentare la copertura delle stime provvisorie e definitive.</w:t>
      </w:r>
    </w:p>
    <w:p w14:paraId="04362FCB" w14:textId="77777777" w:rsidR="00F21E70" w:rsidRPr="00C9631A" w:rsidRDefault="00F21E70" w:rsidP="00F21E70">
      <w:pPr>
        <w:spacing w:after="120"/>
        <w:jc w:val="both"/>
        <w:rPr>
          <w:rFonts w:ascii="Arial" w:hAnsi="Arial" w:cs="Arial"/>
          <w:bCs/>
          <w:sz w:val="20"/>
          <w:szCs w:val="20"/>
        </w:rPr>
      </w:pPr>
      <w:r w:rsidRPr="00C9631A">
        <w:rPr>
          <w:rFonts w:ascii="Arial" w:hAnsi="Arial" w:cs="Arial"/>
          <w:bCs/>
          <w:sz w:val="20"/>
          <w:szCs w:val="20"/>
        </w:rPr>
        <w:t xml:space="preserve">Il questionario è di tipo chiuso, riporta prestampato l’elenco dei prodotti sottoposti a osservazione; l’impresa, coerentemente con la denominazione del prodotto assegnato, individua le </w:t>
      </w:r>
      <w:r w:rsidRPr="00C9631A">
        <w:rPr>
          <w:rFonts w:ascii="Arial" w:hAnsi="Arial" w:cs="Arial"/>
          <w:bCs/>
          <w:i/>
          <w:sz w:val="20"/>
          <w:szCs w:val="20"/>
        </w:rPr>
        <w:t>tipologie di prodotto</w:t>
      </w:r>
      <w:r w:rsidRPr="00C9631A">
        <w:rPr>
          <w:rFonts w:ascii="Arial" w:hAnsi="Arial" w:cs="Arial"/>
          <w:bCs/>
          <w:sz w:val="20"/>
          <w:szCs w:val="20"/>
        </w:rPr>
        <w:t xml:space="preserve"> maggiormente rappresentative delle importazioni dell’impresa per le quali sia possibile determinare regolarmente un prezzo di </w:t>
      </w:r>
      <w:r>
        <w:rPr>
          <w:rFonts w:ascii="Arial" w:hAnsi="Arial" w:cs="Arial"/>
          <w:bCs/>
          <w:sz w:val="20"/>
          <w:szCs w:val="20"/>
        </w:rPr>
        <w:t>a</w:t>
      </w:r>
      <w:r w:rsidRPr="00C9631A">
        <w:rPr>
          <w:rFonts w:ascii="Arial" w:hAnsi="Arial" w:cs="Arial"/>
          <w:bCs/>
          <w:sz w:val="20"/>
          <w:szCs w:val="20"/>
        </w:rPr>
        <w:t xml:space="preserve">cquisto nel tempo. </w:t>
      </w:r>
    </w:p>
    <w:p w14:paraId="2DD4331F" w14:textId="77777777" w:rsidR="00F21E70" w:rsidRPr="00F21E70" w:rsidRDefault="00F21E70" w:rsidP="00F21E70">
      <w:pPr>
        <w:spacing w:after="120"/>
        <w:jc w:val="both"/>
        <w:rPr>
          <w:rFonts w:ascii="Arial" w:hAnsi="Arial" w:cs="Arial"/>
          <w:sz w:val="20"/>
          <w:szCs w:val="20"/>
        </w:rPr>
      </w:pPr>
      <w:r w:rsidRPr="00C9631A">
        <w:rPr>
          <w:rFonts w:ascii="Arial" w:hAnsi="Arial" w:cs="Arial"/>
          <w:bCs/>
          <w:sz w:val="20"/>
          <w:szCs w:val="20"/>
        </w:rPr>
        <w:t xml:space="preserve">La variabile rilevata è il prezzo all’importazione ovvero un prezzo di acquisto di un prodotto ceduto da un operatore non residente da parte di un’impresa residente in Italia. </w:t>
      </w:r>
      <w:r w:rsidRPr="00C9631A">
        <w:rPr>
          <w:rFonts w:ascii="Arial" w:hAnsi="Arial" w:cs="Arial"/>
          <w:sz w:val="20"/>
          <w:szCs w:val="20"/>
        </w:rPr>
        <w:t>Si tratta di un prezzo di mercato o di transazione reale, cioè un prezzo che si riferisce a un acquisto effettivamente realizzato. I prezzi sono rile</w:t>
      </w:r>
      <w:r>
        <w:rPr>
          <w:rFonts w:ascii="Arial" w:hAnsi="Arial" w:cs="Arial"/>
          <w:sz w:val="20"/>
          <w:szCs w:val="20"/>
        </w:rPr>
        <w:t xml:space="preserve">vati in euro secondo la clausola </w:t>
      </w:r>
      <w:r w:rsidRPr="00C9631A">
        <w:rPr>
          <w:rFonts w:ascii="Arial" w:hAnsi="Arial" w:cs="Arial"/>
          <w:iCs/>
          <w:sz w:val="20"/>
          <w:szCs w:val="20"/>
        </w:rPr>
        <w:t xml:space="preserve">Cif </w:t>
      </w:r>
      <w:r w:rsidRPr="00C9631A">
        <w:rPr>
          <w:rFonts w:ascii="Arial" w:hAnsi="Arial" w:cs="Arial"/>
          <w:sz w:val="20"/>
          <w:szCs w:val="20"/>
        </w:rPr>
        <w:t xml:space="preserve">(costo, assicurazione e nolo) alla frontiera nazionale; sono al netto dell'Iva e di ogni altro onere a carico dell'acquirente. </w:t>
      </w:r>
    </w:p>
    <w:p w14:paraId="40BA04D4" w14:textId="77777777" w:rsidR="00F21E70" w:rsidRPr="00C9631A" w:rsidRDefault="00F21E70" w:rsidP="00F21E70">
      <w:pPr>
        <w:spacing w:after="120"/>
        <w:jc w:val="both"/>
        <w:rPr>
          <w:rFonts w:ascii="Arial" w:hAnsi="Arial" w:cs="Arial"/>
          <w:sz w:val="20"/>
          <w:szCs w:val="20"/>
        </w:rPr>
      </w:pPr>
      <w:r w:rsidRPr="00C9631A">
        <w:rPr>
          <w:rFonts w:ascii="Arial" w:hAnsi="Arial" w:cs="Arial"/>
          <w:sz w:val="20"/>
          <w:szCs w:val="20"/>
        </w:rPr>
        <w:t xml:space="preserve">L’importazione è il </w:t>
      </w:r>
      <w:r w:rsidRPr="00C9631A">
        <w:rPr>
          <w:rFonts w:ascii="Arial" w:hAnsi="Arial" w:cs="Arial"/>
          <w:iCs/>
          <w:sz w:val="20"/>
          <w:szCs w:val="20"/>
        </w:rPr>
        <w:t>valore della merce acquistata all’estero dalle imprese industriali e commerciali, valutato Cif e riferito ai soli regimi definitivi (cioè al netto delle importazioni temporanee e delle reimportazioni), distinto per area di importazione euro/non euro.</w:t>
      </w:r>
    </w:p>
    <w:p w14:paraId="3B580751" w14:textId="77777777" w:rsidR="00F21E70" w:rsidRPr="00C9631A" w:rsidRDefault="00F21E70" w:rsidP="00F21E70">
      <w:pPr>
        <w:spacing w:after="120"/>
        <w:jc w:val="both"/>
        <w:rPr>
          <w:rFonts w:ascii="Arial" w:hAnsi="Arial" w:cs="Arial"/>
          <w:bCs/>
          <w:sz w:val="20"/>
          <w:szCs w:val="20"/>
        </w:rPr>
      </w:pPr>
      <w:r w:rsidRPr="00C9631A">
        <w:rPr>
          <w:rFonts w:ascii="Arial" w:hAnsi="Arial" w:cs="Arial"/>
          <w:bCs/>
          <w:sz w:val="20"/>
          <w:szCs w:val="20"/>
        </w:rPr>
        <w:t>I dati raccolti sono sottoposti a un processo di controllo e correzione con integrazione delle mancate risposte. In particolare, si verifica la compatibilità dei valori con l’informazione richiesta (prezzo all’importazione), la coerenza intertemporale dei dati, la presenza di valori anomali; la validazione dei dati può richiedere il ritorno sul rispondente al fine di sanare i problemi rilevati. I dati mancanti sono stimati utilizzando l’ultima informazione disponibile validata.</w:t>
      </w:r>
    </w:p>
    <w:p w14:paraId="3B1D8126" w14:textId="77777777" w:rsidR="00F21E70" w:rsidRDefault="00F21E70" w:rsidP="00F21E70">
      <w:pPr>
        <w:spacing w:after="120"/>
        <w:jc w:val="both"/>
        <w:rPr>
          <w:rFonts w:ascii="Arial" w:hAnsi="Arial" w:cs="Arial"/>
          <w:bCs/>
          <w:sz w:val="20"/>
          <w:szCs w:val="20"/>
        </w:rPr>
      </w:pPr>
      <w:r w:rsidRPr="00C9631A">
        <w:rPr>
          <w:rFonts w:ascii="Arial" w:hAnsi="Arial" w:cs="Arial"/>
          <w:bCs/>
          <w:sz w:val="20"/>
          <w:szCs w:val="20"/>
        </w:rPr>
        <w:t>I dati raccolti mensilmente sono elaborati sotto forma di numeri indici di prezzo e sono diffusi in forma aggregata.</w:t>
      </w:r>
    </w:p>
    <w:p w14:paraId="203972A7" w14:textId="77777777" w:rsidR="00AA206D" w:rsidRDefault="00AA206D" w:rsidP="00F21E70">
      <w:pPr>
        <w:spacing w:after="120"/>
        <w:jc w:val="both"/>
        <w:rPr>
          <w:rFonts w:ascii="Arial" w:hAnsi="Arial" w:cs="Arial"/>
          <w:bCs/>
          <w:sz w:val="20"/>
          <w:szCs w:val="20"/>
        </w:rPr>
      </w:pPr>
      <w:r w:rsidRPr="00AA206D">
        <w:rPr>
          <w:rFonts w:ascii="Arial" w:hAnsi="Arial" w:cs="Arial"/>
          <w:sz w:val="20"/>
          <w:szCs w:val="20"/>
        </w:rPr>
        <w:t>A partire dal mese di gennaio 2022 è stata implementata una nuova metodologia di calcolo degli indici dei prezzi all’importazione per alcuni prodotti energetici che si basa sulle informazioni mensili desunte dai dati di commercio con l’estero.</w:t>
      </w:r>
    </w:p>
    <w:p w14:paraId="56F041D0" w14:textId="77777777" w:rsidR="00F21E70" w:rsidRDefault="00F21E70" w:rsidP="00F21E70">
      <w:pPr>
        <w:spacing w:after="120"/>
        <w:jc w:val="both"/>
        <w:rPr>
          <w:rFonts w:ascii="Arial" w:hAnsi="Arial" w:cs="Arial"/>
          <w:b/>
          <w:sz w:val="20"/>
          <w:szCs w:val="20"/>
        </w:rPr>
      </w:pPr>
    </w:p>
    <w:p w14:paraId="5A19BDE6" w14:textId="77777777" w:rsidR="00F21E70" w:rsidRDefault="00F21E70" w:rsidP="00F21E70">
      <w:pPr>
        <w:spacing w:after="120"/>
        <w:jc w:val="both"/>
        <w:rPr>
          <w:rFonts w:ascii="Arial" w:hAnsi="Arial" w:cs="Arial"/>
          <w:b/>
          <w:sz w:val="20"/>
          <w:szCs w:val="20"/>
        </w:rPr>
      </w:pPr>
      <w:r>
        <w:rPr>
          <w:rFonts w:ascii="Arial" w:hAnsi="Arial" w:cs="Arial"/>
          <w:b/>
          <w:sz w:val="20"/>
          <w:szCs w:val="20"/>
        </w:rPr>
        <w:t xml:space="preserve">Metodologia di calcolo del sistema </w:t>
      </w:r>
      <w:r w:rsidRPr="00C9631A">
        <w:rPr>
          <w:rFonts w:ascii="Arial" w:hAnsi="Arial" w:cs="Arial"/>
          <w:b/>
          <w:sz w:val="20"/>
          <w:szCs w:val="20"/>
        </w:rPr>
        <w:t>degli indici</w:t>
      </w:r>
    </w:p>
    <w:p w14:paraId="28970BA1" w14:textId="77777777" w:rsidR="00F21E70" w:rsidRDefault="00F21E70" w:rsidP="00F21E70">
      <w:pPr>
        <w:spacing w:after="120"/>
        <w:jc w:val="both"/>
        <w:rPr>
          <w:rFonts w:ascii="Arial" w:hAnsi="Arial" w:cs="Arial"/>
          <w:sz w:val="20"/>
          <w:szCs w:val="20"/>
        </w:rPr>
      </w:pPr>
      <w:r w:rsidRPr="0095685A">
        <w:rPr>
          <w:rFonts w:ascii="Arial" w:hAnsi="Arial" w:cs="Arial"/>
          <w:sz w:val="20"/>
          <w:szCs w:val="20"/>
        </w:rPr>
        <w:t xml:space="preserve">Da marzo 2022, con la diffusione dei dati riferiti a gennaio 2022, gli indici dei prezzi all’importazione sono calcolati con il metodo del concatenamento annuale su base mensile. </w:t>
      </w:r>
      <w:r>
        <w:rPr>
          <w:rFonts w:ascii="Arial" w:hAnsi="Arial" w:cs="Arial"/>
          <w:sz w:val="20"/>
          <w:szCs w:val="20"/>
        </w:rPr>
        <w:t>Pertanto, p</w:t>
      </w:r>
      <w:r w:rsidRPr="0095685A">
        <w:rPr>
          <w:rFonts w:ascii="Arial" w:hAnsi="Arial" w:cs="Arial"/>
          <w:sz w:val="20"/>
          <w:szCs w:val="20"/>
        </w:rPr>
        <w:t>er l’anno 2023</w:t>
      </w:r>
      <w:r>
        <w:rPr>
          <w:rFonts w:ascii="Arial" w:hAnsi="Arial" w:cs="Arial"/>
          <w:sz w:val="20"/>
          <w:szCs w:val="20"/>
        </w:rPr>
        <w:t>, essi</w:t>
      </w:r>
      <w:r w:rsidRPr="0095685A">
        <w:rPr>
          <w:rFonts w:ascii="Arial" w:hAnsi="Arial" w:cs="Arial"/>
          <w:sz w:val="20"/>
          <w:szCs w:val="20"/>
        </w:rPr>
        <w:t xml:space="preserve"> sono elaborati in base di calcolo dicembre 2022</w:t>
      </w:r>
      <w:r>
        <w:rPr>
          <w:rFonts w:ascii="Arial" w:hAnsi="Arial" w:cs="Arial"/>
          <w:sz w:val="20"/>
          <w:szCs w:val="20"/>
        </w:rPr>
        <w:t xml:space="preserve"> e diffusi in </w:t>
      </w:r>
      <w:r w:rsidRPr="0095685A">
        <w:rPr>
          <w:rFonts w:ascii="Arial" w:hAnsi="Arial" w:cs="Arial"/>
          <w:sz w:val="20"/>
          <w:szCs w:val="20"/>
        </w:rPr>
        <w:t>base di riferimento 2015.</w:t>
      </w:r>
    </w:p>
    <w:p w14:paraId="2DA96D32" w14:textId="77777777" w:rsidR="001C0874" w:rsidRDefault="001C0874" w:rsidP="00F21E70">
      <w:pPr>
        <w:spacing w:after="120"/>
        <w:jc w:val="both"/>
        <w:rPr>
          <w:rFonts w:ascii="Arial" w:hAnsi="Arial" w:cs="Arial"/>
          <w:sz w:val="20"/>
          <w:szCs w:val="20"/>
        </w:rPr>
      </w:pPr>
    </w:p>
    <w:p w14:paraId="45A5E89E" w14:textId="799D96A7" w:rsidR="00F21E70" w:rsidRPr="00994100" w:rsidRDefault="00F21E70" w:rsidP="00F21E70">
      <w:pPr>
        <w:spacing w:after="120"/>
        <w:jc w:val="both"/>
        <w:rPr>
          <w:rFonts w:ascii="Arial" w:hAnsi="Arial" w:cs="Arial"/>
          <w:sz w:val="20"/>
          <w:szCs w:val="20"/>
        </w:rPr>
      </w:pPr>
      <w:r>
        <w:rPr>
          <w:rFonts w:ascii="Arial" w:hAnsi="Arial" w:cs="Arial"/>
          <w:sz w:val="20"/>
          <w:szCs w:val="20"/>
        </w:rPr>
        <w:t>Il sistema degli indici dei prezzi all’importazione è costituito da due variabili rilevate – riferite all’Area euro e all’Area non euro – e da una variabile di sintesi – totale (Area euro più Area non euro).</w:t>
      </w:r>
    </w:p>
    <w:p w14:paraId="08D9DA08" w14:textId="77777777" w:rsidR="00F21E70" w:rsidRPr="00942E72" w:rsidRDefault="00F21E70" w:rsidP="00F21E70">
      <w:pPr>
        <w:spacing w:after="120"/>
        <w:jc w:val="both"/>
        <w:rPr>
          <w:rFonts w:ascii="Arial" w:hAnsi="Arial" w:cs="Arial"/>
          <w:sz w:val="20"/>
          <w:szCs w:val="20"/>
        </w:rPr>
      </w:pPr>
      <w:r w:rsidRPr="00994100">
        <w:rPr>
          <w:rFonts w:ascii="Arial" w:hAnsi="Arial" w:cs="Arial"/>
          <w:sz w:val="20"/>
          <w:szCs w:val="20"/>
        </w:rPr>
        <w:t xml:space="preserve">Le variabili rilevate si calcolano prima longitudinalmente (o per colonna: indici in base di calcolo) quindi per riga (indici in base di riferimento). La procedura di calcolo è articolata in tre livelli: nel primo si definiscono i prezzi relativi (rapporti tra i prezzi correnti e quelli </w:t>
      </w:r>
      <w:r w:rsidRPr="00F04670">
        <w:rPr>
          <w:rFonts w:ascii="Arial" w:hAnsi="Arial" w:cs="Arial"/>
          <w:sz w:val="20"/>
          <w:szCs w:val="20"/>
        </w:rPr>
        <w:t>base dicembre 2022). Nel</w:t>
      </w:r>
      <w:r w:rsidRPr="00994100">
        <w:rPr>
          <w:rFonts w:ascii="Arial" w:hAnsi="Arial" w:cs="Arial"/>
          <w:sz w:val="20"/>
          <w:szCs w:val="20"/>
        </w:rPr>
        <w:t xml:space="preserve"> secondo, si aggregano in media geometrica semplice i prezzi relativi associati ai prodotti. Nel terzo si aggregano in media aritmetica ponderata gli indici dei sotto-aggregati, dai </w:t>
      </w:r>
      <w:r w:rsidRPr="00942E72">
        <w:rPr>
          <w:rFonts w:ascii="Arial" w:hAnsi="Arial" w:cs="Arial"/>
          <w:sz w:val="20"/>
          <w:szCs w:val="20"/>
        </w:rPr>
        <w:t xml:space="preserve">prodotti all’indice generale (formula tipo Laspeyres concatenato). </w:t>
      </w:r>
    </w:p>
    <w:p w14:paraId="288E1636" w14:textId="77777777" w:rsidR="00F21E70" w:rsidRPr="00994100" w:rsidRDefault="00F21E70" w:rsidP="00F21E70">
      <w:pPr>
        <w:spacing w:after="120"/>
        <w:jc w:val="both"/>
        <w:rPr>
          <w:rFonts w:ascii="Arial" w:hAnsi="Arial" w:cs="Arial"/>
          <w:sz w:val="20"/>
          <w:szCs w:val="20"/>
        </w:rPr>
      </w:pPr>
      <w:r w:rsidRPr="00942E72">
        <w:rPr>
          <w:rFonts w:ascii="Arial" w:hAnsi="Arial" w:cs="Arial"/>
          <w:sz w:val="20"/>
          <w:szCs w:val="20"/>
        </w:rPr>
        <w:t>Gli indici in base di riferimento dell</w:t>
      </w:r>
      <w:r>
        <w:rPr>
          <w:rFonts w:ascii="Arial" w:hAnsi="Arial" w:cs="Arial"/>
          <w:sz w:val="20"/>
          <w:szCs w:val="20"/>
        </w:rPr>
        <w:t>a variabile di sintesi</w:t>
      </w:r>
      <w:r w:rsidRPr="00942E72">
        <w:rPr>
          <w:rFonts w:ascii="Arial" w:hAnsi="Arial" w:cs="Arial"/>
          <w:sz w:val="20"/>
          <w:szCs w:val="20"/>
        </w:rPr>
        <w:t xml:space="preserve"> si definiscono a partire dalla media aritmetica ponderata degli indici in base di calcolo delle variabili rilevate, utilizzando – per ciascun aggregato – un coefficiente di ponderazione derivato dai pesi assoluti. Ottenuto l’indice in base di calcolo, quello in base di riferimento si deriva con la formula di concatenamento. Gli indici sono concatenati a partire dagli aggregati a 4 cifre Ateco 2007.</w:t>
      </w:r>
    </w:p>
    <w:p w14:paraId="6DF6DD05" w14:textId="77777777" w:rsidR="00F21E70" w:rsidRDefault="00F21E70" w:rsidP="00F21E70">
      <w:pPr>
        <w:spacing w:after="120"/>
        <w:jc w:val="both"/>
        <w:rPr>
          <w:rFonts w:ascii="Arial" w:hAnsi="Arial" w:cs="Arial"/>
          <w:color w:val="000000"/>
          <w:sz w:val="20"/>
          <w:szCs w:val="20"/>
        </w:rPr>
      </w:pPr>
    </w:p>
    <w:p w14:paraId="328A0CFE" w14:textId="77777777" w:rsidR="00F21E70" w:rsidRPr="00C9631A" w:rsidRDefault="00F21E70" w:rsidP="00F21E70">
      <w:pPr>
        <w:spacing w:after="120"/>
        <w:jc w:val="both"/>
        <w:rPr>
          <w:rFonts w:ascii="Arial" w:hAnsi="Arial" w:cs="Arial"/>
          <w:b/>
          <w:sz w:val="20"/>
          <w:szCs w:val="20"/>
        </w:rPr>
      </w:pPr>
      <w:r w:rsidRPr="00C9631A">
        <w:rPr>
          <w:rFonts w:ascii="Arial" w:hAnsi="Arial" w:cs="Arial"/>
          <w:b/>
          <w:sz w:val="20"/>
          <w:szCs w:val="20"/>
        </w:rPr>
        <w:t>Struttura di ponderazione</w:t>
      </w:r>
    </w:p>
    <w:p w14:paraId="75212FA2" w14:textId="77777777" w:rsidR="00F21E70" w:rsidRPr="00C9631A" w:rsidRDefault="00F21E70" w:rsidP="00F21E70">
      <w:pPr>
        <w:spacing w:after="120"/>
        <w:jc w:val="both"/>
        <w:rPr>
          <w:rFonts w:ascii="Arial" w:hAnsi="Arial" w:cs="Arial"/>
          <w:sz w:val="20"/>
          <w:szCs w:val="20"/>
        </w:rPr>
      </w:pPr>
      <w:r w:rsidRPr="00C9631A">
        <w:rPr>
          <w:rFonts w:ascii="Arial" w:hAnsi="Arial" w:cs="Arial"/>
          <w:sz w:val="20"/>
          <w:szCs w:val="20"/>
        </w:rPr>
        <w:t>I sistemi di ponderazione degli indici dei prezzi dei prodotti industriali importati dalle imprese (Area euro e Area non euro) sono determinati utilizzando le informazioni desumibili dalle statistiche del commercio con l’estero.</w:t>
      </w:r>
    </w:p>
    <w:p w14:paraId="152D3F02" w14:textId="77777777" w:rsidR="00F21E70" w:rsidRPr="00C9631A" w:rsidRDefault="00F21E70" w:rsidP="00F21E70">
      <w:pPr>
        <w:spacing w:after="120"/>
        <w:jc w:val="both"/>
        <w:rPr>
          <w:rFonts w:ascii="Arial" w:hAnsi="Arial" w:cs="Arial"/>
          <w:sz w:val="20"/>
          <w:szCs w:val="20"/>
        </w:rPr>
      </w:pPr>
      <w:r w:rsidRPr="00C9631A">
        <w:rPr>
          <w:rFonts w:ascii="Arial" w:hAnsi="Arial" w:cs="Arial"/>
          <w:sz w:val="20"/>
          <w:szCs w:val="20"/>
        </w:rPr>
        <w:t xml:space="preserve">La variabile utilizzata per la costruzione del sistema di ponderazione (a partire dalle voci di prodotto sino al totale dell’industria) è il valore annuale delle importazioni di prodotti industriali realizzato nell’anno </w:t>
      </w:r>
      <w:r w:rsidRPr="00F04670">
        <w:rPr>
          <w:rFonts w:ascii="Arial" w:hAnsi="Arial" w:cs="Arial"/>
          <w:sz w:val="20"/>
          <w:szCs w:val="20"/>
        </w:rPr>
        <w:t>2020</w:t>
      </w:r>
      <w:r>
        <w:rPr>
          <w:rFonts w:ascii="Arial" w:hAnsi="Arial" w:cs="Arial"/>
          <w:sz w:val="20"/>
          <w:szCs w:val="20"/>
        </w:rPr>
        <w:t xml:space="preserve"> </w:t>
      </w:r>
      <w:r w:rsidRPr="00C9631A">
        <w:rPr>
          <w:rFonts w:ascii="Arial" w:hAnsi="Arial" w:cs="Arial"/>
          <w:sz w:val="20"/>
          <w:szCs w:val="20"/>
        </w:rPr>
        <w:t xml:space="preserve">nell’Area euro e nell’Area non euro, misurato dalle rilevazioni del commercio con l’estero a livello di merce (ovvero 8 cifre della Nomenclatura Combinata espressa secondo la classificazione CPA) per area di importazione (euro e non euro). </w:t>
      </w:r>
      <w:r>
        <w:rPr>
          <w:rFonts w:ascii="Arial" w:hAnsi="Arial" w:cs="Arial"/>
          <w:sz w:val="20"/>
          <w:szCs w:val="20"/>
        </w:rPr>
        <w:t xml:space="preserve">I valori 2020 sono stati attualizzati al mese di dicembre </w:t>
      </w:r>
      <w:r w:rsidRPr="00F04670">
        <w:rPr>
          <w:rFonts w:ascii="Arial" w:hAnsi="Arial" w:cs="Arial"/>
          <w:sz w:val="20"/>
          <w:szCs w:val="20"/>
        </w:rPr>
        <w:t>202</w:t>
      </w:r>
      <w:r>
        <w:rPr>
          <w:rFonts w:ascii="Arial" w:hAnsi="Arial" w:cs="Arial"/>
          <w:sz w:val="20"/>
          <w:szCs w:val="20"/>
        </w:rPr>
        <w:t>2.</w:t>
      </w:r>
    </w:p>
    <w:p w14:paraId="03D6EB99" w14:textId="77777777" w:rsidR="00F21E70" w:rsidRPr="00C9631A" w:rsidRDefault="00F21E70" w:rsidP="00F21E70">
      <w:pPr>
        <w:spacing w:after="120"/>
        <w:jc w:val="both"/>
        <w:rPr>
          <w:rFonts w:ascii="Arial" w:hAnsi="Arial" w:cs="Arial"/>
          <w:sz w:val="20"/>
          <w:szCs w:val="20"/>
        </w:rPr>
      </w:pPr>
      <w:r w:rsidRPr="00C9631A">
        <w:rPr>
          <w:rFonts w:ascii="Arial" w:hAnsi="Arial" w:cs="Arial"/>
          <w:sz w:val="20"/>
          <w:szCs w:val="20"/>
        </w:rPr>
        <w:t>I valori riferiti alle statistiche del commercio con l’estero - espressi inizialmente secondo i codici della Nomenclatura Combinata - sono riportati alla codifica della classificazione ProdCom (nelle prime 4 cifre derivata dalla Ateco 2007) mediante le tavole di corrispondenza messe a punto da Eurostat.</w:t>
      </w:r>
    </w:p>
    <w:p w14:paraId="67190513" w14:textId="77777777" w:rsidR="00F21E70" w:rsidRPr="00C9631A" w:rsidRDefault="00F21E70" w:rsidP="00F21E70">
      <w:pPr>
        <w:spacing w:after="120"/>
        <w:jc w:val="both"/>
        <w:rPr>
          <w:rFonts w:ascii="Arial" w:hAnsi="Arial" w:cs="Arial"/>
          <w:sz w:val="20"/>
          <w:szCs w:val="20"/>
        </w:rPr>
      </w:pPr>
      <w:r w:rsidRPr="00C9631A">
        <w:rPr>
          <w:rFonts w:ascii="Arial" w:hAnsi="Arial" w:cs="Arial"/>
          <w:sz w:val="20"/>
          <w:szCs w:val="20"/>
        </w:rPr>
        <w:t>Per l’indice all’importazione totale (sintesi delle due aree), la struttura di ponderazione è definita per ciascun livello di aggregazione settoriale sulla base dei pesi relativi delle due aree.</w:t>
      </w:r>
    </w:p>
    <w:p w14:paraId="45E4A875" w14:textId="77777777" w:rsidR="00F21E70" w:rsidRPr="00C9631A" w:rsidRDefault="00F21E70" w:rsidP="00F21E70">
      <w:pPr>
        <w:spacing w:after="120"/>
        <w:jc w:val="both"/>
        <w:rPr>
          <w:rFonts w:ascii="Arial" w:hAnsi="Arial" w:cs="Arial"/>
          <w:sz w:val="20"/>
          <w:szCs w:val="20"/>
        </w:rPr>
      </w:pPr>
      <w:r w:rsidRPr="00C9631A">
        <w:rPr>
          <w:rFonts w:ascii="Arial" w:hAnsi="Arial" w:cs="Arial"/>
          <w:sz w:val="20"/>
          <w:szCs w:val="20"/>
        </w:rPr>
        <w:t>I prodotti inclusi nel campione hanno pesi rappresentativi anche dei prodotti simili non selezionati e i loro indici sono espressi secondo la classificazione Ateco 2007.</w:t>
      </w:r>
    </w:p>
    <w:p w14:paraId="701F6253" w14:textId="77777777" w:rsidR="00F21E70" w:rsidRDefault="00F21E70" w:rsidP="00F21E70">
      <w:pPr>
        <w:spacing w:after="120"/>
        <w:jc w:val="both"/>
        <w:rPr>
          <w:rFonts w:ascii="Arial" w:hAnsi="Arial" w:cs="Arial"/>
          <w:b/>
          <w:bCs/>
          <w:sz w:val="20"/>
          <w:szCs w:val="20"/>
        </w:rPr>
      </w:pPr>
    </w:p>
    <w:p w14:paraId="7F0BF17A" w14:textId="77777777" w:rsidR="00F21E70" w:rsidRPr="00C9631A" w:rsidRDefault="00F21E70" w:rsidP="00F21E70">
      <w:pPr>
        <w:spacing w:after="120"/>
        <w:jc w:val="both"/>
        <w:rPr>
          <w:rFonts w:ascii="Arial" w:hAnsi="Arial" w:cs="Arial"/>
          <w:b/>
          <w:bCs/>
          <w:sz w:val="20"/>
          <w:szCs w:val="20"/>
        </w:rPr>
      </w:pPr>
      <w:r w:rsidRPr="00C9631A">
        <w:rPr>
          <w:rFonts w:ascii="Arial" w:hAnsi="Arial" w:cs="Arial"/>
          <w:b/>
          <w:bCs/>
          <w:sz w:val="20"/>
          <w:szCs w:val="20"/>
        </w:rPr>
        <w:t>Riservatezza</w:t>
      </w:r>
    </w:p>
    <w:p w14:paraId="083BC1BF" w14:textId="77777777" w:rsidR="00F21E70" w:rsidRPr="00C9631A" w:rsidRDefault="00F21E70" w:rsidP="00F21E70">
      <w:pPr>
        <w:spacing w:after="120"/>
        <w:jc w:val="both"/>
        <w:rPr>
          <w:rFonts w:ascii="Arial" w:hAnsi="Arial" w:cs="Arial"/>
          <w:bCs/>
          <w:sz w:val="20"/>
          <w:szCs w:val="20"/>
        </w:rPr>
      </w:pPr>
      <w:r w:rsidRPr="00C9631A">
        <w:rPr>
          <w:rFonts w:ascii="Arial" w:hAnsi="Arial" w:cs="Arial"/>
          <w:bCs/>
          <w:sz w:val="20"/>
          <w:szCs w:val="20"/>
        </w:rPr>
        <w:t xml:space="preserve">I dati raccolti nell’ambito </w:t>
      </w:r>
      <w:r w:rsidRPr="00E660CB">
        <w:rPr>
          <w:rFonts w:ascii="Arial" w:hAnsi="Arial" w:cs="Arial"/>
          <w:bCs/>
          <w:sz w:val="20"/>
          <w:szCs w:val="20"/>
        </w:rPr>
        <w:t>della Rilevazione dei prezzi all’importazione</w:t>
      </w:r>
      <w:r w:rsidRPr="00C9631A">
        <w:rPr>
          <w:rFonts w:ascii="Arial" w:hAnsi="Arial" w:cs="Arial"/>
          <w:bCs/>
          <w:sz w:val="20"/>
          <w:szCs w:val="20"/>
        </w:rPr>
        <w:t xml:space="preserve"> sono tutelati dal segreto statistico (art. 9 d.lgs. n. 322/89) e sottoposti alla normativa relativa alla protezione e al trattamento dei dati personali (d.lgs. 30 giugno 2003, n. 196).</w:t>
      </w:r>
    </w:p>
    <w:p w14:paraId="77846991" w14:textId="77777777" w:rsidR="00454BAB" w:rsidRDefault="00454BAB" w:rsidP="00F21E70">
      <w:pPr>
        <w:spacing w:after="120"/>
        <w:jc w:val="both"/>
        <w:rPr>
          <w:rFonts w:ascii="Arial" w:hAnsi="Arial" w:cs="Arial"/>
          <w:b/>
          <w:bCs/>
          <w:sz w:val="21"/>
          <w:szCs w:val="21"/>
        </w:rPr>
      </w:pPr>
    </w:p>
    <w:p w14:paraId="2DD2CDD2" w14:textId="77777777" w:rsidR="00F21E70" w:rsidRPr="001971DE" w:rsidRDefault="00F21E70" w:rsidP="00F21E70">
      <w:pPr>
        <w:spacing w:after="120"/>
        <w:jc w:val="both"/>
        <w:rPr>
          <w:rFonts w:ascii="Arial" w:hAnsi="Arial" w:cs="Arial"/>
          <w:b/>
          <w:bCs/>
          <w:sz w:val="21"/>
          <w:szCs w:val="21"/>
        </w:rPr>
      </w:pPr>
      <w:r w:rsidRPr="001971DE">
        <w:rPr>
          <w:rFonts w:ascii="Arial" w:hAnsi="Arial" w:cs="Arial"/>
          <w:b/>
          <w:bCs/>
          <w:sz w:val="21"/>
          <w:szCs w:val="21"/>
        </w:rPr>
        <w:t>Commercio estero e prezzi all’import: la diffusione dei dati</w:t>
      </w:r>
    </w:p>
    <w:p w14:paraId="0B2ECBBB" w14:textId="77777777" w:rsidR="00F21E70" w:rsidRPr="00C9631A" w:rsidRDefault="00F21E70" w:rsidP="00F21E70">
      <w:pPr>
        <w:spacing w:after="120"/>
        <w:jc w:val="both"/>
        <w:rPr>
          <w:rFonts w:ascii="Arial" w:hAnsi="Arial" w:cs="Arial"/>
          <w:b/>
          <w:sz w:val="20"/>
          <w:szCs w:val="20"/>
        </w:rPr>
      </w:pPr>
      <w:r w:rsidRPr="00C9631A">
        <w:rPr>
          <w:rFonts w:ascii="Arial" w:hAnsi="Arial" w:cs="Arial"/>
          <w:b/>
          <w:sz w:val="20"/>
          <w:szCs w:val="20"/>
        </w:rPr>
        <w:t>Tempestività del rilascio e revisione dei dati</w:t>
      </w:r>
    </w:p>
    <w:p w14:paraId="1D4A81A1" w14:textId="77777777" w:rsidR="00F21E70" w:rsidRPr="00C9631A" w:rsidRDefault="00F21E70" w:rsidP="00F21E70">
      <w:pPr>
        <w:spacing w:after="120"/>
        <w:jc w:val="both"/>
        <w:rPr>
          <w:rFonts w:ascii="Arial" w:hAnsi="Arial" w:cs="Arial"/>
          <w:bCs/>
          <w:sz w:val="20"/>
          <w:szCs w:val="20"/>
        </w:rPr>
      </w:pPr>
      <w:r w:rsidRPr="00C9631A">
        <w:rPr>
          <w:rFonts w:ascii="Arial" w:hAnsi="Arial" w:cs="Arial"/>
          <w:sz w:val="20"/>
          <w:szCs w:val="20"/>
        </w:rPr>
        <w:t>I dati sono pubblicati a 45 giorni dal mese di riferimento.</w:t>
      </w:r>
      <w:r w:rsidRPr="00C9631A">
        <w:rPr>
          <w:rFonts w:ascii="Arial" w:hAnsi="Arial" w:cs="Arial"/>
          <w:bCs/>
          <w:sz w:val="20"/>
          <w:szCs w:val="20"/>
        </w:rPr>
        <w:t xml:space="preserve"> Il </w:t>
      </w:r>
      <w:hyperlink r:id="rId47" w:history="1">
        <w:r w:rsidRPr="00E660CB">
          <w:rPr>
            <w:rStyle w:val="Collegamentoipertestuale"/>
            <w:rFonts w:ascii="Arial" w:hAnsi="Arial" w:cs="Arial"/>
            <w:bCs/>
            <w:sz w:val="20"/>
            <w:szCs w:val="20"/>
          </w:rPr>
          <w:t>calendario della diffusione</w:t>
        </w:r>
      </w:hyperlink>
      <w:r w:rsidRPr="00C9631A">
        <w:rPr>
          <w:rFonts w:ascii="Arial" w:hAnsi="Arial" w:cs="Arial"/>
          <w:bCs/>
          <w:sz w:val="20"/>
          <w:szCs w:val="20"/>
        </w:rPr>
        <w:t xml:space="preserve"> è definito annualmente e pubblicato sul sito web dell’Istituto</w:t>
      </w:r>
      <w:r>
        <w:rPr>
          <w:rFonts w:ascii="Arial" w:hAnsi="Arial" w:cs="Arial"/>
          <w:bCs/>
          <w:sz w:val="20"/>
          <w:szCs w:val="20"/>
        </w:rPr>
        <w:t>.</w:t>
      </w:r>
    </w:p>
    <w:p w14:paraId="4E5BB5E9" w14:textId="77777777" w:rsidR="00F21E70" w:rsidRPr="00C9631A" w:rsidRDefault="00F21E70" w:rsidP="00F21E70">
      <w:pPr>
        <w:spacing w:after="120"/>
        <w:jc w:val="both"/>
        <w:rPr>
          <w:rFonts w:ascii="Arial" w:hAnsi="Arial" w:cs="Arial"/>
          <w:sz w:val="20"/>
          <w:szCs w:val="20"/>
        </w:rPr>
      </w:pPr>
      <w:r w:rsidRPr="00C9631A">
        <w:rPr>
          <w:rFonts w:ascii="Arial" w:hAnsi="Arial" w:cs="Arial"/>
          <w:sz w:val="20"/>
          <w:szCs w:val="20"/>
        </w:rPr>
        <w:t xml:space="preserve">Al momento della prima pubblicazione, i dati di commercio estero sono di natura provvisoria e sono soggetti a una prima revisione nel mese successivo, al fine di incorporare ulteriori informazioni che si rendono disponibili successivamente alla loro diffusione, per essere definitivamente consolidati nel mese di novembre dell’anno seguente. </w:t>
      </w:r>
    </w:p>
    <w:p w14:paraId="56E92697" w14:textId="77777777" w:rsidR="00F21E70" w:rsidRPr="00C9631A" w:rsidRDefault="00F21E70" w:rsidP="00F21E70">
      <w:pPr>
        <w:spacing w:after="120"/>
        <w:jc w:val="both"/>
        <w:rPr>
          <w:rFonts w:ascii="Arial" w:hAnsi="Arial" w:cs="Arial"/>
          <w:sz w:val="20"/>
          <w:szCs w:val="20"/>
        </w:rPr>
      </w:pPr>
      <w:r w:rsidRPr="00C9631A">
        <w:rPr>
          <w:rFonts w:ascii="Arial" w:hAnsi="Arial" w:cs="Arial"/>
          <w:bCs/>
          <w:sz w:val="20"/>
          <w:szCs w:val="20"/>
        </w:rPr>
        <w:t>I dati definitivi dei prezzi all’import vengono invece diffusi dopo 75 giorni</w:t>
      </w:r>
      <w:r>
        <w:rPr>
          <w:rFonts w:ascii="Arial" w:hAnsi="Arial" w:cs="Arial"/>
          <w:bCs/>
          <w:sz w:val="20"/>
          <w:szCs w:val="20"/>
        </w:rPr>
        <w:t xml:space="preserve">, nel rispetto delle </w:t>
      </w:r>
      <w:r w:rsidRPr="00C9631A">
        <w:rPr>
          <w:rFonts w:ascii="Arial" w:hAnsi="Arial" w:cs="Arial"/>
          <w:bCs/>
          <w:sz w:val="20"/>
          <w:szCs w:val="20"/>
        </w:rPr>
        <w:t xml:space="preserve">condizioni richieste da Eurostat. </w:t>
      </w:r>
    </w:p>
    <w:p w14:paraId="497A55CF" w14:textId="77777777" w:rsidR="00F21E70" w:rsidRPr="00C9631A" w:rsidRDefault="00F21E70" w:rsidP="00F21E70">
      <w:pPr>
        <w:spacing w:after="120"/>
        <w:jc w:val="both"/>
        <w:rPr>
          <w:rFonts w:ascii="Arial" w:hAnsi="Arial" w:cs="Arial"/>
          <w:sz w:val="20"/>
          <w:szCs w:val="20"/>
        </w:rPr>
      </w:pPr>
      <w:r w:rsidRPr="00C9631A">
        <w:rPr>
          <w:rFonts w:ascii="Arial" w:hAnsi="Arial" w:cs="Arial"/>
          <w:sz w:val="20"/>
          <w:szCs w:val="20"/>
        </w:rPr>
        <w:t xml:space="preserve">Per ulteriori informazioni relative alle revisioni degli indicatori congiunturali, consultare la </w:t>
      </w:r>
      <w:hyperlink r:id="rId48" w:history="1">
        <w:r w:rsidRPr="00C9631A">
          <w:rPr>
            <w:rStyle w:val="Collegamentoipertestuale"/>
            <w:rFonts w:ascii="Arial" w:hAnsi="Arial" w:cs="Arial"/>
            <w:sz w:val="20"/>
            <w:szCs w:val="20"/>
          </w:rPr>
          <w:t>sezione dedicata</w:t>
        </w:r>
      </w:hyperlink>
      <w:r w:rsidRPr="00C9631A">
        <w:rPr>
          <w:rFonts w:ascii="Arial" w:hAnsi="Arial" w:cs="Arial"/>
          <w:sz w:val="20"/>
          <w:szCs w:val="20"/>
        </w:rPr>
        <w:t xml:space="preserve">. Fare riferimento, in particolare, alla </w:t>
      </w:r>
      <w:hyperlink r:id="rId49" w:history="1">
        <w:r w:rsidRPr="00C9631A">
          <w:rPr>
            <w:rStyle w:val="Collegamentoipertestuale"/>
            <w:rFonts w:ascii="Arial" w:hAnsi="Arial" w:cs="Arial"/>
            <w:sz w:val="20"/>
            <w:szCs w:val="20"/>
          </w:rPr>
          <w:t>scheda</w:t>
        </w:r>
      </w:hyperlink>
      <w:r w:rsidRPr="00C9631A">
        <w:rPr>
          <w:rFonts w:ascii="Arial" w:hAnsi="Arial" w:cs="Arial"/>
          <w:sz w:val="20"/>
          <w:szCs w:val="20"/>
        </w:rPr>
        <w:t xml:space="preserve"> relativa alle politiche di revisione degli indicatori del commercio con l’estero e prezzi all’import.</w:t>
      </w:r>
    </w:p>
    <w:p w14:paraId="753AAFB3" w14:textId="65A972D7" w:rsidR="00F21E70" w:rsidRDefault="00F21E70" w:rsidP="00F21E70">
      <w:pPr>
        <w:spacing w:after="120"/>
        <w:jc w:val="both"/>
        <w:rPr>
          <w:rFonts w:ascii="Arial" w:hAnsi="Arial" w:cs="Arial"/>
          <w:b/>
          <w:sz w:val="20"/>
          <w:szCs w:val="20"/>
        </w:rPr>
      </w:pPr>
    </w:p>
    <w:p w14:paraId="30A798F1" w14:textId="0F7D104A" w:rsidR="001C0874" w:rsidRDefault="001C0874" w:rsidP="00F21E70">
      <w:pPr>
        <w:spacing w:after="120"/>
        <w:jc w:val="both"/>
        <w:rPr>
          <w:rFonts w:ascii="Arial" w:hAnsi="Arial" w:cs="Arial"/>
          <w:b/>
          <w:sz w:val="20"/>
          <w:szCs w:val="20"/>
        </w:rPr>
      </w:pPr>
    </w:p>
    <w:p w14:paraId="4BE6AAB1" w14:textId="71BF921F" w:rsidR="001C0874" w:rsidRDefault="001C0874" w:rsidP="00F21E70">
      <w:pPr>
        <w:spacing w:after="120"/>
        <w:jc w:val="both"/>
        <w:rPr>
          <w:rFonts w:ascii="Arial" w:hAnsi="Arial" w:cs="Arial"/>
          <w:b/>
          <w:sz w:val="20"/>
          <w:szCs w:val="20"/>
        </w:rPr>
      </w:pPr>
    </w:p>
    <w:p w14:paraId="5D559BE8" w14:textId="77777777" w:rsidR="001C0874" w:rsidRDefault="001C0874" w:rsidP="00F21E70">
      <w:pPr>
        <w:spacing w:after="120"/>
        <w:jc w:val="both"/>
        <w:rPr>
          <w:rFonts w:ascii="Arial" w:hAnsi="Arial" w:cs="Arial"/>
          <w:b/>
          <w:sz w:val="20"/>
          <w:szCs w:val="20"/>
        </w:rPr>
      </w:pPr>
    </w:p>
    <w:p w14:paraId="67736D7F" w14:textId="77777777" w:rsidR="00F21E70" w:rsidRPr="00C9631A" w:rsidRDefault="00F21E70" w:rsidP="00F21E70">
      <w:pPr>
        <w:spacing w:after="120"/>
        <w:jc w:val="both"/>
        <w:rPr>
          <w:rFonts w:ascii="Arial" w:hAnsi="Arial" w:cs="Arial"/>
          <w:b/>
          <w:sz w:val="20"/>
          <w:szCs w:val="20"/>
        </w:rPr>
      </w:pPr>
      <w:r w:rsidRPr="00C9631A">
        <w:rPr>
          <w:rFonts w:ascii="Arial" w:hAnsi="Arial" w:cs="Arial"/>
          <w:b/>
          <w:sz w:val="20"/>
          <w:szCs w:val="20"/>
        </w:rPr>
        <w:t>I canali di diffusione dei dati statistici</w:t>
      </w:r>
    </w:p>
    <w:p w14:paraId="523C8A8F" w14:textId="77777777" w:rsidR="00F21E70" w:rsidRPr="00C9631A" w:rsidRDefault="00F21E70" w:rsidP="00F21E70">
      <w:pPr>
        <w:spacing w:after="120"/>
        <w:jc w:val="both"/>
        <w:rPr>
          <w:rFonts w:ascii="Arial" w:hAnsi="Arial" w:cs="Arial"/>
          <w:bCs/>
          <w:sz w:val="20"/>
          <w:szCs w:val="20"/>
        </w:rPr>
      </w:pPr>
      <w:r w:rsidRPr="00C9631A">
        <w:rPr>
          <w:rFonts w:ascii="Arial" w:hAnsi="Arial" w:cs="Arial"/>
          <w:bCs/>
          <w:sz w:val="20"/>
          <w:szCs w:val="20"/>
        </w:rPr>
        <w:t>I dati sono diffusi simultaneamente a tutte le parti interessate mediante il comunicato stampa mensile - la Statistica Flash “Commercio con l’estero e prezzi all’import dei prodotti industriali” – pubblicato sul sito web dell’Istituto:</w:t>
      </w:r>
    </w:p>
    <w:p w14:paraId="779C7F97" w14:textId="77777777" w:rsidR="00F21E70" w:rsidRPr="00C9631A" w:rsidRDefault="00BE250C" w:rsidP="00F21E70">
      <w:pPr>
        <w:pStyle w:val="Paragrafoelenco"/>
        <w:numPr>
          <w:ilvl w:val="0"/>
          <w:numId w:val="34"/>
        </w:numPr>
        <w:tabs>
          <w:tab w:val="clear" w:pos="426"/>
        </w:tabs>
        <w:ind w:left="426"/>
        <w:rPr>
          <w:rFonts w:ascii="Arial" w:hAnsi="Arial" w:cs="Arial"/>
          <w:sz w:val="20"/>
          <w:szCs w:val="20"/>
        </w:rPr>
      </w:pPr>
      <w:hyperlink r:id="rId50" w:history="1">
        <w:r w:rsidR="00F21E70" w:rsidRPr="00C9631A">
          <w:rPr>
            <w:rStyle w:val="Collegamentoipertestuale"/>
            <w:rFonts w:ascii="Arial" w:hAnsi="Arial" w:cs="Arial"/>
            <w:sz w:val="20"/>
            <w:szCs w:val="20"/>
          </w:rPr>
          <w:t>Commercio estero e prezzi all’import</w:t>
        </w:r>
      </w:hyperlink>
    </w:p>
    <w:p w14:paraId="49D7B66C" w14:textId="77777777" w:rsidR="00F21E70" w:rsidRPr="00C9631A" w:rsidRDefault="00F21E70" w:rsidP="00F21E70">
      <w:pPr>
        <w:spacing w:after="120"/>
        <w:jc w:val="both"/>
        <w:rPr>
          <w:rFonts w:ascii="Arial" w:hAnsi="Arial" w:cs="Arial"/>
          <w:bCs/>
          <w:sz w:val="20"/>
          <w:szCs w:val="20"/>
        </w:rPr>
      </w:pPr>
      <w:r w:rsidRPr="00C9631A">
        <w:rPr>
          <w:rFonts w:ascii="Arial" w:hAnsi="Arial" w:cs="Arial"/>
          <w:bCs/>
          <w:sz w:val="20"/>
          <w:szCs w:val="20"/>
        </w:rPr>
        <w:t>Le serie storiche aggiornate sono pubblicate in allegato al comunicato stampa.</w:t>
      </w:r>
    </w:p>
    <w:p w14:paraId="737E1CBB" w14:textId="77777777" w:rsidR="00F21E70" w:rsidRPr="00C9631A" w:rsidRDefault="00F21E70" w:rsidP="00F21E70">
      <w:pPr>
        <w:jc w:val="both"/>
        <w:rPr>
          <w:rFonts w:ascii="Arial" w:hAnsi="Arial" w:cs="Arial"/>
          <w:sz w:val="20"/>
          <w:szCs w:val="20"/>
        </w:rPr>
      </w:pPr>
      <w:r w:rsidRPr="00C9631A">
        <w:rPr>
          <w:rFonts w:ascii="Arial" w:hAnsi="Arial" w:cs="Arial"/>
          <w:sz w:val="20"/>
          <w:szCs w:val="20"/>
        </w:rPr>
        <w:t>Ulteriori comunicati stampa sul commercio estero:</w:t>
      </w:r>
    </w:p>
    <w:p w14:paraId="4821276C" w14:textId="77777777" w:rsidR="00F21E70" w:rsidRPr="00C9631A" w:rsidRDefault="00BE250C" w:rsidP="00F21E70">
      <w:pPr>
        <w:pStyle w:val="Paragrafoelenco"/>
        <w:numPr>
          <w:ilvl w:val="0"/>
          <w:numId w:val="34"/>
        </w:numPr>
        <w:tabs>
          <w:tab w:val="clear" w:pos="426"/>
        </w:tabs>
        <w:spacing w:before="120"/>
        <w:ind w:left="425" w:hanging="357"/>
        <w:rPr>
          <w:rFonts w:ascii="Arial" w:hAnsi="Arial" w:cs="Arial"/>
          <w:sz w:val="20"/>
          <w:szCs w:val="20"/>
        </w:rPr>
      </w:pPr>
      <w:hyperlink r:id="rId51" w:history="1">
        <w:r w:rsidR="00F21E70" w:rsidRPr="00C9631A">
          <w:rPr>
            <w:rStyle w:val="Collegamentoipertestuale"/>
            <w:rFonts w:ascii="Arial" w:hAnsi="Arial" w:cs="Arial"/>
            <w:sz w:val="20"/>
            <w:szCs w:val="20"/>
          </w:rPr>
          <w:t>Commercio estero con i paesi extra UE</w:t>
        </w:r>
      </w:hyperlink>
    </w:p>
    <w:p w14:paraId="3AF22CE2" w14:textId="77777777" w:rsidR="00F21E70" w:rsidRPr="00C9631A" w:rsidRDefault="00BE250C" w:rsidP="00F21E70">
      <w:pPr>
        <w:pStyle w:val="Paragrafoelenco"/>
        <w:numPr>
          <w:ilvl w:val="0"/>
          <w:numId w:val="34"/>
        </w:numPr>
        <w:tabs>
          <w:tab w:val="clear" w:pos="426"/>
        </w:tabs>
        <w:spacing w:before="240"/>
        <w:ind w:left="426"/>
        <w:rPr>
          <w:rFonts w:ascii="Arial" w:hAnsi="Arial" w:cs="Arial"/>
          <w:sz w:val="20"/>
          <w:szCs w:val="20"/>
        </w:rPr>
      </w:pPr>
      <w:hyperlink r:id="rId52" w:history="1">
        <w:r w:rsidR="00F21E70" w:rsidRPr="00C9631A">
          <w:rPr>
            <w:rStyle w:val="Collegamentoipertestuale"/>
            <w:rFonts w:ascii="Arial" w:hAnsi="Arial" w:cs="Arial"/>
            <w:sz w:val="20"/>
            <w:szCs w:val="20"/>
          </w:rPr>
          <w:t>Le esportazioni delle regioni italiane</w:t>
        </w:r>
      </w:hyperlink>
    </w:p>
    <w:p w14:paraId="77B09AFD" w14:textId="77777777" w:rsidR="00F21E70" w:rsidRPr="00C9631A" w:rsidRDefault="00F21E70" w:rsidP="00F21E70">
      <w:pPr>
        <w:spacing w:after="120"/>
        <w:jc w:val="both"/>
        <w:rPr>
          <w:rFonts w:ascii="Arial" w:hAnsi="Arial" w:cs="Arial"/>
          <w:bCs/>
          <w:sz w:val="20"/>
          <w:szCs w:val="20"/>
        </w:rPr>
      </w:pPr>
      <w:r>
        <w:rPr>
          <w:rFonts w:ascii="Arial" w:hAnsi="Arial" w:cs="Arial"/>
          <w:bCs/>
          <w:sz w:val="20"/>
          <w:szCs w:val="20"/>
        </w:rPr>
        <w:t>I</w:t>
      </w:r>
      <w:r w:rsidRPr="00C9631A">
        <w:rPr>
          <w:rFonts w:ascii="Arial" w:hAnsi="Arial" w:cs="Arial"/>
          <w:bCs/>
          <w:sz w:val="20"/>
          <w:szCs w:val="20"/>
        </w:rPr>
        <w:t xml:space="preserve"> dati sono trasmessi mensilmente ad Eurostat e consultabili all’indirizzo </w:t>
      </w:r>
      <w:hyperlink r:id="rId53" w:history="1">
        <w:r w:rsidRPr="00C9631A">
          <w:rPr>
            <w:rFonts w:ascii="Arial" w:hAnsi="Arial" w:cs="Arial"/>
            <w:bCs/>
            <w:color w:val="0000FF"/>
            <w:sz w:val="20"/>
            <w:szCs w:val="20"/>
            <w:u w:val="single"/>
          </w:rPr>
          <w:t>http://ec.europa.eu/eurostat/data/database</w:t>
        </w:r>
      </w:hyperlink>
      <w:r w:rsidRPr="00C9631A">
        <w:rPr>
          <w:rFonts w:ascii="Arial" w:hAnsi="Arial" w:cs="Arial"/>
          <w:bCs/>
          <w:sz w:val="20"/>
          <w:szCs w:val="20"/>
        </w:rPr>
        <w:t xml:space="preserve"> (Tema </w:t>
      </w:r>
      <w:r w:rsidRPr="00C9631A">
        <w:rPr>
          <w:rFonts w:ascii="Arial" w:hAnsi="Arial" w:cs="Arial"/>
          <w:bCs/>
          <w:i/>
          <w:sz w:val="20"/>
          <w:szCs w:val="20"/>
        </w:rPr>
        <w:t>Industry, trade and services</w:t>
      </w:r>
      <w:r w:rsidRPr="00C9631A">
        <w:rPr>
          <w:rFonts w:ascii="Arial" w:hAnsi="Arial" w:cs="Arial"/>
          <w:bCs/>
          <w:sz w:val="20"/>
          <w:szCs w:val="20"/>
        </w:rPr>
        <w:t xml:space="preserve">, argomento </w:t>
      </w:r>
      <w:r w:rsidRPr="00C9631A">
        <w:rPr>
          <w:rFonts w:ascii="Arial" w:hAnsi="Arial" w:cs="Arial"/>
          <w:bCs/>
          <w:i/>
          <w:sz w:val="20"/>
          <w:szCs w:val="20"/>
        </w:rPr>
        <w:t>Short-term business statistics (sts)</w:t>
      </w:r>
      <w:r w:rsidRPr="00C9631A">
        <w:rPr>
          <w:rFonts w:ascii="Arial" w:hAnsi="Arial" w:cs="Arial"/>
          <w:bCs/>
          <w:sz w:val="20"/>
          <w:szCs w:val="20"/>
        </w:rPr>
        <w:t>).</w:t>
      </w:r>
    </w:p>
    <w:p w14:paraId="4D36C14A" w14:textId="77777777" w:rsidR="00F21E70" w:rsidRPr="00C9631A" w:rsidRDefault="00F21E70" w:rsidP="00F21E70">
      <w:pPr>
        <w:spacing w:after="120"/>
        <w:jc w:val="both"/>
        <w:rPr>
          <w:rFonts w:ascii="Arial" w:hAnsi="Arial" w:cs="Arial"/>
          <w:sz w:val="20"/>
          <w:szCs w:val="20"/>
        </w:rPr>
      </w:pPr>
      <w:r w:rsidRPr="00C9631A">
        <w:rPr>
          <w:rFonts w:ascii="Arial" w:hAnsi="Arial" w:cs="Arial"/>
          <w:sz w:val="20"/>
          <w:szCs w:val="20"/>
        </w:rPr>
        <w:t>I dati di commercio estero sono disponibili su Coeweb, il datawarehouse completamente dedicato alle statistiche del commercio con l'estero, nel mese successivo all’uscita del comunicato. La banca dati fornisce, con cadenza mensile, un ricco patrimonio informativo sui flussi commerciali dell'Italia con il resto del mondo e contiene informazioni e serie storiche a partire dal 1991.</w:t>
      </w:r>
    </w:p>
    <w:p w14:paraId="48A20495" w14:textId="77777777" w:rsidR="00FF3A5E" w:rsidRPr="00FF3A5E" w:rsidRDefault="00F21E70" w:rsidP="00FF3A5E">
      <w:pPr>
        <w:spacing w:after="120"/>
        <w:jc w:val="both"/>
        <w:rPr>
          <w:rFonts w:ascii="Arial" w:hAnsi="Arial" w:cs="Arial"/>
          <w:sz w:val="20"/>
          <w:szCs w:val="20"/>
        </w:rPr>
      </w:pPr>
      <w:r w:rsidRPr="00C9631A">
        <w:rPr>
          <w:rFonts w:ascii="Arial" w:hAnsi="Arial" w:cs="Arial"/>
          <w:sz w:val="20"/>
          <w:szCs w:val="20"/>
        </w:rPr>
        <w:t>Le serie aggiornate degli indici dei prezzi all’importazione sono pubblicate, in concomitanza con la diffusione del comunicato stampa, sul datawarehouse dell’Istituto (I.</w:t>
      </w:r>
      <w:r>
        <w:rPr>
          <w:rFonts w:ascii="Arial" w:hAnsi="Arial" w:cs="Arial"/>
          <w:sz w:val="20"/>
          <w:szCs w:val="20"/>
        </w:rPr>
        <w:t>S</w:t>
      </w:r>
      <w:r w:rsidRPr="00C9631A">
        <w:rPr>
          <w:rFonts w:ascii="Arial" w:hAnsi="Arial" w:cs="Arial"/>
          <w:sz w:val="20"/>
          <w:szCs w:val="20"/>
        </w:rPr>
        <w:t>tat) all’interno del tema Prezzi - Prezzi all'importazione.</w:t>
      </w:r>
      <w:r w:rsidR="00FF3A5E">
        <w:rPr>
          <w:rFonts w:ascii="Arial" w:hAnsi="Arial" w:cs="Arial"/>
          <w:sz w:val="20"/>
          <w:szCs w:val="20"/>
        </w:rPr>
        <w:t xml:space="preserve"> </w:t>
      </w:r>
      <w:r w:rsidR="00FF3A5E" w:rsidRPr="00FF3A5E">
        <w:rPr>
          <w:rStyle w:val="markedcontent"/>
          <w:rFonts w:ascii="Arial" w:hAnsi="Arial" w:cs="Arial"/>
          <w:sz w:val="20"/>
          <w:szCs w:val="20"/>
        </w:rPr>
        <w:t xml:space="preserve">Le serie sono pubblicate anche su </w:t>
      </w:r>
      <w:hyperlink r:id="rId54" w:history="1">
        <w:r w:rsidR="00FF3A5E" w:rsidRPr="00FF3A5E">
          <w:rPr>
            <w:rStyle w:val="Collegamentoipertestuale"/>
            <w:rFonts w:ascii="Arial" w:hAnsi="Arial" w:cs="Arial"/>
            <w:sz w:val="20"/>
            <w:szCs w:val="20"/>
          </w:rPr>
          <w:t>IstatData</w:t>
        </w:r>
      </w:hyperlink>
      <w:r w:rsidR="00FF3A5E" w:rsidRPr="00FF3A5E">
        <w:rPr>
          <w:rStyle w:val="markedcontent"/>
          <w:rFonts w:ascii="Arial" w:hAnsi="Arial" w:cs="Arial"/>
          <w:sz w:val="20"/>
          <w:szCs w:val="20"/>
        </w:rPr>
        <w:t>, la nuova banca dati dell’Istituto in cui saranno migrati progressivamente tutti i contenuti di I.Stat. Fino al completo trasferimento dei dati i due sistemi coesisteranno.</w:t>
      </w:r>
    </w:p>
    <w:p w14:paraId="0A9693A9" w14:textId="77777777" w:rsidR="00F21E70" w:rsidRPr="00C9631A" w:rsidRDefault="00F21E70" w:rsidP="00F21E70">
      <w:pPr>
        <w:spacing w:after="120"/>
        <w:jc w:val="both"/>
        <w:rPr>
          <w:rFonts w:ascii="Arial" w:hAnsi="Arial" w:cs="Arial"/>
          <w:sz w:val="20"/>
          <w:szCs w:val="20"/>
        </w:rPr>
      </w:pPr>
    </w:p>
    <w:p w14:paraId="4DAB7177" w14:textId="77777777" w:rsidR="00F21E70" w:rsidRPr="00C9631A" w:rsidRDefault="00F21E70" w:rsidP="00F21E70">
      <w:pPr>
        <w:spacing w:after="120"/>
        <w:jc w:val="both"/>
        <w:rPr>
          <w:rFonts w:ascii="Arial" w:hAnsi="Arial" w:cs="Arial"/>
          <w:b/>
          <w:bCs/>
          <w:sz w:val="20"/>
          <w:szCs w:val="20"/>
        </w:rPr>
      </w:pPr>
      <w:r w:rsidRPr="00C9631A">
        <w:rPr>
          <w:rFonts w:ascii="Arial" w:hAnsi="Arial" w:cs="Arial"/>
          <w:b/>
          <w:bCs/>
          <w:sz w:val="20"/>
          <w:szCs w:val="20"/>
        </w:rPr>
        <w:t>Approfondimenti</w:t>
      </w:r>
    </w:p>
    <w:p w14:paraId="452CCF7A" w14:textId="77777777" w:rsidR="00F21E70" w:rsidRPr="00C9631A" w:rsidRDefault="00BE250C" w:rsidP="00F21E70">
      <w:pPr>
        <w:numPr>
          <w:ilvl w:val="0"/>
          <w:numId w:val="36"/>
        </w:numPr>
        <w:spacing w:after="120"/>
        <w:ind w:left="284" w:hanging="284"/>
        <w:jc w:val="both"/>
        <w:rPr>
          <w:rFonts w:ascii="Arial" w:hAnsi="Arial" w:cs="Arial"/>
          <w:sz w:val="20"/>
          <w:szCs w:val="20"/>
        </w:rPr>
      </w:pPr>
      <w:hyperlink r:id="rId55" w:history="1">
        <w:r w:rsidR="00F21E70" w:rsidRPr="00C9631A">
          <w:rPr>
            <w:rStyle w:val="Collegamentoipertestuale"/>
            <w:rFonts w:ascii="Arial" w:hAnsi="Arial" w:cs="Arial"/>
            <w:sz w:val="20"/>
            <w:szCs w:val="20"/>
          </w:rPr>
          <w:t>Nota Informativa</w:t>
        </w:r>
      </w:hyperlink>
      <w:r w:rsidR="00F21E70" w:rsidRPr="00C9631A">
        <w:rPr>
          <w:rFonts w:ascii="Arial" w:hAnsi="Arial" w:cs="Arial"/>
          <w:sz w:val="20"/>
          <w:szCs w:val="20"/>
        </w:rPr>
        <w:t xml:space="preserve"> sulle caratteristiche dei nuovi indici del commercio con l’estero del 25/02/2008.</w:t>
      </w:r>
    </w:p>
    <w:p w14:paraId="63204EB7" w14:textId="77777777" w:rsidR="00F21E70" w:rsidRDefault="00BE250C" w:rsidP="00F21E70">
      <w:pPr>
        <w:numPr>
          <w:ilvl w:val="0"/>
          <w:numId w:val="36"/>
        </w:numPr>
        <w:spacing w:after="120"/>
        <w:ind w:left="284" w:hanging="284"/>
        <w:jc w:val="both"/>
        <w:rPr>
          <w:rFonts w:ascii="Arial" w:hAnsi="Arial" w:cs="Arial"/>
          <w:sz w:val="20"/>
          <w:szCs w:val="20"/>
        </w:rPr>
      </w:pPr>
      <w:hyperlink r:id="rId56" w:history="1">
        <w:r w:rsidR="00F21E70" w:rsidRPr="00C9631A">
          <w:rPr>
            <w:rStyle w:val="Collegamentoipertestuale"/>
            <w:rFonts w:ascii="Arial" w:hAnsi="Arial" w:cs="Arial"/>
            <w:sz w:val="20"/>
            <w:szCs w:val="20"/>
          </w:rPr>
          <w:t>Nota informativa</w:t>
        </w:r>
      </w:hyperlink>
      <w:r w:rsidR="00F21E70" w:rsidRPr="00C9631A">
        <w:rPr>
          <w:rFonts w:ascii="Arial" w:hAnsi="Arial" w:cs="Arial"/>
          <w:sz w:val="20"/>
          <w:szCs w:val="20"/>
        </w:rPr>
        <w:t xml:space="preserve"> sul nuovo sistema di produzione delle statistiche sugli scambi con l’estero di gas naturale ed energia elettrica del 15/11/2011.</w:t>
      </w:r>
    </w:p>
    <w:p w14:paraId="6978A2B0" w14:textId="77777777" w:rsidR="00F21E70" w:rsidRPr="00C9631A" w:rsidRDefault="00BE250C" w:rsidP="00F21E70">
      <w:pPr>
        <w:numPr>
          <w:ilvl w:val="0"/>
          <w:numId w:val="36"/>
        </w:numPr>
        <w:spacing w:after="120"/>
        <w:ind w:left="284" w:hanging="284"/>
        <w:jc w:val="both"/>
        <w:rPr>
          <w:rFonts w:ascii="Arial" w:hAnsi="Arial" w:cs="Arial"/>
          <w:sz w:val="20"/>
          <w:szCs w:val="20"/>
        </w:rPr>
      </w:pPr>
      <w:hyperlink r:id="rId57" w:history="1">
        <w:r w:rsidR="00F21E70" w:rsidRPr="00C9631A">
          <w:rPr>
            <w:rStyle w:val="Collegamentoipertestuale"/>
            <w:rFonts w:ascii="Arial" w:hAnsi="Arial" w:cs="Arial"/>
            <w:sz w:val="20"/>
            <w:szCs w:val="20"/>
          </w:rPr>
          <w:t>Nota informativa</w:t>
        </w:r>
      </w:hyperlink>
      <w:r w:rsidR="00F21E70" w:rsidRPr="00C9631A">
        <w:rPr>
          <w:rFonts w:ascii="Arial" w:hAnsi="Arial" w:cs="Arial"/>
          <w:sz w:val="20"/>
          <w:szCs w:val="20"/>
        </w:rPr>
        <w:t xml:space="preserve"> sull’avvio della rilevazione</w:t>
      </w:r>
      <w:r w:rsidR="00F21E70">
        <w:rPr>
          <w:rFonts w:ascii="Arial" w:hAnsi="Arial" w:cs="Arial"/>
          <w:sz w:val="20"/>
          <w:szCs w:val="20"/>
        </w:rPr>
        <w:t xml:space="preserve"> dei prezzi all’import,</w:t>
      </w:r>
      <w:r w:rsidR="00F21E70" w:rsidRPr="00C9631A">
        <w:rPr>
          <w:rFonts w:ascii="Arial" w:hAnsi="Arial" w:cs="Arial"/>
          <w:sz w:val="20"/>
          <w:szCs w:val="20"/>
        </w:rPr>
        <w:t xml:space="preserve"> del 24/02/2014. </w:t>
      </w:r>
    </w:p>
    <w:p w14:paraId="54061C78" w14:textId="77777777" w:rsidR="00F21E70" w:rsidRPr="00C9631A" w:rsidRDefault="00BE250C" w:rsidP="00F21E70">
      <w:pPr>
        <w:numPr>
          <w:ilvl w:val="0"/>
          <w:numId w:val="36"/>
        </w:numPr>
        <w:spacing w:after="120"/>
        <w:ind w:left="284" w:hanging="284"/>
        <w:jc w:val="both"/>
        <w:rPr>
          <w:rFonts w:ascii="Arial" w:hAnsi="Arial" w:cs="Arial"/>
          <w:b/>
          <w:sz w:val="20"/>
          <w:szCs w:val="20"/>
        </w:rPr>
      </w:pPr>
      <w:hyperlink r:id="rId58" w:history="1">
        <w:r w:rsidR="00F21E70" w:rsidRPr="008A6D09">
          <w:rPr>
            <w:rStyle w:val="Collegamentoipertestuale"/>
            <w:rFonts w:ascii="Arial" w:hAnsi="Arial" w:cs="Arial"/>
            <w:sz w:val="20"/>
            <w:szCs w:val="20"/>
          </w:rPr>
          <w:t>Nota informativa</w:t>
        </w:r>
      </w:hyperlink>
      <w:r w:rsidR="00F21E70" w:rsidRPr="00C9631A">
        <w:rPr>
          <w:rFonts w:ascii="Arial" w:hAnsi="Arial" w:cs="Arial"/>
          <w:sz w:val="20"/>
          <w:szCs w:val="20"/>
        </w:rPr>
        <w:t xml:space="preserve"> sulla ricostruzione delle serie storiche </w:t>
      </w:r>
      <w:r w:rsidR="00F21E70">
        <w:rPr>
          <w:rFonts w:ascii="Arial" w:hAnsi="Arial" w:cs="Arial"/>
          <w:sz w:val="20"/>
          <w:szCs w:val="20"/>
        </w:rPr>
        <w:t xml:space="preserve">degli indici dei prezzi all’import </w:t>
      </w:r>
      <w:r w:rsidR="00F21E70" w:rsidRPr="00C9631A">
        <w:rPr>
          <w:rFonts w:ascii="Arial" w:hAnsi="Arial" w:cs="Arial"/>
          <w:sz w:val="20"/>
          <w:szCs w:val="20"/>
        </w:rPr>
        <w:t>per il periodo 2005 – 2009, del 16/10/2015.</w:t>
      </w:r>
    </w:p>
    <w:p w14:paraId="097EFBF7" w14:textId="77777777" w:rsidR="00F21E70" w:rsidRPr="00222CB7" w:rsidRDefault="00BE250C" w:rsidP="00F21E70">
      <w:pPr>
        <w:numPr>
          <w:ilvl w:val="0"/>
          <w:numId w:val="36"/>
        </w:numPr>
        <w:spacing w:after="120"/>
        <w:ind w:left="284" w:hanging="284"/>
        <w:jc w:val="both"/>
        <w:rPr>
          <w:rFonts w:ascii="Arial" w:hAnsi="Arial" w:cs="Arial"/>
          <w:sz w:val="20"/>
          <w:szCs w:val="20"/>
        </w:rPr>
      </w:pPr>
      <w:hyperlink r:id="rId59" w:history="1">
        <w:r w:rsidR="00F21E70" w:rsidRPr="00222CB7">
          <w:rPr>
            <w:rStyle w:val="Collegamentoipertestuale"/>
            <w:rFonts w:ascii="Arial" w:hAnsi="Arial" w:cs="Arial"/>
            <w:sz w:val="20"/>
            <w:szCs w:val="20"/>
          </w:rPr>
          <w:t>Nota informativa</w:t>
        </w:r>
      </w:hyperlink>
      <w:r w:rsidR="00F21E70" w:rsidRPr="00222CB7">
        <w:rPr>
          <w:rFonts w:ascii="Arial" w:hAnsi="Arial" w:cs="Arial"/>
          <w:sz w:val="20"/>
          <w:szCs w:val="20"/>
        </w:rPr>
        <w:t xml:space="preserve"> sulla nuova base 2015</w:t>
      </w:r>
      <w:r w:rsidR="00F21E70">
        <w:rPr>
          <w:rFonts w:ascii="Arial" w:hAnsi="Arial" w:cs="Arial"/>
          <w:sz w:val="20"/>
          <w:szCs w:val="20"/>
        </w:rPr>
        <w:t xml:space="preserve"> degli indici dei prezzi all’import</w:t>
      </w:r>
      <w:r w:rsidR="00F21E70" w:rsidRPr="00222CB7">
        <w:rPr>
          <w:rFonts w:ascii="Arial" w:hAnsi="Arial" w:cs="Arial"/>
          <w:sz w:val="20"/>
          <w:szCs w:val="20"/>
        </w:rPr>
        <w:t>, del 17/05/2018.</w:t>
      </w:r>
    </w:p>
    <w:p w14:paraId="6794FA6F" w14:textId="77777777" w:rsidR="00F21E70" w:rsidRDefault="00BE250C" w:rsidP="00F21E70">
      <w:pPr>
        <w:numPr>
          <w:ilvl w:val="0"/>
          <w:numId w:val="36"/>
        </w:numPr>
        <w:spacing w:after="120"/>
        <w:ind w:left="284" w:hanging="284"/>
        <w:jc w:val="both"/>
        <w:rPr>
          <w:rFonts w:ascii="Arial" w:hAnsi="Arial" w:cs="Arial"/>
          <w:sz w:val="20"/>
          <w:szCs w:val="20"/>
        </w:rPr>
      </w:pPr>
      <w:hyperlink r:id="rId60" w:history="1">
        <w:r w:rsidR="00F21E70" w:rsidRPr="00DD73E1">
          <w:rPr>
            <w:rStyle w:val="Collegamentoipertestuale"/>
            <w:rFonts w:ascii="Arial" w:hAnsi="Arial" w:cs="Arial"/>
            <w:sz w:val="20"/>
            <w:szCs w:val="20"/>
          </w:rPr>
          <w:t>Nota informativa</w:t>
        </w:r>
      </w:hyperlink>
      <w:r w:rsidR="00F21E70" w:rsidRPr="00DD73E1">
        <w:rPr>
          <w:rFonts w:ascii="Arial" w:hAnsi="Arial" w:cs="Arial"/>
          <w:sz w:val="20"/>
          <w:szCs w:val="20"/>
        </w:rPr>
        <w:t xml:space="preserve"> sulla revisione dei dati di commercio estero per il periodo 2019, gennaio-maggio 2020.</w:t>
      </w:r>
    </w:p>
    <w:p w14:paraId="59586E02" w14:textId="77777777" w:rsidR="00F21E70" w:rsidRDefault="00BE250C" w:rsidP="00F21E70">
      <w:pPr>
        <w:numPr>
          <w:ilvl w:val="0"/>
          <w:numId w:val="36"/>
        </w:numPr>
        <w:spacing w:after="120"/>
        <w:ind w:left="284" w:hanging="284"/>
        <w:jc w:val="both"/>
        <w:rPr>
          <w:rFonts w:ascii="Arial" w:hAnsi="Arial" w:cs="Arial"/>
          <w:sz w:val="20"/>
          <w:szCs w:val="20"/>
        </w:rPr>
      </w:pPr>
      <w:hyperlink r:id="rId61" w:history="1">
        <w:r w:rsidR="00F21E70" w:rsidRPr="00DD3140">
          <w:rPr>
            <w:rStyle w:val="Collegamentoipertestuale"/>
            <w:rFonts w:ascii="Arial" w:hAnsi="Arial" w:cs="Arial"/>
            <w:sz w:val="20"/>
            <w:szCs w:val="20"/>
          </w:rPr>
          <w:t>Nota informativa</w:t>
        </w:r>
      </w:hyperlink>
      <w:r w:rsidR="00F21E70">
        <w:rPr>
          <w:rFonts w:ascii="Arial" w:hAnsi="Arial" w:cs="Arial"/>
          <w:sz w:val="20"/>
          <w:szCs w:val="20"/>
        </w:rPr>
        <w:t xml:space="preserve"> </w:t>
      </w:r>
      <w:r w:rsidR="00F21E70" w:rsidRPr="00A75BFB">
        <w:rPr>
          <w:rFonts w:ascii="Arial" w:hAnsi="Arial" w:cs="Arial"/>
          <w:sz w:val="20"/>
          <w:szCs w:val="20"/>
        </w:rPr>
        <w:t>sul passaggio da indici a base fissa a indici concatenati per i prezzi all’import</w:t>
      </w:r>
      <w:r w:rsidR="00F21E70" w:rsidRPr="00222CB7">
        <w:rPr>
          <w:rFonts w:ascii="Arial" w:hAnsi="Arial" w:cs="Arial"/>
          <w:sz w:val="20"/>
          <w:szCs w:val="20"/>
        </w:rPr>
        <w:t xml:space="preserve">, del </w:t>
      </w:r>
      <w:r w:rsidR="00F21E70">
        <w:rPr>
          <w:rFonts w:ascii="Arial" w:hAnsi="Arial" w:cs="Arial"/>
          <w:sz w:val="20"/>
          <w:szCs w:val="20"/>
        </w:rPr>
        <w:t>20/04/2022</w:t>
      </w:r>
      <w:r w:rsidR="00F21E70" w:rsidRPr="00222CB7">
        <w:rPr>
          <w:rFonts w:ascii="Arial" w:hAnsi="Arial" w:cs="Arial"/>
          <w:sz w:val="20"/>
          <w:szCs w:val="20"/>
        </w:rPr>
        <w:t>.</w:t>
      </w:r>
    </w:p>
    <w:p w14:paraId="30811BF8" w14:textId="77777777" w:rsidR="00AA206D" w:rsidRPr="00222CB7" w:rsidRDefault="00BE250C" w:rsidP="00F21E70">
      <w:pPr>
        <w:numPr>
          <w:ilvl w:val="0"/>
          <w:numId w:val="36"/>
        </w:numPr>
        <w:spacing w:after="120"/>
        <w:ind w:left="284" w:hanging="284"/>
        <w:jc w:val="both"/>
        <w:rPr>
          <w:rFonts w:ascii="Arial" w:hAnsi="Arial" w:cs="Arial"/>
          <w:sz w:val="20"/>
          <w:szCs w:val="20"/>
        </w:rPr>
      </w:pPr>
      <w:hyperlink r:id="rId62" w:history="1">
        <w:r w:rsidR="00AA206D" w:rsidRPr="00FF3A5E">
          <w:rPr>
            <w:rStyle w:val="Collegamentoipertestuale"/>
            <w:rFonts w:ascii="Arial" w:hAnsi="Arial" w:cs="Arial"/>
            <w:sz w:val="20"/>
            <w:szCs w:val="20"/>
          </w:rPr>
          <w:t>Nota informativa</w:t>
        </w:r>
      </w:hyperlink>
      <w:r w:rsidR="00AA206D">
        <w:rPr>
          <w:rFonts w:ascii="Arial" w:hAnsi="Arial" w:cs="Arial"/>
          <w:sz w:val="20"/>
          <w:szCs w:val="20"/>
        </w:rPr>
        <w:t xml:space="preserve"> </w:t>
      </w:r>
      <w:r w:rsidR="00A360E9">
        <w:rPr>
          <w:rFonts w:ascii="Arial" w:hAnsi="Arial" w:cs="Arial"/>
          <w:sz w:val="20"/>
          <w:szCs w:val="20"/>
        </w:rPr>
        <w:t>sulla b</w:t>
      </w:r>
      <w:r w:rsidR="00A360E9" w:rsidRPr="00A360E9">
        <w:rPr>
          <w:rFonts w:ascii="Arial" w:hAnsi="Arial" w:cs="Arial"/>
          <w:sz w:val="20"/>
          <w:szCs w:val="20"/>
        </w:rPr>
        <w:t xml:space="preserve">ase di calcolo </w:t>
      </w:r>
      <w:r w:rsidR="00A360E9">
        <w:rPr>
          <w:rFonts w:ascii="Arial" w:hAnsi="Arial" w:cs="Arial"/>
          <w:sz w:val="20"/>
          <w:szCs w:val="20"/>
        </w:rPr>
        <w:t>d</w:t>
      </w:r>
      <w:r w:rsidR="00A360E9" w:rsidRPr="00A360E9">
        <w:rPr>
          <w:rFonts w:ascii="Arial" w:hAnsi="Arial" w:cs="Arial"/>
          <w:sz w:val="20"/>
          <w:szCs w:val="20"/>
        </w:rPr>
        <w:t>icembre 2022</w:t>
      </w:r>
      <w:r w:rsidR="00A360E9">
        <w:rPr>
          <w:rFonts w:ascii="Arial" w:hAnsi="Arial" w:cs="Arial"/>
          <w:sz w:val="20"/>
          <w:szCs w:val="20"/>
        </w:rPr>
        <w:t xml:space="preserve"> degli indici dei prezzi all’import, del 18 aprile 2023.</w:t>
      </w:r>
    </w:p>
    <w:p w14:paraId="52787F57" w14:textId="77777777" w:rsidR="001C0874" w:rsidRDefault="001C0874" w:rsidP="00220D58">
      <w:pPr>
        <w:pStyle w:val="NormaleWeb"/>
        <w:spacing w:before="120" w:beforeAutospacing="0" w:after="120" w:afterAutospacing="0"/>
        <w:rPr>
          <w:rFonts w:ascii="Arial" w:hAnsi="Arial" w:cs="Arial"/>
          <w:bCs/>
          <w:color w:val="CD242F"/>
          <w:sz w:val="36"/>
          <w:szCs w:val="36"/>
        </w:rPr>
      </w:pPr>
    </w:p>
    <w:p w14:paraId="57052534" w14:textId="77777777" w:rsidR="001C0874" w:rsidRDefault="001C0874" w:rsidP="00220D58">
      <w:pPr>
        <w:pStyle w:val="NormaleWeb"/>
        <w:spacing w:before="120" w:beforeAutospacing="0" w:after="120" w:afterAutospacing="0"/>
        <w:rPr>
          <w:rFonts w:ascii="Arial" w:hAnsi="Arial" w:cs="Arial"/>
          <w:bCs/>
          <w:color w:val="CD242F"/>
          <w:sz w:val="36"/>
          <w:szCs w:val="36"/>
        </w:rPr>
      </w:pPr>
    </w:p>
    <w:p w14:paraId="33D8A5CF" w14:textId="77777777" w:rsidR="001C0874" w:rsidRDefault="001C0874" w:rsidP="00220D58">
      <w:pPr>
        <w:pStyle w:val="NormaleWeb"/>
        <w:spacing w:before="120" w:beforeAutospacing="0" w:after="120" w:afterAutospacing="0"/>
        <w:rPr>
          <w:rFonts w:ascii="Arial" w:hAnsi="Arial" w:cs="Arial"/>
          <w:bCs/>
          <w:color w:val="CD242F"/>
          <w:sz w:val="36"/>
          <w:szCs w:val="36"/>
        </w:rPr>
      </w:pPr>
    </w:p>
    <w:p w14:paraId="6665833A" w14:textId="77777777" w:rsidR="001C0874" w:rsidRDefault="001C0874" w:rsidP="00220D58">
      <w:pPr>
        <w:pStyle w:val="NormaleWeb"/>
        <w:spacing w:before="120" w:beforeAutospacing="0" w:after="120" w:afterAutospacing="0"/>
        <w:rPr>
          <w:rFonts w:ascii="Arial" w:hAnsi="Arial" w:cs="Arial"/>
          <w:bCs/>
          <w:color w:val="CD242F"/>
          <w:sz w:val="36"/>
          <w:szCs w:val="36"/>
        </w:rPr>
      </w:pPr>
    </w:p>
    <w:p w14:paraId="06E2708F" w14:textId="77777777" w:rsidR="001C0874" w:rsidRDefault="001C0874" w:rsidP="00220D58">
      <w:pPr>
        <w:pStyle w:val="NormaleWeb"/>
        <w:spacing w:before="120" w:beforeAutospacing="0" w:after="120" w:afterAutospacing="0"/>
        <w:rPr>
          <w:rFonts w:ascii="Arial" w:hAnsi="Arial" w:cs="Arial"/>
          <w:bCs/>
          <w:color w:val="CD242F"/>
          <w:sz w:val="36"/>
          <w:szCs w:val="36"/>
        </w:rPr>
      </w:pPr>
    </w:p>
    <w:p w14:paraId="558B37E4" w14:textId="77777777" w:rsidR="001C0874" w:rsidRDefault="001C0874" w:rsidP="00220D58">
      <w:pPr>
        <w:pStyle w:val="NormaleWeb"/>
        <w:spacing w:before="120" w:beforeAutospacing="0" w:after="120" w:afterAutospacing="0"/>
        <w:rPr>
          <w:rFonts w:ascii="Arial" w:hAnsi="Arial" w:cs="Arial"/>
          <w:bCs/>
          <w:color w:val="CD242F"/>
          <w:sz w:val="36"/>
          <w:szCs w:val="36"/>
        </w:rPr>
      </w:pPr>
    </w:p>
    <w:p w14:paraId="01B8D69B" w14:textId="77777777" w:rsidR="001C0874" w:rsidRDefault="001C0874" w:rsidP="00220D58">
      <w:pPr>
        <w:pStyle w:val="NormaleWeb"/>
        <w:spacing w:before="120" w:beforeAutospacing="0" w:after="120" w:afterAutospacing="0"/>
        <w:rPr>
          <w:rFonts w:ascii="Arial" w:hAnsi="Arial" w:cs="Arial"/>
          <w:bCs/>
          <w:color w:val="CD242F"/>
          <w:sz w:val="36"/>
          <w:szCs w:val="36"/>
        </w:rPr>
      </w:pPr>
    </w:p>
    <w:p w14:paraId="5A019707" w14:textId="77777777" w:rsidR="001C0874" w:rsidRDefault="001C0874" w:rsidP="00220D58">
      <w:pPr>
        <w:pStyle w:val="NormaleWeb"/>
        <w:spacing w:before="120" w:beforeAutospacing="0" w:after="120" w:afterAutospacing="0"/>
        <w:rPr>
          <w:rFonts w:ascii="Arial" w:hAnsi="Arial" w:cs="Arial"/>
          <w:bCs/>
          <w:color w:val="CD242F"/>
          <w:sz w:val="36"/>
          <w:szCs w:val="36"/>
        </w:rPr>
      </w:pPr>
    </w:p>
    <w:p w14:paraId="0F6C2BDD" w14:textId="77777777" w:rsidR="001C0874" w:rsidRDefault="001C0874" w:rsidP="00220D58">
      <w:pPr>
        <w:pStyle w:val="NormaleWeb"/>
        <w:spacing w:before="120" w:beforeAutospacing="0" w:after="120" w:afterAutospacing="0"/>
        <w:rPr>
          <w:rFonts w:ascii="Arial" w:hAnsi="Arial" w:cs="Arial"/>
          <w:bCs/>
          <w:color w:val="CD242F"/>
          <w:sz w:val="36"/>
          <w:szCs w:val="36"/>
        </w:rPr>
      </w:pPr>
    </w:p>
    <w:p w14:paraId="783C5693" w14:textId="77777777" w:rsidR="001C0874" w:rsidRDefault="001C0874" w:rsidP="00220D58">
      <w:pPr>
        <w:pStyle w:val="NormaleWeb"/>
        <w:spacing w:before="120" w:beforeAutospacing="0" w:after="120" w:afterAutospacing="0"/>
        <w:rPr>
          <w:rFonts w:ascii="Arial" w:hAnsi="Arial" w:cs="Arial"/>
          <w:bCs/>
          <w:color w:val="CD242F"/>
          <w:sz w:val="36"/>
          <w:szCs w:val="36"/>
        </w:rPr>
      </w:pPr>
    </w:p>
    <w:p w14:paraId="19D9E53C" w14:textId="4A7EA993" w:rsidR="00501E02" w:rsidRPr="002300D8" w:rsidRDefault="00501E02" w:rsidP="00220D58">
      <w:pPr>
        <w:pStyle w:val="NormaleWeb"/>
        <w:spacing w:before="120" w:beforeAutospacing="0" w:after="120" w:afterAutospacing="0"/>
        <w:rPr>
          <w:rFonts w:ascii="Arial" w:hAnsi="Arial" w:cs="Arial"/>
          <w:color w:val="CD242F"/>
          <w:sz w:val="36"/>
          <w:szCs w:val="36"/>
        </w:rPr>
      </w:pPr>
      <w:r w:rsidRPr="002300D8">
        <w:rPr>
          <w:rFonts w:ascii="Arial" w:hAnsi="Arial" w:cs="Arial"/>
          <w:bCs/>
          <w:color w:val="CD242F"/>
          <w:sz w:val="36"/>
          <w:szCs w:val="36"/>
        </w:rPr>
        <w:t>Per chiarimenti tecnici e metodologici</w:t>
      </w:r>
    </w:p>
    <w:tbl>
      <w:tblPr>
        <w:tblW w:w="9814" w:type="dxa"/>
        <w:tblBorders>
          <w:top w:val="dotted" w:sz="4" w:space="0" w:color="808080"/>
        </w:tblBorders>
        <w:tblLook w:val="04A0" w:firstRow="1" w:lastRow="0" w:firstColumn="1" w:lastColumn="0" w:noHBand="0" w:noVBand="1"/>
      </w:tblPr>
      <w:tblGrid>
        <w:gridCol w:w="2835"/>
        <w:gridCol w:w="6979"/>
      </w:tblGrid>
      <w:tr w:rsidR="00501E02" w:rsidRPr="00E655EB" w14:paraId="3332DD43" w14:textId="77777777" w:rsidTr="002C489F">
        <w:trPr>
          <w:trHeight w:val="166"/>
        </w:trPr>
        <w:tc>
          <w:tcPr>
            <w:tcW w:w="9814" w:type="dxa"/>
            <w:gridSpan w:val="2"/>
            <w:shd w:val="clear" w:color="auto" w:fill="auto"/>
            <w:tcMar>
              <w:top w:w="170" w:type="dxa"/>
              <w:left w:w="0" w:type="dxa"/>
              <w:right w:w="0" w:type="dxa"/>
            </w:tcMar>
          </w:tcPr>
          <w:p w14:paraId="573BFBAC" w14:textId="77777777" w:rsidR="00501E02" w:rsidRPr="00E30D50" w:rsidRDefault="00501E02" w:rsidP="002C489F">
            <w:pPr>
              <w:pStyle w:val="NormaleWeb"/>
              <w:rPr>
                <w:rFonts w:ascii="Arial" w:hAnsi="Arial" w:cs="Arial"/>
                <w:b/>
              </w:rPr>
            </w:pPr>
            <w:r w:rsidRPr="00E30D50">
              <w:rPr>
                <w:rFonts w:ascii="Arial" w:hAnsi="Arial" w:cs="Arial"/>
                <w:b/>
                <w:bCs/>
              </w:rPr>
              <w:t>Commercio con l’estero</w:t>
            </w:r>
          </w:p>
        </w:tc>
      </w:tr>
      <w:tr w:rsidR="00501E02" w:rsidRPr="00075400" w14:paraId="3F921051" w14:textId="77777777" w:rsidTr="002C489F">
        <w:trPr>
          <w:trHeight w:val="1134"/>
        </w:trPr>
        <w:tc>
          <w:tcPr>
            <w:tcW w:w="2835" w:type="dxa"/>
            <w:shd w:val="clear" w:color="auto" w:fill="auto"/>
            <w:tcMar>
              <w:top w:w="170" w:type="dxa"/>
              <w:left w:w="0" w:type="dxa"/>
              <w:right w:w="0" w:type="dxa"/>
            </w:tcMar>
          </w:tcPr>
          <w:p w14:paraId="415F1CC5" w14:textId="77777777" w:rsidR="00501E02" w:rsidRPr="00E655EB" w:rsidRDefault="00501E02" w:rsidP="002C489F">
            <w:pPr>
              <w:pStyle w:val="NormaleWeb"/>
              <w:spacing w:beforeAutospacing="0" w:after="120" w:afterAutospacing="0"/>
              <w:rPr>
                <w:rFonts w:ascii="Arial" w:hAnsi="Arial" w:cs="Arial"/>
                <w:b/>
                <w:bCs/>
                <w:color w:val="CD242F"/>
                <w:sz w:val="22"/>
                <w:szCs w:val="22"/>
              </w:rPr>
            </w:pPr>
            <w:r>
              <w:rPr>
                <w:rFonts w:ascii="Arial" w:hAnsi="Arial" w:cs="Arial"/>
                <w:b/>
                <w:bCs/>
                <w:color w:val="CD242F"/>
                <w:sz w:val="22"/>
                <w:szCs w:val="22"/>
              </w:rPr>
              <w:t>Maria Serena Causo</w:t>
            </w:r>
          </w:p>
          <w:p w14:paraId="78DF8BB4" w14:textId="77777777" w:rsidR="00501E02" w:rsidRPr="00E655EB" w:rsidRDefault="00501E02" w:rsidP="002C489F">
            <w:pPr>
              <w:pStyle w:val="NormaleWeb"/>
              <w:spacing w:beforeAutospacing="0" w:afterAutospacing="0"/>
              <w:rPr>
                <w:rFonts w:ascii="Arial" w:hAnsi="Arial" w:cs="Arial"/>
                <w:color w:val="000000"/>
              </w:rPr>
            </w:pPr>
            <w:r w:rsidRPr="00E655EB">
              <w:rPr>
                <w:rFonts w:ascii="Arial" w:hAnsi="Arial" w:cs="Arial"/>
                <w:color w:val="000000"/>
              </w:rPr>
              <w:t>tel.</w:t>
            </w:r>
            <w:r>
              <w:rPr>
                <w:rFonts w:ascii="Arial" w:hAnsi="Arial" w:cs="Arial"/>
                <w:color w:val="000000"/>
              </w:rPr>
              <w:t xml:space="preserve"> +39 </w:t>
            </w:r>
            <w:r w:rsidRPr="00E655EB">
              <w:rPr>
                <w:rFonts w:ascii="Arial" w:hAnsi="Arial" w:cs="Arial"/>
                <w:color w:val="000000"/>
              </w:rPr>
              <w:t>06 4673.</w:t>
            </w:r>
            <w:r>
              <w:rPr>
                <w:rFonts w:ascii="Arial" w:hAnsi="Arial" w:cs="Arial"/>
                <w:color w:val="000000"/>
              </w:rPr>
              <w:t>6651</w:t>
            </w:r>
          </w:p>
          <w:p w14:paraId="32FF65F0" w14:textId="77777777" w:rsidR="00501E02" w:rsidRPr="00E655EB" w:rsidRDefault="00BE250C" w:rsidP="002C489F">
            <w:pPr>
              <w:pStyle w:val="NormaleWeb"/>
              <w:spacing w:beforeAutospacing="0" w:after="120" w:afterAutospacing="0"/>
              <w:rPr>
                <w:rFonts w:ascii="Arial" w:hAnsi="Arial" w:cs="Arial"/>
                <w:color w:val="000000"/>
              </w:rPr>
            </w:pPr>
            <w:hyperlink r:id="rId63" w:history="1">
              <w:r w:rsidR="00501E02" w:rsidRPr="003E2D10">
                <w:rPr>
                  <w:rStyle w:val="Collegamentoipertestuale"/>
                  <w:rFonts w:ascii="Arial" w:hAnsi="Arial" w:cs="Arial"/>
                </w:rPr>
                <w:t>causo@istat.it</w:t>
              </w:r>
            </w:hyperlink>
          </w:p>
        </w:tc>
        <w:tc>
          <w:tcPr>
            <w:tcW w:w="6979" w:type="dxa"/>
            <w:shd w:val="clear" w:color="auto" w:fill="auto"/>
            <w:tcMar>
              <w:top w:w="170" w:type="dxa"/>
              <w:left w:w="0" w:type="dxa"/>
              <w:right w:w="0" w:type="dxa"/>
            </w:tcMar>
          </w:tcPr>
          <w:p w14:paraId="0AF6713F" w14:textId="77777777" w:rsidR="00501E02" w:rsidRPr="00E655EB" w:rsidRDefault="00154152" w:rsidP="002C489F">
            <w:pPr>
              <w:pStyle w:val="NormaleWeb"/>
              <w:spacing w:beforeAutospacing="0" w:after="120" w:afterAutospacing="0"/>
              <w:rPr>
                <w:rFonts w:ascii="Arial" w:hAnsi="Arial" w:cs="Arial"/>
                <w:color w:val="CD242F"/>
              </w:rPr>
            </w:pPr>
            <w:r>
              <w:rPr>
                <w:rFonts w:ascii="Arial" w:hAnsi="Arial" w:cs="Arial"/>
                <w:b/>
                <w:bCs/>
                <w:color w:val="CD242F"/>
                <w:sz w:val="22"/>
                <w:szCs w:val="22"/>
              </w:rPr>
              <w:t>Cristina Lanzi</w:t>
            </w:r>
          </w:p>
          <w:p w14:paraId="2B63352F" w14:textId="77777777" w:rsidR="00501E02" w:rsidRPr="009211C5" w:rsidRDefault="00501E02" w:rsidP="00075400">
            <w:pPr>
              <w:pStyle w:val="NormaleWeb"/>
              <w:spacing w:beforeAutospacing="0" w:after="120" w:afterAutospacing="0"/>
              <w:rPr>
                <w:rFonts w:ascii="Arial" w:hAnsi="Arial" w:cs="Arial"/>
              </w:rPr>
            </w:pPr>
            <w:r w:rsidRPr="009211C5">
              <w:rPr>
                <w:rFonts w:ascii="Arial" w:hAnsi="Arial" w:cs="Arial"/>
                <w:color w:val="000000"/>
              </w:rPr>
              <w:t>tel. +39 06 4673.6</w:t>
            </w:r>
            <w:r w:rsidR="00154152" w:rsidRPr="009211C5">
              <w:rPr>
                <w:rFonts w:ascii="Arial" w:hAnsi="Arial" w:cs="Arial"/>
                <w:color w:val="000000"/>
              </w:rPr>
              <w:t>688</w:t>
            </w:r>
            <w:r w:rsidRPr="009211C5">
              <w:rPr>
                <w:rFonts w:ascii="Arial" w:hAnsi="Arial" w:cs="Arial"/>
                <w:color w:val="000000"/>
              </w:rPr>
              <w:br/>
            </w:r>
            <w:hyperlink r:id="rId64" w:history="1">
              <w:r w:rsidR="00075400" w:rsidRPr="009211C5">
                <w:rPr>
                  <w:rStyle w:val="Collegamentoipertestuale"/>
                  <w:rFonts w:ascii="Arial" w:hAnsi="Arial" w:cs="Arial"/>
                </w:rPr>
                <w:t>crlanzi@istat.it</w:t>
              </w:r>
            </w:hyperlink>
          </w:p>
          <w:p w14:paraId="17FC27DD" w14:textId="77777777" w:rsidR="00075400" w:rsidRPr="009211C5" w:rsidRDefault="00075400" w:rsidP="00075400">
            <w:pPr>
              <w:pStyle w:val="NormaleWeb"/>
              <w:spacing w:beforeAutospacing="0" w:after="120" w:afterAutospacing="0"/>
              <w:rPr>
                <w:rFonts w:ascii="Arial" w:hAnsi="Arial" w:cs="Arial"/>
                <w:color w:val="000000"/>
              </w:rPr>
            </w:pPr>
          </w:p>
        </w:tc>
      </w:tr>
      <w:tr w:rsidR="00501E02" w:rsidRPr="00E655EB" w14:paraId="5956EE71" w14:textId="77777777" w:rsidTr="002C489F">
        <w:trPr>
          <w:trHeight w:val="294"/>
        </w:trPr>
        <w:tc>
          <w:tcPr>
            <w:tcW w:w="9814" w:type="dxa"/>
            <w:gridSpan w:val="2"/>
            <w:shd w:val="clear" w:color="auto" w:fill="auto"/>
            <w:tcMar>
              <w:top w:w="170" w:type="dxa"/>
              <w:left w:w="0" w:type="dxa"/>
              <w:right w:w="0" w:type="dxa"/>
            </w:tcMar>
          </w:tcPr>
          <w:p w14:paraId="6188D4C2" w14:textId="77777777" w:rsidR="00501E02" w:rsidRPr="00E30D50" w:rsidRDefault="00501E02" w:rsidP="002C489F">
            <w:pPr>
              <w:pStyle w:val="NormaleWeb"/>
              <w:rPr>
                <w:rFonts w:ascii="Arial" w:hAnsi="Arial" w:cs="Arial"/>
                <w:b/>
                <w:bCs/>
                <w:sz w:val="22"/>
                <w:szCs w:val="22"/>
              </w:rPr>
            </w:pPr>
            <w:r w:rsidRPr="00E30D50">
              <w:rPr>
                <w:rFonts w:ascii="Arial" w:hAnsi="Arial" w:cs="Arial"/>
                <w:b/>
                <w:bCs/>
              </w:rPr>
              <w:t>Prezzi all’import</w:t>
            </w:r>
          </w:p>
        </w:tc>
      </w:tr>
      <w:tr w:rsidR="00501E02" w14:paraId="4F32FFF9" w14:textId="77777777" w:rsidTr="002C489F">
        <w:trPr>
          <w:trHeight w:val="1134"/>
        </w:trPr>
        <w:tc>
          <w:tcPr>
            <w:tcW w:w="2835" w:type="dxa"/>
            <w:tcBorders>
              <w:top w:val="dotted" w:sz="4" w:space="0" w:color="808080"/>
              <w:left w:val="nil"/>
              <w:bottom w:val="nil"/>
              <w:right w:val="nil"/>
            </w:tcBorders>
            <w:tcMar>
              <w:top w:w="170" w:type="dxa"/>
              <w:left w:w="0" w:type="dxa"/>
              <w:bottom w:w="0" w:type="dxa"/>
              <w:right w:w="0" w:type="dxa"/>
            </w:tcMar>
            <w:hideMark/>
          </w:tcPr>
          <w:p w14:paraId="77064854" w14:textId="77777777" w:rsidR="00501E02" w:rsidRDefault="00501E02" w:rsidP="002C489F">
            <w:pPr>
              <w:pStyle w:val="NormaleWeb"/>
              <w:spacing w:beforeAutospacing="0" w:afterAutospacing="0" w:line="276" w:lineRule="auto"/>
              <w:rPr>
                <w:rFonts w:ascii="Arial" w:hAnsi="Arial" w:cs="Arial"/>
                <w:b/>
                <w:bCs/>
                <w:color w:val="CD242F"/>
                <w:sz w:val="22"/>
                <w:szCs w:val="22"/>
                <w:lang w:eastAsia="en-US"/>
              </w:rPr>
            </w:pPr>
            <w:r>
              <w:rPr>
                <w:rFonts w:ascii="Arial" w:hAnsi="Arial" w:cs="Arial"/>
                <w:b/>
                <w:bCs/>
                <w:color w:val="CD242F"/>
                <w:sz w:val="22"/>
                <w:szCs w:val="22"/>
                <w:lang w:eastAsia="en-US"/>
              </w:rPr>
              <w:t>Em</w:t>
            </w:r>
            <w:r w:rsidR="0079370D">
              <w:rPr>
                <w:rFonts w:ascii="Arial" w:hAnsi="Arial" w:cs="Arial"/>
                <w:b/>
                <w:bCs/>
                <w:color w:val="CD242F"/>
                <w:sz w:val="22"/>
                <w:szCs w:val="22"/>
                <w:lang w:eastAsia="en-US"/>
              </w:rPr>
              <w:t>anuela</w:t>
            </w:r>
            <w:r>
              <w:rPr>
                <w:rFonts w:ascii="Arial" w:hAnsi="Arial" w:cs="Arial"/>
                <w:b/>
                <w:bCs/>
                <w:color w:val="CD242F"/>
                <w:sz w:val="22"/>
                <w:szCs w:val="22"/>
                <w:lang w:eastAsia="en-US"/>
              </w:rPr>
              <w:t xml:space="preserve"> </w:t>
            </w:r>
            <w:r w:rsidR="0079370D">
              <w:rPr>
                <w:rFonts w:ascii="Arial" w:hAnsi="Arial" w:cs="Arial"/>
                <w:b/>
                <w:bCs/>
                <w:color w:val="CD242F"/>
                <w:sz w:val="22"/>
                <w:szCs w:val="22"/>
                <w:lang w:eastAsia="en-US"/>
              </w:rPr>
              <w:t>Valci</w:t>
            </w:r>
          </w:p>
          <w:p w14:paraId="4711B234" w14:textId="77777777" w:rsidR="00501E02" w:rsidRDefault="00501E02" w:rsidP="002C489F">
            <w:pPr>
              <w:pStyle w:val="NormaleWeb"/>
              <w:spacing w:beforeAutospacing="0" w:afterAutospacing="0" w:line="276" w:lineRule="auto"/>
              <w:rPr>
                <w:rFonts w:ascii="Arial" w:hAnsi="Arial" w:cs="Arial"/>
                <w:color w:val="000000"/>
                <w:lang w:eastAsia="en-US"/>
              </w:rPr>
            </w:pPr>
            <w:r>
              <w:rPr>
                <w:rFonts w:ascii="Arial" w:hAnsi="Arial" w:cs="Arial"/>
                <w:color w:val="000000"/>
                <w:lang w:eastAsia="en-US"/>
              </w:rPr>
              <w:t>tel. +39 06 4673.6</w:t>
            </w:r>
            <w:r w:rsidR="0079370D">
              <w:rPr>
                <w:rFonts w:ascii="Arial" w:hAnsi="Arial" w:cs="Arial"/>
                <w:color w:val="000000"/>
                <w:lang w:eastAsia="en-US"/>
              </w:rPr>
              <w:t>206</w:t>
            </w:r>
          </w:p>
          <w:p w14:paraId="0CEE601E" w14:textId="77777777" w:rsidR="00501E02" w:rsidRDefault="00BE250C" w:rsidP="0079370D">
            <w:pPr>
              <w:pStyle w:val="NormaleWeb"/>
              <w:spacing w:beforeAutospacing="0" w:afterAutospacing="0" w:line="276" w:lineRule="auto"/>
              <w:rPr>
                <w:rFonts w:ascii="Arial" w:hAnsi="Arial" w:cs="Arial"/>
                <w:b/>
                <w:bCs/>
                <w:color w:val="CD242F"/>
                <w:sz w:val="22"/>
                <w:szCs w:val="22"/>
                <w:lang w:eastAsia="en-US"/>
              </w:rPr>
            </w:pPr>
            <w:hyperlink r:id="rId65" w:history="1">
              <w:r w:rsidR="0079370D" w:rsidRPr="00B7769D">
                <w:rPr>
                  <w:rStyle w:val="Collegamentoipertestuale"/>
                  <w:rFonts w:ascii="Arial" w:hAnsi="Arial" w:cs="Arial"/>
                  <w:lang w:eastAsia="en-US"/>
                </w:rPr>
                <w:t>valci@istat.it</w:t>
              </w:r>
            </w:hyperlink>
          </w:p>
        </w:tc>
        <w:tc>
          <w:tcPr>
            <w:tcW w:w="6979" w:type="dxa"/>
            <w:tcBorders>
              <w:top w:val="dotted" w:sz="4" w:space="0" w:color="808080"/>
              <w:left w:val="nil"/>
              <w:bottom w:val="nil"/>
              <w:right w:val="nil"/>
            </w:tcBorders>
            <w:tcMar>
              <w:top w:w="170" w:type="dxa"/>
              <w:left w:w="0" w:type="dxa"/>
              <w:bottom w:w="0" w:type="dxa"/>
              <w:right w:w="0" w:type="dxa"/>
            </w:tcMar>
            <w:hideMark/>
          </w:tcPr>
          <w:p w14:paraId="2FEA0F9A" w14:textId="77777777" w:rsidR="00501E02" w:rsidRDefault="00501E02" w:rsidP="002C489F">
            <w:pPr>
              <w:pStyle w:val="NormaleWeb"/>
              <w:spacing w:beforeAutospacing="0" w:afterAutospacing="0" w:line="276" w:lineRule="auto"/>
              <w:rPr>
                <w:rFonts w:ascii="Arial" w:hAnsi="Arial" w:cs="Arial"/>
                <w:b/>
                <w:bCs/>
                <w:color w:val="CD242F"/>
                <w:sz w:val="22"/>
                <w:szCs w:val="22"/>
                <w:lang w:eastAsia="en-US"/>
              </w:rPr>
            </w:pPr>
            <w:r>
              <w:rPr>
                <w:rFonts w:ascii="Arial" w:hAnsi="Arial" w:cs="Arial"/>
                <w:b/>
                <w:bCs/>
                <w:color w:val="CD242F"/>
                <w:sz w:val="22"/>
                <w:szCs w:val="22"/>
                <w:lang w:eastAsia="en-US"/>
              </w:rPr>
              <w:t>Lorenzo D’Orazio</w:t>
            </w:r>
          </w:p>
          <w:p w14:paraId="41656355" w14:textId="77777777" w:rsidR="00501E02" w:rsidRDefault="00501E02" w:rsidP="002C489F">
            <w:pPr>
              <w:pStyle w:val="NormaleWeb"/>
              <w:spacing w:beforeAutospacing="0" w:afterAutospacing="0" w:line="276" w:lineRule="auto"/>
              <w:rPr>
                <w:rFonts w:ascii="Arial" w:hAnsi="Arial" w:cs="Arial"/>
                <w:color w:val="000000"/>
                <w:lang w:eastAsia="en-US"/>
              </w:rPr>
            </w:pPr>
            <w:r>
              <w:rPr>
                <w:rFonts w:ascii="Arial" w:hAnsi="Arial" w:cs="Arial"/>
                <w:color w:val="000000"/>
                <w:lang w:eastAsia="en-US"/>
              </w:rPr>
              <w:t>tel. +39 06 4673.6281</w:t>
            </w:r>
          </w:p>
          <w:p w14:paraId="69A08C4B" w14:textId="77777777" w:rsidR="00501E02" w:rsidRDefault="00BE250C" w:rsidP="002C489F">
            <w:pPr>
              <w:pStyle w:val="NormaleWeb"/>
              <w:spacing w:beforeAutospacing="0" w:afterAutospacing="0" w:line="276" w:lineRule="auto"/>
              <w:rPr>
                <w:rFonts w:ascii="Arial" w:hAnsi="Arial" w:cs="Arial"/>
                <w:b/>
                <w:bCs/>
                <w:color w:val="CD242F"/>
                <w:sz w:val="22"/>
                <w:szCs w:val="22"/>
                <w:lang w:eastAsia="en-US"/>
              </w:rPr>
            </w:pPr>
            <w:hyperlink r:id="rId66" w:history="1">
              <w:r w:rsidR="00501E02" w:rsidRPr="00B86CCC">
                <w:rPr>
                  <w:rStyle w:val="Collegamentoipertestuale"/>
                  <w:rFonts w:ascii="Arial" w:hAnsi="Arial" w:cs="Arial"/>
                  <w:lang w:eastAsia="en-US"/>
                </w:rPr>
                <w:t>lodorazi@istat.it</w:t>
              </w:r>
            </w:hyperlink>
          </w:p>
        </w:tc>
      </w:tr>
    </w:tbl>
    <w:p w14:paraId="7292CE6B" w14:textId="3F370B17" w:rsidR="00257DC4" w:rsidRPr="00397FAC" w:rsidRDefault="00257DC4" w:rsidP="00257DC4">
      <w:pPr>
        <w:spacing w:after="120"/>
        <w:rPr>
          <w:rFonts w:ascii="Arial" w:hAnsi="Arial" w:cs="Arial"/>
          <w:b/>
          <w:szCs w:val="28"/>
        </w:rPr>
      </w:pPr>
    </w:p>
    <w:sectPr w:rsidR="00257DC4" w:rsidRPr="00397FAC" w:rsidSect="00B81D29">
      <w:headerReference w:type="default" r:id="rId67"/>
      <w:pgSz w:w="11907" w:h="16840" w:code="9"/>
      <w:pgMar w:top="1534" w:right="851" w:bottom="680" w:left="851" w:header="567" w:footer="567"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0F7564" w14:textId="77777777" w:rsidR="00BE250C" w:rsidRDefault="00BE250C">
      <w:r>
        <w:separator/>
      </w:r>
    </w:p>
  </w:endnote>
  <w:endnote w:type="continuationSeparator" w:id="0">
    <w:p w14:paraId="128B7AF0" w14:textId="77777777" w:rsidR="00BE250C" w:rsidRDefault="00BE2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F3083" w14:textId="505EEBD7" w:rsidR="00731071" w:rsidRPr="002548DD" w:rsidRDefault="00731071" w:rsidP="002548DD">
    <w:pPr>
      <w:pStyle w:val="Pidipagina"/>
      <w:ind w:left="1560"/>
      <w:rPr>
        <w:rFonts w:ascii="Calibri" w:hAnsi="Calibri"/>
      </w:rPr>
    </w:pPr>
    <w:r w:rsidRPr="00AA5409">
      <w:rPr>
        <w:rFonts w:ascii="Calibri" w:hAnsi="Calibri"/>
        <w:b/>
        <w:noProof/>
        <w:color w:val="E42618"/>
        <w:szCs w:val="28"/>
      </w:rPr>
      <w:drawing>
        <wp:anchor distT="0" distB="0" distL="114300" distR="114300" simplePos="0" relativeHeight="251656192" behindDoc="0" locked="0" layoutInCell="1" allowOverlap="1" wp14:anchorId="1F9E12C4" wp14:editId="0E429F61">
          <wp:simplePos x="0" y="0"/>
          <wp:positionH relativeFrom="column">
            <wp:posOffset>13335</wp:posOffset>
          </wp:positionH>
          <wp:positionV relativeFrom="paragraph">
            <wp:posOffset>-50800</wp:posOffset>
          </wp:positionV>
          <wp:extent cx="943610" cy="390525"/>
          <wp:effectExtent l="0" t="0" r="0" b="0"/>
          <wp:wrapNone/>
          <wp:docPr id="11" name="Immagine 8" descr="Descrizione: Logo a 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Descrizione: Logo a colo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610" cy="390525"/>
                  </a:xfrm>
                  <a:prstGeom prst="rect">
                    <a:avLst/>
                  </a:prstGeom>
                  <a:noFill/>
                </pic:spPr>
              </pic:pic>
            </a:graphicData>
          </a:graphic>
        </wp:anchor>
      </w:drawing>
    </w:r>
    <w:r w:rsidRPr="00AA5409">
      <w:rPr>
        <w:rStyle w:val="Numeropagina"/>
        <w:rFonts w:ascii="Calibri" w:hAnsi="Calibri"/>
        <w:b/>
        <w:color w:val="E42618"/>
        <w:szCs w:val="28"/>
      </w:rPr>
      <w:t>|</w:t>
    </w:r>
    <w:r>
      <w:rPr>
        <w:rStyle w:val="Numeropagina"/>
        <w:rFonts w:ascii="Calibri" w:hAnsi="Calibri"/>
        <w:color w:val="E31C18"/>
        <w:sz w:val="28"/>
        <w:szCs w:val="28"/>
      </w:rPr>
      <w:t xml:space="preserve"> </w:t>
    </w:r>
    <w:r w:rsidRPr="00AA5409">
      <w:rPr>
        <w:rFonts w:ascii="Calibri" w:hAnsi="Calibri" w:cs="Arial"/>
        <w:color w:val="5F5F5F"/>
      </w:rPr>
      <w:fldChar w:fldCharType="begin"/>
    </w:r>
    <w:r w:rsidRPr="00AA5409">
      <w:rPr>
        <w:rFonts w:ascii="Calibri" w:hAnsi="Calibri" w:cs="Arial"/>
        <w:color w:val="5F5F5F"/>
      </w:rPr>
      <w:instrText>PAGE   \* MERGEFORMAT</w:instrText>
    </w:r>
    <w:r w:rsidRPr="00AA5409">
      <w:rPr>
        <w:rFonts w:ascii="Calibri" w:hAnsi="Calibri" w:cs="Arial"/>
        <w:color w:val="5F5F5F"/>
      </w:rPr>
      <w:fldChar w:fldCharType="separate"/>
    </w:r>
    <w:r w:rsidR="00BF36A1">
      <w:rPr>
        <w:rFonts w:ascii="Calibri" w:hAnsi="Calibri" w:cs="Arial"/>
        <w:noProof/>
        <w:color w:val="5F5F5F"/>
      </w:rPr>
      <w:t>2</w:t>
    </w:r>
    <w:r w:rsidRPr="00AA5409">
      <w:rPr>
        <w:rFonts w:ascii="Calibri" w:hAnsi="Calibri" w:cs="Arial"/>
        <w:color w:val="5F5F5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0B6081" w14:textId="77777777" w:rsidR="00BE250C" w:rsidRDefault="00BE250C">
      <w:r>
        <w:separator/>
      </w:r>
    </w:p>
  </w:footnote>
  <w:footnote w:type="continuationSeparator" w:id="0">
    <w:p w14:paraId="2D0A1811" w14:textId="77777777" w:rsidR="00BE250C" w:rsidRDefault="00BE250C">
      <w:r>
        <w:continuationSeparator/>
      </w:r>
    </w:p>
  </w:footnote>
  <w:footnote w:id="1">
    <w:p w14:paraId="3050AD37" w14:textId="77777777" w:rsidR="00731071" w:rsidRPr="00E74CD4" w:rsidRDefault="00731071" w:rsidP="00501E02">
      <w:pPr>
        <w:pStyle w:val="Testonotaapidipagina"/>
        <w:jc w:val="both"/>
        <w:rPr>
          <w:rFonts w:ascii="Arial Narrow" w:hAnsi="Arial Narrow"/>
          <w:sz w:val="15"/>
          <w:szCs w:val="15"/>
        </w:rPr>
      </w:pPr>
      <w:r w:rsidRPr="00AF0A9F">
        <w:rPr>
          <w:rFonts w:ascii="Arial Narrow" w:hAnsi="Arial Narrow" w:cs="Arial"/>
          <w:sz w:val="15"/>
          <w:szCs w:val="15"/>
          <w:vertAlign w:val="superscript"/>
        </w:rPr>
        <w:footnoteRef/>
      </w:r>
      <w:r w:rsidRPr="00E74CD4">
        <w:rPr>
          <w:rFonts w:ascii="Arial Narrow" w:hAnsi="Arial Narrow" w:cs="Arial"/>
          <w:sz w:val="15"/>
          <w:szCs w:val="15"/>
        </w:rPr>
        <w:t xml:space="preserve"> I</w:t>
      </w:r>
      <w:r>
        <w:rPr>
          <w:rFonts w:ascii="Arial Narrow" w:hAnsi="Arial Narrow" w:cs="Arial"/>
          <w:sz w:val="15"/>
          <w:szCs w:val="15"/>
        </w:rPr>
        <w:t>n conseguenza dell’innalzamento della soglia di esenzione introdotto a partire da gennaio 2022, il</w:t>
      </w:r>
      <w:r w:rsidRPr="00E74CD4">
        <w:rPr>
          <w:rFonts w:ascii="Arial Narrow" w:hAnsi="Arial Narrow" w:cs="Arial"/>
          <w:sz w:val="15"/>
          <w:szCs w:val="15"/>
        </w:rPr>
        <w:t xml:space="preserve"> numero degli operatori tenuti a presentare il modello mensile Intrastat per gli acquisti </w:t>
      </w:r>
      <w:r>
        <w:rPr>
          <w:rFonts w:ascii="Arial Narrow" w:hAnsi="Arial Narrow" w:cs="Arial"/>
          <w:sz w:val="15"/>
          <w:szCs w:val="15"/>
        </w:rPr>
        <w:t>passa a</w:t>
      </w:r>
      <w:r w:rsidRPr="00E74CD4">
        <w:rPr>
          <w:rFonts w:ascii="Arial Narrow" w:hAnsi="Arial Narrow" w:cs="Arial"/>
          <w:sz w:val="15"/>
          <w:szCs w:val="15"/>
        </w:rPr>
        <w:t xml:space="preserve"> </w:t>
      </w:r>
      <w:r>
        <w:rPr>
          <w:rFonts w:ascii="Arial Narrow" w:hAnsi="Arial Narrow" w:cs="Arial"/>
          <w:sz w:val="15"/>
          <w:szCs w:val="15"/>
        </w:rPr>
        <w:t xml:space="preserve">14.000 </w:t>
      </w:r>
      <w:r w:rsidRPr="00E74CD4">
        <w:rPr>
          <w:rFonts w:ascii="Arial Narrow" w:hAnsi="Arial Narrow" w:cs="Arial"/>
          <w:sz w:val="15"/>
          <w:szCs w:val="15"/>
        </w:rPr>
        <w:t xml:space="preserve">rispetto ai </w:t>
      </w:r>
      <w:r>
        <w:rPr>
          <w:rFonts w:ascii="Arial Narrow" w:hAnsi="Arial Narrow" w:cs="Arial"/>
          <w:sz w:val="15"/>
          <w:szCs w:val="15"/>
        </w:rPr>
        <w:t>18.</w:t>
      </w:r>
      <w:r w:rsidRPr="00D42794">
        <w:rPr>
          <w:rFonts w:ascii="Arial Narrow" w:hAnsi="Arial Narrow" w:cs="Arial"/>
          <w:sz w:val="15"/>
          <w:szCs w:val="15"/>
        </w:rPr>
        <w:t>000</w:t>
      </w:r>
      <w:r>
        <w:rPr>
          <w:rFonts w:ascii="Arial Narrow" w:hAnsi="Arial Narrow" w:cs="Arial"/>
          <w:sz w:val="15"/>
          <w:szCs w:val="15"/>
        </w:rPr>
        <w:t xml:space="preserve"> soggetti obbligati del 2021</w:t>
      </w:r>
      <w:r w:rsidRPr="00E74CD4">
        <w:rPr>
          <w:rFonts w:ascii="Arial Narrow" w:hAnsi="Arial Narrow" w:cs="Arial"/>
          <w:sz w:val="15"/>
          <w:szCs w:val="15"/>
        </w:rPr>
        <w:t>.</w:t>
      </w:r>
      <w:r w:rsidRPr="00E74CD4">
        <w:rPr>
          <w:rFonts w:ascii="Arial Narrow" w:hAnsi="Arial Narrow"/>
          <w:sz w:val="15"/>
          <w:szCs w:val="15"/>
        </w:rPr>
        <w:t xml:space="preserve"> </w:t>
      </w:r>
    </w:p>
  </w:footnote>
  <w:footnote w:id="2">
    <w:p w14:paraId="2211D7A5" w14:textId="77777777" w:rsidR="00731071" w:rsidRPr="00E74CD4" w:rsidRDefault="00731071" w:rsidP="00501E02">
      <w:pPr>
        <w:pStyle w:val="Testonotaapidipagina"/>
        <w:jc w:val="both"/>
        <w:rPr>
          <w:rFonts w:ascii="Arial Narrow" w:hAnsi="Arial Narrow" w:cs="Arial"/>
          <w:sz w:val="15"/>
          <w:szCs w:val="15"/>
        </w:rPr>
      </w:pPr>
      <w:r w:rsidRPr="00E74CD4">
        <w:rPr>
          <w:rStyle w:val="Rimandonotaapidipagina"/>
          <w:rFonts w:ascii="Arial Narrow" w:hAnsi="Arial Narrow"/>
          <w:sz w:val="15"/>
          <w:szCs w:val="15"/>
        </w:rPr>
        <w:footnoteRef/>
      </w:r>
      <w:r w:rsidRPr="00E74CD4">
        <w:rPr>
          <w:rFonts w:ascii="Arial Narrow" w:hAnsi="Arial Narrow"/>
          <w:sz w:val="15"/>
          <w:szCs w:val="15"/>
        </w:rPr>
        <w:t xml:space="preserve"> </w:t>
      </w:r>
      <w:r w:rsidRPr="00E74CD4">
        <w:rPr>
          <w:rFonts w:ascii="Arial Narrow" w:hAnsi="Arial Narrow" w:cs="Arial"/>
          <w:sz w:val="15"/>
          <w:szCs w:val="15"/>
        </w:rPr>
        <w:t>Le serie storiche dei valori di importazioni ed esportazioni per RPI sono state ricostruite e possono, quindi, differire da quelle precedentemente pubblicate.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C07BE" w14:textId="77777777" w:rsidR="00731071" w:rsidRPr="009E5F03" w:rsidRDefault="00731071" w:rsidP="009E5F03">
    <w:pPr>
      <w:pStyle w:val="Intestazione"/>
    </w:pPr>
    <w:r>
      <w:rPr>
        <w:noProof/>
      </w:rPr>
      <mc:AlternateContent>
        <mc:Choice Requires="wps">
          <w:drawing>
            <wp:anchor distT="0" distB="0" distL="114300" distR="114300" simplePos="0" relativeHeight="251657216" behindDoc="0" locked="0" layoutInCell="1" allowOverlap="1" wp14:anchorId="36B6161B" wp14:editId="027AD125">
              <wp:simplePos x="0" y="0"/>
              <wp:positionH relativeFrom="column">
                <wp:posOffset>552450</wp:posOffset>
              </wp:positionH>
              <wp:positionV relativeFrom="paragraph">
                <wp:posOffset>65405</wp:posOffset>
              </wp:positionV>
              <wp:extent cx="1824355" cy="390525"/>
              <wp:effectExtent l="0" t="0" r="4445" b="0"/>
              <wp:wrapNone/>
              <wp:docPr id="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355" cy="390525"/>
                      </a:xfrm>
                      <a:prstGeom prst="rect">
                        <a:avLst/>
                      </a:prstGeom>
                      <a:solidFill>
                        <a:srgbClr val="FFFFFF"/>
                      </a:solidFill>
                      <a:ln w="9525">
                        <a:solidFill>
                          <a:srgbClr val="FFFFFF"/>
                        </a:solidFill>
                        <a:miter lim="800000"/>
                        <a:headEnd/>
                        <a:tailEnd/>
                      </a:ln>
                    </wps:spPr>
                    <wps:txbx>
                      <w:txbxContent>
                        <w:p w14:paraId="57727999" w14:textId="77777777" w:rsidR="00731071" w:rsidRPr="000F5A7E" w:rsidRDefault="00731071" w:rsidP="00862146">
                          <w:pPr>
                            <w:pStyle w:val="Intestazione"/>
                            <w:spacing w:line="200" w:lineRule="exact"/>
                            <w:rPr>
                              <w:rFonts w:ascii="Arial Narrow" w:hAnsi="Arial Narrow"/>
                              <w:b/>
                              <w:color w:val="808080"/>
                              <w:sz w:val="20"/>
                            </w:rPr>
                          </w:pPr>
                          <w:r w:rsidRPr="000F5A7E">
                            <w:rPr>
                              <w:rFonts w:ascii="Arial Narrow" w:hAnsi="Arial Narrow"/>
                              <w:b/>
                              <w:color w:val="808080"/>
                              <w:sz w:val="20"/>
                            </w:rPr>
                            <w:t>COMMERCIO ESTERO E PREZZI ALL’IMPORT</w:t>
                          </w:r>
                        </w:p>
                        <w:p w14:paraId="5DAFC38A" w14:textId="77777777" w:rsidR="00731071" w:rsidRPr="00E26DB7" w:rsidRDefault="00731071" w:rsidP="00862146">
                          <w:pPr>
                            <w:pStyle w:val="Intestazione"/>
                            <w:spacing w:line="200" w:lineRule="exact"/>
                            <w:rPr>
                              <w:rFonts w:ascii="Arial Narrow" w:hAnsi="Arial Narrow"/>
                              <w:b/>
                              <w:color w:val="5F5F5F"/>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6B6161B" id="_x0000_t202" coordsize="21600,21600" o:spt="202" path="m,l,21600r21600,l21600,xe">
              <v:stroke joinstyle="miter"/>
              <v:path gradientshapeok="t" o:connecttype="rect"/>
            </v:shapetype>
            <v:shape id="_x0000_s1028" type="#_x0000_t202" style="position:absolute;margin-left:43.5pt;margin-top:5.15pt;width:143.65pt;height:30.7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" strokecolor="white">
              <v:textbox style="mso-fit-shape-to-text:t" inset="0,0,0,0">
                <w:txbxContent>
                  <w:p w14:paraId="57727999" w14:textId="77777777" w:rsidR="00731071" w:rsidRPr="000F5A7E" w:rsidRDefault="00731071" w:rsidP="00862146">
                    <w:pPr>
                      <w:pStyle w:val="Intestazione"/>
                      <w:spacing w:line="200" w:lineRule="exact"/>
                      <w:rPr>
                        <w:rFonts w:ascii="Arial Narrow" w:hAnsi="Arial Narrow"/>
                        <w:b/>
                        <w:color w:val="808080"/>
                        <w:sz w:val="20"/>
                      </w:rPr>
                    </w:pPr>
                    <w:r w:rsidRPr="000F5A7E">
                      <w:rPr>
                        <w:rFonts w:ascii="Arial Narrow" w:hAnsi="Arial Narrow"/>
                        <w:b/>
                        <w:color w:val="808080"/>
                        <w:sz w:val="20"/>
                      </w:rPr>
                      <w:t>COMMERCIO ESTERO E PREZZI ALL’IMPORT</w:t>
                    </w:r>
                  </w:p>
                  <w:p w14:paraId="5DAFC38A" w14:textId="77777777" w:rsidR="00731071" w:rsidRPr="00E26DB7" w:rsidRDefault="00731071" w:rsidP="00862146">
                    <w:pPr>
                      <w:pStyle w:val="Intestazione"/>
                      <w:spacing w:line="200" w:lineRule="exact"/>
                      <w:rPr>
                        <w:rFonts w:ascii="Arial Narrow" w:hAnsi="Arial Narrow"/>
                        <w:b/>
                        <w:color w:val="5F5F5F"/>
                      </w:rPr>
                    </w:pPr>
                  </w:p>
                </w:txbxContent>
              </v:textbox>
            </v:shape>
          </w:pict>
        </mc:Fallback>
      </mc:AlternateContent>
    </w:r>
    <w:r>
      <w:rPr>
        <w:noProof/>
      </w:rPr>
      <w:drawing>
        <wp:inline distT="0" distB="0" distL="0" distR="0" wp14:anchorId="3CB628EC" wp14:editId="334CAD38">
          <wp:extent cx="6477000" cy="581025"/>
          <wp:effectExtent l="0" t="0" r="0" b="0"/>
          <wp:docPr id="9" name="Immagine 9" descr="iconeComunicatiRosso-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eComunicatiRosso-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5810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21FA5" w14:textId="77777777" w:rsidR="00731071" w:rsidRDefault="00731071" w:rsidP="004342C5">
    <w:pPr>
      <w:pStyle w:val="Intestazione"/>
      <w:rPr>
        <w:sz w:val="20"/>
        <w:szCs w:val="20"/>
      </w:rPr>
    </w:pPr>
    <w:r>
      <w:rPr>
        <w:noProof/>
      </w:rPr>
      <w:drawing>
        <wp:anchor distT="0" distB="0" distL="114300" distR="114300" simplePos="0" relativeHeight="251665408" behindDoc="0" locked="0" layoutInCell="1" allowOverlap="1" wp14:anchorId="2CE90C3B" wp14:editId="0386EB8F">
          <wp:simplePos x="0" y="0"/>
          <wp:positionH relativeFrom="column">
            <wp:posOffset>15875</wp:posOffset>
          </wp:positionH>
          <wp:positionV relativeFrom="paragraph">
            <wp:posOffset>-138430</wp:posOffset>
          </wp:positionV>
          <wp:extent cx="5332730" cy="1137920"/>
          <wp:effectExtent l="0" t="0" r="1270" b="5080"/>
          <wp:wrapNone/>
          <wp:docPr id="15" name="Immagine 15" descr="iconeComunicatiRosso-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6" descr="iconeComunicatiRosso-01"/>
                  <pic:cNvPicPr>
                    <a:picLocks noChangeArrowheads="1"/>
                  </pic:cNvPicPr>
                </pic:nvPicPr>
                <pic:blipFill>
                  <a:blip r:embed="rId1">
                    <a:extLst>
                      <a:ext uri="{28A0092B-C50C-407E-A947-70E740481C1C}">
                        <a14:useLocalDpi xmlns:a14="http://schemas.microsoft.com/office/drawing/2010/main" val="0"/>
                      </a:ext>
                    </a:extLst>
                  </a:blip>
                  <a:srcRect l="5" t="-12706" r="16052" b="7286"/>
                  <a:stretch>
                    <a:fillRect/>
                  </a:stretch>
                </pic:blipFill>
                <pic:spPr bwMode="auto">
                  <a:xfrm>
                    <a:off x="0" y="0"/>
                    <a:ext cx="5332730" cy="113792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294967295" distB="4294967295" distL="114300" distR="114300" simplePos="0" relativeHeight="251664384" behindDoc="0" locked="0" layoutInCell="1" allowOverlap="1" wp14:anchorId="6A07824C" wp14:editId="3D1E8409">
              <wp:simplePos x="0" y="0"/>
              <wp:positionH relativeFrom="column">
                <wp:posOffset>0</wp:posOffset>
              </wp:positionH>
              <wp:positionV relativeFrom="paragraph">
                <wp:posOffset>1082039</wp:posOffset>
              </wp:positionV>
              <wp:extent cx="6414770" cy="0"/>
              <wp:effectExtent l="0" t="0" r="24130" b="19050"/>
              <wp:wrapNone/>
              <wp:docPr id="37" name="Connettore diritto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4770" cy="0"/>
                      </a:xfrm>
                      <a:prstGeom prst="line">
                        <a:avLst/>
                      </a:prstGeom>
                      <a:noFill/>
                      <a:ln w="9525"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line w14:anchorId="4BFE6213" id="Connettore diritto 37"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85.2pt" to="505.1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" strokecolor="#7f7f7f">
              <v:stroke joinstyle="miter"/>
              <o:lock v:ext="edit" shapetype="f"/>
            </v:line>
          </w:pict>
        </mc:Fallback>
      </mc:AlternateContent>
    </w:r>
  </w:p>
  <w:p w14:paraId="7AD4CE63" w14:textId="77777777" w:rsidR="00731071" w:rsidRPr="004342C5" w:rsidRDefault="00731071" w:rsidP="004342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C844D" w14:textId="77777777" w:rsidR="00731071" w:rsidRPr="009E5F03" w:rsidRDefault="00731071" w:rsidP="009E5F03">
    <w:pPr>
      <w:pStyle w:val="Intestazione"/>
    </w:pPr>
    <w:r>
      <w:rPr>
        <w:noProof/>
      </w:rPr>
      <mc:AlternateContent>
        <mc:Choice Requires="wps">
          <w:drawing>
            <wp:anchor distT="0" distB="0" distL="114300" distR="114300" simplePos="0" relativeHeight="251659264" behindDoc="0" locked="0" layoutInCell="1" allowOverlap="1" wp14:anchorId="56BC32B9" wp14:editId="0CF2BACD">
              <wp:simplePos x="0" y="0"/>
              <wp:positionH relativeFrom="column">
                <wp:posOffset>536575</wp:posOffset>
              </wp:positionH>
              <wp:positionV relativeFrom="paragraph">
                <wp:posOffset>60960</wp:posOffset>
              </wp:positionV>
              <wp:extent cx="1752600" cy="390525"/>
              <wp:effectExtent l="0" t="0" r="0" b="0"/>
              <wp:wrapNone/>
              <wp:docPr id="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90525"/>
                      </a:xfrm>
                      <a:prstGeom prst="rect">
                        <a:avLst/>
                      </a:prstGeom>
                      <a:solidFill>
                        <a:srgbClr val="FFFFFF"/>
                      </a:solidFill>
                      <a:ln w="9525">
                        <a:solidFill>
                          <a:srgbClr val="FFFFFF"/>
                        </a:solidFill>
                        <a:miter lim="800000"/>
                        <a:headEnd/>
                        <a:tailEnd/>
                      </a:ln>
                    </wps:spPr>
                    <wps:txbx>
                      <w:txbxContent>
                        <w:p w14:paraId="3FA08549" w14:textId="77777777" w:rsidR="00731071" w:rsidRPr="000F5A7E" w:rsidRDefault="00731071" w:rsidP="00B72ADE">
                          <w:pPr>
                            <w:pStyle w:val="Intestazione"/>
                            <w:spacing w:line="200" w:lineRule="exact"/>
                            <w:rPr>
                              <w:rFonts w:ascii="Arial Narrow" w:hAnsi="Arial Narrow"/>
                              <w:b/>
                              <w:color w:val="808080"/>
                              <w:sz w:val="20"/>
                            </w:rPr>
                          </w:pPr>
                          <w:r w:rsidRPr="000F5A7E">
                            <w:rPr>
                              <w:rFonts w:ascii="Arial Narrow" w:hAnsi="Arial Narrow"/>
                              <w:b/>
                              <w:color w:val="808080"/>
                              <w:sz w:val="20"/>
                            </w:rPr>
                            <w:t>COMMERCIO ESTERO E PREZZI ALL’IMPORT</w:t>
                          </w:r>
                        </w:p>
                        <w:p w14:paraId="0C260CFA" w14:textId="77777777" w:rsidR="00731071" w:rsidRPr="0017508C" w:rsidRDefault="00731071" w:rsidP="00B249D0">
                          <w:pPr>
                            <w:pStyle w:val="Intestazione"/>
                            <w:spacing w:line="200" w:lineRule="exact"/>
                            <w:rPr>
                              <w:rFonts w:ascii="Arial Narrow" w:hAnsi="Arial Narrow"/>
                              <w:b/>
                              <w:color w:val="999999"/>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6BC32B9" id="_x0000_t202" coordsize="21600,21600" o:spt="202" path="m,l,21600r21600,l21600,xe">
              <v:stroke joinstyle="miter"/>
              <v:path gradientshapeok="t" o:connecttype="rect"/>
            </v:shapetype>
            <v:shape id="_x0000_s1029" type="#_x0000_t202" style="position:absolute;margin-left:42.25pt;margin-top:4.8pt;width:138pt;height:30.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" strokecolor="white">
              <v:textbox style="mso-fit-shape-to-text:t" inset="0,0,0,0">
                <w:txbxContent>
                  <w:p w14:paraId="3FA08549" w14:textId="77777777" w:rsidR="00731071" w:rsidRPr="000F5A7E" w:rsidRDefault="00731071" w:rsidP="00B72ADE">
                    <w:pPr>
                      <w:pStyle w:val="Intestazione"/>
                      <w:spacing w:line="200" w:lineRule="exact"/>
                      <w:rPr>
                        <w:rFonts w:ascii="Arial Narrow" w:hAnsi="Arial Narrow"/>
                        <w:b/>
                        <w:color w:val="808080"/>
                        <w:sz w:val="20"/>
                      </w:rPr>
                    </w:pPr>
                    <w:r w:rsidRPr="000F5A7E">
                      <w:rPr>
                        <w:rFonts w:ascii="Arial Narrow" w:hAnsi="Arial Narrow"/>
                        <w:b/>
                        <w:color w:val="808080"/>
                        <w:sz w:val="20"/>
                      </w:rPr>
                      <w:t>COMMERCIO ESTERO E PREZZI ALL’IMPORT</w:t>
                    </w:r>
                  </w:p>
                  <w:p w14:paraId="0C260CFA" w14:textId="77777777" w:rsidR="00731071" w:rsidRPr="0017508C" w:rsidRDefault="00731071" w:rsidP="00B249D0">
                    <w:pPr>
                      <w:pStyle w:val="Intestazione"/>
                      <w:spacing w:line="200" w:lineRule="exact"/>
                      <w:rPr>
                        <w:rFonts w:ascii="Arial Narrow" w:hAnsi="Arial Narrow"/>
                        <w:b/>
                        <w:color w:val="999999"/>
                      </w:rPr>
                    </w:pPr>
                  </w:p>
                </w:txbxContent>
              </v:textbox>
            </v:shape>
          </w:pict>
        </mc:Fallback>
      </mc:AlternateContent>
    </w:r>
    <w:r w:rsidRPr="00287543">
      <w:rPr>
        <w:noProof/>
      </w:rPr>
      <w:drawing>
        <wp:inline distT="0" distB="0" distL="0" distR="0" wp14:anchorId="56F50AE9" wp14:editId="11B06E94">
          <wp:extent cx="6477000" cy="590550"/>
          <wp:effectExtent l="0" t="0" r="0" b="0"/>
          <wp:docPr id="7" name="Immagine 7" descr="iconeComunicatiRosso-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coneComunicatiRosso-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5905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0BA6E" w14:textId="77777777" w:rsidR="00731071" w:rsidRPr="009E5F03" w:rsidRDefault="00731071" w:rsidP="009E5F03">
    <w:pPr>
      <w:pStyle w:val="Intestazione"/>
    </w:pPr>
    <w:r>
      <w:rPr>
        <w:noProof/>
      </w:rPr>
      <mc:AlternateContent>
        <mc:Choice Requires="wps">
          <w:drawing>
            <wp:anchor distT="0" distB="0" distL="114300" distR="114300" simplePos="0" relativeHeight="251660288" behindDoc="0" locked="0" layoutInCell="1" allowOverlap="1" wp14:anchorId="388EE6C1" wp14:editId="5D373C6C">
              <wp:simplePos x="0" y="0"/>
              <wp:positionH relativeFrom="column">
                <wp:posOffset>536575</wp:posOffset>
              </wp:positionH>
              <wp:positionV relativeFrom="paragraph">
                <wp:posOffset>60960</wp:posOffset>
              </wp:positionV>
              <wp:extent cx="1752600" cy="263525"/>
              <wp:effectExtent l="0" t="0" r="0" b="3810"/>
              <wp:wrapNone/>
              <wp:docPr id="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3525"/>
                      </a:xfrm>
                      <a:prstGeom prst="rect">
                        <a:avLst/>
                      </a:prstGeom>
                      <a:solidFill>
                        <a:srgbClr val="FFFFFF"/>
                      </a:solidFill>
                      <a:ln w="9525">
                        <a:solidFill>
                          <a:srgbClr val="FFFFFF"/>
                        </a:solidFill>
                        <a:miter lim="800000"/>
                        <a:headEnd/>
                        <a:tailEnd/>
                      </a:ln>
                    </wps:spPr>
                    <wps:txbx>
                      <w:txbxContent>
                        <w:p w14:paraId="02C7891B" w14:textId="77777777" w:rsidR="00731071" w:rsidRPr="00E74CD4" w:rsidRDefault="00731071" w:rsidP="00B249D0">
                          <w:pPr>
                            <w:pStyle w:val="Intestazione"/>
                            <w:spacing w:line="200" w:lineRule="exact"/>
                            <w:rPr>
                              <w:rFonts w:ascii="Arial Narrow" w:hAnsi="Arial Narrow"/>
                              <w:b/>
                              <w:color w:val="808080"/>
                              <w:sz w:val="20"/>
                              <w:szCs w:val="20"/>
                            </w:rPr>
                          </w:pPr>
                          <w:r w:rsidRPr="00E74CD4">
                            <w:rPr>
                              <w:rFonts w:ascii="Arial Narrow" w:hAnsi="Arial Narrow"/>
                              <w:b/>
                              <w:color w:val="808080"/>
                              <w:sz w:val="20"/>
                              <w:szCs w:val="20"/>
                            </w:rPr>
                            <w:t>COMMERCIO ESTERO E PREZZI ALL’IMPORT</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88EE6C1" id="_x0000_t202" coordsize="21600,21600" o:spt="202" path="m,l,21600r21600,l21600,xe">
              <v:stroke joinstyle="miter"/>
              <v:path gradientshapeok="t" o:connecttype="rect"/>
            </v:shapetype>
            <v:shape id="_x0000_s1030" type="#_x0000_t202" style="position:absolute;margin-left:42.25pt;margin-top:4.8pt;width:138pt;height:2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" strokecolor="white">
              <v:textbox style="mso-fit-shape-to-text:t" inset="0,0,0,0">
                <w:txbxContent>
                  <w:p w14:paraId="02C7891B" w14:textId="77777777" w:rsidR="00731071" w:rsidRPr="00E74CD4" w:rsidRDefault="00731071" w:rsidP="00B249D0">
                    <w:pPr>
                      <w:pStyle w:val="Intestazione"/>
                      <w:spacing w:line="200" w:lineRule="exact"/>
                      <w:rPr>
                        <w:rFonts w:ascii="Arial Narrow" w:hAnsi="Arial Narrow"/>
                        <w:b/>
                        <w:color w:val="808080"/>
                        <w:sz w:val="20"/>
                        <w:szCs w:val="20"/>
                      </w:rPr>
                    </w:pPr>
                    <w:r w:rsidRPr="00E74CD4">
                      <w:rPr>
                        <w:rFonts w:ascii="Arial Narrow" w:hAnsi="Arial Narrow"/>
                        <w:b/>
                        <w:color w:val="808080"/>
                        <w:sz w:val="20"/>
                        <w:szCs w:val="20"/>
                      </w:rPr>
                      <w:t>COMMERCIO ESTERO E PREZZI ALL’IMPORT</w:t>
                    </w:r>
                  </w:p>
                </w:txbxContent>
              </v:textbox>
            </v:shape>
          </w:pict>
        </mc:Fallback>
      </mc:AlternateContent>
    </w:r>
    <w:r>
      <w:rPr>
        <w:noProof/>
      </w:rPr>
      <w:drawing>
        <wp:inline distT="0" distB="0" distL="0" distR="0" wp14:anchorId="2B15F1EC" wp14:editId="03EEB9CA">
          <wp:extent cx="6477000" cy="590550"/>
          <wp:effectExtent l="0" t="0" r="0" b="0"/>
          <wp:docPr id="21" name="Immagine 21" descr="iconeComunicati-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coneComunicati-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59055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6FF29" w14:textId="77777777" w:rsidR="00731071" w:rsidRPr="009E5F03" w:rsidRDefault="00731071" w:rsidP="009E5F03">
    <w:pPr>
      <w:pStyle w:val="Intestazione"/>
    </w:pPr>
    <w:r>
      <w:rPr>
        <w:noProof/>
      </w:rPr>
      <mc:AlternateContent>
        <mc:Choice Requires="wps">
          <w:drawing>
            <wp:anchor distT="0" distB="0" distL="114300" distR="114300" simplePos="0" relativeHeight="251655168" behindDoc="0" locked="0" layoutInCell="1" allowOverlap="1" wp14:anchorId="785A1FB2" wp14:editId="347EDB0A">
              <wp:simplePos x="0" y="0"/>
              <wp:positionH relativeFrom="column">
                <wp:posOffset>536575</wp:posOffset>
              </wp:positionH>
              <wp:positionV relativeFrom="paragraph">
                <wp:posOffset>60960</wp:posOffset>
              </wp:positionV>
              <wp:extent cx="1965325" cy="39052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25" cy="390525"/>
                      </a:xfrm>
                      <a:prstGeom prst="rect">
                        <a:avLst/>
                      </a:prstGeom>
                      <a:solidFill>
                        <a:srgbClr val="FFFFFF"/>
                      </a:solidFill>
                      <a:ln w="9525">
                        <a:solidFill>
                          <a:srgbClr val="FFFFFF"/>
                        </a:solidFill>
                        <a:miter lim="800000"/>
                        <a:headEnd/>
                        <a:tailEnd/>
                      </a:ln>
                    </wps:spPr>
                    <wps:txbx>
                      <w:txbxContent>
                        <w:p w14:paraId="215121F7" w14:textId="77777777" w:rsidR="00731071" w:rsidRPr="00E74CD4" w:rsidRDefault="00731071" w:rsidP="00B72ADE">
                          <w:pPr>
                            <w:pStyle w:val="Intestazione"/>
                            <w:spacing w:line="200" w:lineRule="exact"/>
                            <w:rPr>
                              <w:rFonts w:ascii="Arial Narrow" w:hAnsi="Arial Narrow"/>
                              <w:b/>
                              <w:color w:val="808080"/>
                              <w:sz w:val="20"/>
                            </w:rPr>
                          </w:pPr>
                          <w:r w:rsidRPr="00E74CD4">
                            <w:rPr>
                              <w:rFonts w:ascii="Arial Narrow" w:hAnsi="Arial Narrow"/>
                              <w:b/>
                              <w:color w:val="808080"/>
                              <w:sz w:val="20"/>
                            </w:rPr>
                            <w:t>COMMERCIO ESTERO E PREZZI ALL’IMPORT</w:t>
                          </w:r>
                        </w:p>
                        <w:p w14:paraId="4090C225" w14:textId="77777777" w:rsidR="00731071" w:rsidRPr="00B81D29" w:rsidRDefault="00731071" w:rsidP="00B249D0">
                          <w:pPr>
                            <w:pStyle w:val="Intestazione"/>
                            <w:spacing w:line="200" w:lineRule="exact"/>
                            <w:rPr>
                              <w:rFonts w:ascii="Arial Narrow" w:hAnsi="Arial Narrow"/>
                              <w:b/>
                              <w:color w:val="808080"/>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85A1FB2" id="_x0000_t202" coordsize="21600,21600" o:spt="202" path="m,l,21600r21600,l21600,xe">
              <v:stroke joinstyle="miter"/>
              <v:path gradientshapeok="t" o:connecttype="rect"/>
            </v:shapetype>
            <v:shape id="_x0000_s1031" type="#_x0000_t202" style="position:absolute;margin-left:42.25pt;margin-top:4.8pt;width:154.75pt;height:30.7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" strokecolor="white">
              <v:textbox style="mso-fit-shape-to-text:t" inset="0,0,0,0">
                <w:txbxContent>
                  <w:p w14:paraId="215121F7" w14:textId="77777777" w:rsidR="00731071" w:rsidRPr="00E74CD4" w:rsidRDefault="00731071" w:rsidP="00B72ADE">
                    <w:pPr>
                      <w:pStyle w:val="Intestazione"/>
                      <w:spacing w:line="200" w:lineRule="exact"/>
                      <w:rPr>
                        <w:rFonts w:ascii="Arial Narrow" w:hAnsi="Arial Narrow"/>
                        <w:b/>
                        <w:color w:val="808080"/>
                        <w:sz w:val="20"/>
                      </w:rPr>
                    </w:pPr>
                    <w:r w:rsidRPr="00E74CD4">
                      <w:rPr>
                        <w:rFonts w:ascii="Arial Narrow" w:hAnsi="Arial Narrow"/>
                        <w:b/>
                        <w:color w:val="808080"/>
                        <w:sz w:val="20"/>
                      </w:rPr>
                      <w:t>COMMERCIO ESTERO E PREZZI ALL’IMPORT</w:t>
                    </w:r>
                  </w:p>
                  <w:p w14:paraId="4090C225" w14:textId="77777777" w:rsidR="00731071" w:rsidRPr="00B81D29" w:rsidRDefault="00731071" w:rsidP="00B249D0">
                    <w:pPr>
                      <w:pStyle w:val="Intestazione"/>
                      <w:spacing w:line="200" w:lineRule="exact"/>
                      <w:rPr>
                        <w:rFonts w:ascii="Arial Narrow" w:hAnsi="Arial Narrow"/>
                        <w:b/>
                        <w:color w:val="808080"/>
                      </w:rPr>
                    </w:pPr>
                  </w:p>
                </w:txbxContent>
              </v:textbox>
            </v:shape>
          </w:pict>
        </mc:Fallback>
      </mc:AlternateContent>
    </w:r>
    <w:r w:rsidRPr="00670D3C">
      <w:rPr>
        <w:noProof/>
      </w:rPr>
      <w:drawing>
        <wp:inline distT="0" distB="0" distL="0" distR="0" wp14:anchorId="01A5CD5A" wp14:editId="50C3AA72">
          <wp:extent cx="6477000" cy="590550"/>
          <wp:effectExtent l="0" t="0" r="0" b="0"/>
          <wp:docPr id="22" name="Immagine 22" descr="iconeComunicatiRosso-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oneComunicatiRosso-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59055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1291F" w14:textId="77777777" w:rsidR="00731071" w:rsidRPr="009E5F03" w:rsidRDefault="00731071" w:rsidP="009E5F03">
    <w:pPr>
      <w:pStyle w:val="Intestazione"/>
    </w:pPr>
    <w:r>
      <w:rPr>
        <w:noProof/>
      </w:rPr>
      <mc:AlternateContent>
        <mc:Choice Requires="wps">
          <w:drawing>
            <wp:anchor distT="0" distB="0" distL="114300" distR="114300" simplePos="0" relativeHeight="251667456" behindDoc="0" locked="0" layoutInCell="1" allowOverlap="1" wp14:anchorId="7D6EAC75" wp14:editId="19DAF007">
              <wp:simplePos x="0" y="0"/>
              <wp:positionH relativeFrom="column">
                <wp:posOffset>536575</wp:posOffset>
              </wp:positionH>
              <wp:positionV relativeFrom="paragraph">
                <wp:posOffset>60960</wp:posOffset>
              </wp:positionV>
              <wp:extent cx="1965325" cy="390525"/>
              <wp:effectExtent l="0" t="0" r="0" b="0"/>
              <wp:wrapNone/>
              <wp:docPr id="1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25" cy="390525"/>
                      </a:xfrm>
                      <a:prstGeom prst="rect">
                        <a:avLst/>
                      </a:prstGeom>
                      <a:solidFill>
                        <a:srgbClr val="FFFFFF"/>
                      </a:solidFill>
                      <a:ln w="9525">
                        <a:solidFill>
                          <a:srgbClr val="FFFFFF"/>
                        </a:solidFill>
                        <a:miter lim="800000"/>
                        <a:headEnd/>
                        <a:tailEnd/>
                      </a:ln>
                    </wps:spPr>
                    <wps:txbx>
                      <w:txbxContent>
                        <w:p w14:paraId="78311B26" w14:textId="77777777" w:rsidR="00731071" w:rsidRPr="00E74CD4" w:rsidRDefault="00731071" w:rsidP="00B72ADE">
                          <w:pPr>
                            <w:pStyle w:val="Intestazione"/>
                            <w:spacing w:line="200" w:lineRule="exact"/>
                            <w:rPr>
                              <w:rFonts w:ascii="Arial Narrow" w:hAnsi="Arial Narrow"/>
                              <w:b/>
                              <w:color w:val="808080"/>
                              <w:sz w:val="20"/>
                            </w:rPr>
                          </w:pPr>
                          <w:r w:rsidRPr="00E74CD4">
                            <w:rPr>
                              <w:rFonts w:ascii="Arial Narrow" w:hAnsi="Arial Narrow"/>
                              <w:b/>
                              <w:color w:val="808080"/>
                              <w:sz w:val="20"/>
                            </w:rPr>
                            <w:t>COMMERCIO ESTERO E PREZZI ALL’IMPORT</w:t>
                          </w:r>
                        </w:p>
                        <w:p w14:paraId="0EEB6E5A" w14:textId="77777777" w:rsidR="00731071" w:rsidRPr="00B81D29" w:rsidRDefault="00731071" w:rsidP="00B249D0">
                          <w:pPr>
                            <w:pStyle w:val="Intestazione"/>
                            <w:spacing w:line="200" w:lineRule="exact"/>
                            <w:rPr>
                              <w:rFonts w:ascii="Arial Narrow" w:hAnsi="Arial Narrow"/>
                              <w:b/>
                              <w:color w:val="808080"/>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D6EAC75" id="_x0000_t202" coordsize="21600,21600" o:spt="202" path="m,l,21600r21600,l21600,xe">
              <v:stroke joinstyle="miter"/>
              <v:path gradientshapeok="t" o:connecttype="rect"/>
            </v:shapetype>
            <v:shape id="_x0000_s1032" type="#_x0000_t202" style="position:absolute;margin-left:42.25pt;margin-top:4.8pt;width:154.75pt;height:30.7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" strokecolor="white">
              <v:textbox style="mso-fit-shape-to-text:t" inset="0,0,0,0">
                <w:txbxContent>
                  <w:p w14:paraId="78311B26" w14:textId="77777777" w:rsidR="00E5175D" w:rsidRPr="00E74CD4" w:rsidRDefault="00E5175D" w:rsidP="00B72ADE">
                    <w:pPr>
                      <w:pStyle w:val="Intestazione"/>
                      <w:spacing w:line="200" w:lineRule="exact"/>
                      <w:rPr>
                        <w:rFonts w:ascii="Arial Narrow" w:hAnsi="Arial Narrow"/>
                        <w:b/>
                        <w:color w:val="808080"/>
                        <w:sz w:val="20"/>
                      </w:rPr>
                    </w:pPr>
                    <w:r w:rsidRPr="00E74CD4">
                      <w:rPr>
                        <w:rFonts w:ascii="Arial Narrow" w:hAnsi="Arial Narrow"/>
                        <w:b/>
                        <w:color w:val="808080"/>
                        <w:sz w:val="20"/>
                      </w:rPr>
                      <w:t>COMMERCIO ESTERO E PREZZI ALL’IMPORT</w:t>
                    </w:r>
                  </w:p>
                  <w:p w14:paraId="0EEB6E5A" w14:textId="77777777" w:rsidR="00E5175D" w:rsidRPr="00B81D29" w:rsidRDefault="00E5175D" w:rsidP="00B249D0">
                    <w:pPr>
                      <w:pStyle w:val="Intestazione"/>
                      <w:spacing w:line="200" w:lineRule="exact"/>
                      <w:rPr>
                        <w:rFonts w:ascii="Arial Narrow" w:hAnsi="Arial Narrow"/>
                        <w:b/>
                        <w:color w:val="808080"/>
                      </w:rPr>
                    </w:pPr>
                  </w:p>
                </w:txbxContent>
              </v:textbox>
            </v:shape>
          </w:pict>
        </mc:Fallback>
      </mc:AlternateContent>
    </w:r>
    <w:r w:rsidRPr="0052352C">
      <w:rPr>
        <w:noProof/>
      </w:rPr>
      <w:drawing>
        <wp:inline distT="0" distB="0" distL="0" distR="0" wp14:anchorId="7F370931" wp14:editId="7D689608">
          <wp:extent cx="6477000" cy="590550"/>
          <wp:effectExtent l="0" t="0" r="0" b="0"/>
          <wp:docPr id="13" name="Immagine 13" descr="iconeComunicatiRoss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oneComunicatiRosso-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45pt;height:8.45pt" o:bullet="t">
        <v:imagedata r:id="rId1" o:title=""/>
      </v:shape>
    </w:pict>
  </w:numPicBullet>
  <w:numPicBullet w:numPicBulletId="1">
    <w:pict>
      <v:shape id="_x0000_i1029" type="#_x0000_t75" style="width:4.5pt;height:7.2pt" o:bullet="t">
        <v:imagedata r:id="rId2" o:title=""/>
      </v:shape>
    </w:pict>
  </w:numPicBullet>
  <w:abstractNum w:abstractNumId="0" w15:restartNumberingAfterBreak="0">
    <w:nsid w:val="FFFFFF1D"/>
    <w:multiLevelType w:val="multilevel"/>
    <w:tmpl w:val="F1A4DC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22D62"/>
    <w:multiLevelType w:val="hybridMultilevel"/>
    <w:tmpl w:val="2EA4AA2A"/>
    <w:lvl w:ilvl="0" w:tplc="7FE041A6">
      <w:start w:val="1"/>
      <w:numFmt w:val="bullet"/>
      <w:lvlText w:val=""/>
      <w:lvlJc w:val="left"/>
      <w:pPr>
        <w:ind w:left="720" w:hanging="360"/>
      </w:pPr>
      <w:rPr>
        <w:rFonts w:ascii="Wingdings" w:hAnsi="Wingdings" w:hint="default"/>
        <w:b/>
        <w:i w:val="0"/>
        <w:color w:val="FF0000"/>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26E56C4"/>
    <w:multiLevelType w:val="hybridMultilevel"/>
    <w:tmpl w:val="AB00ACB0"/>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3" w15:restartNumberingAfterBreak="0">
    <w:nsid w:val="03B30D2B"/>
    <w:multiLevelType w:val="hybridMultilevel"/>
    <w:tmpl w:val="5CEC454A"/>
    <w:lvl w:ilvl="0" w:tplc="785E333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3E056BD"/>
    <w:multiLevelType w:val="hybridMultilevel"/>
    <w:tmpl w:val="93188842"/>
    <w:lvl w:ilvl="0" w:tplc="04100017">
      <w:start w:val="1"/>
      <w:numFmt w:val="lowerLetter"/>
      <w:lvlText w:val="%1)"/>
      <w:lvlJc w:val="left"/>
      <w:pPr>
        <w:ind w:left="2517" w:hanging="360"/>
      </w:pPr>
    </w:lvl>
    <w:lvl w:ilvl="1" w:tplc="04100003" w:tentative="1">
      <w:start w:val="1"/>
      <w:numFmt w:val="bullet"/>
      <w:lvlText w:val="o"/>
      <w:lvlJc w:val="left"/>
      <w:pPr>
        <w:ind w:left="3237" w:hanging="360"/>
      </w:pPr>
      <w:rPr>
        <w:rFonts w:ascii="Courier New" w:hAnsi="Courier New" w:cs="Courier New" w:hint="default"/>
      </w:rPr>
    </w:lvl>
    <w:lvl w:ilvl="2" w:tplc="04100005" w:tentative="1">
      <w:start w:val="1"/>
      <w:numFmt w:val="bullet"/>
      <w:lvlText w:val=""/>
      <w:lvlJc w:val="left"/>
      <w:pPr>
        <w:ind w:left="3957" w:hanging="360"/>
      </w:pPr>
      <w:rPr>
        <w:rFonts w:ascii="Wingdings" w:hAnsi="Wingdings" w:hint="default"/>
      </w:rPr>
    </w:lvl>
    <w:lvl w:ilvl="3" w:tplc="04100001" w:tentative="1">
      <w:start w:val="1"/>
      <w:numFmt w:val="bullet"/>
      <w:lvlText w:val=""/>
      <w:lvlJc w:val="left"/>
      <w:pPr>
        <w:ind w:left="4677" w:hanging="360"/>
      </w:pPr>
      <w:rPr>
        <w:rFonts w:ascii="Symbol" w:hAnsi="Symbol" w:hint="default"/>
      </w:rPr>
    </w:lvl>
    <w:lvl w:ilvl="4" w:tplc="04100003" w:tentative="1">
      <w:start w:val="1"/>
      <w:numFmt w:val="bullet"/>
      <w:lvlText w:val="o"/>
      <w:lvlJc w:val="left"/>
      <w:pPr>
        <w:ind w:left="5397" w:hanging="360"/>
      </w:pPr>
      <w:rPr>
        <w:rFonts w:ascii="Courier New" w:hAnsi="Courier New" w:cs="Courier New" w:hint="default"/>
      </w:rPr>
    </w:lvl>
    <w:lvl w:ilvl="5" w:tplc="04100005" w:tentative="1">
      <w:start w:val="1"/>
      <w:numFmt w:val="bullet"/>
      <w:lvlText w:val=""/>
      <w:lvlJc w:val="left"/>
      <w:pPr>
        <w:ind w:left="6117" w:hanging="360"/>
      </w:pPr>
      <w:rPr>
        <w:rFonts w:ascii="Wingdings" w:hAnsi="Wingdings" w:hint="default"/>
      </w:rPr>
    </w:lvl>
    <w:lvl w:ilvl="6" w:tplc="04100001" w:tentative="1">
      <w:start w:val="1"/>
      <w:numFmt w:val="bullet"/>
      <w:lvlText w:val=""/>
      <w:lvlJc w:val="left"/>
      <w:pPr>
        <w:ind w:left="6837" w:hanging="360"/>
      </w:pPr>
      <w:rPr>
        <w:rFonts w:ascii="Symbol" w:hAnsi="Symbol" w:hint="default"/>
      </w:rPr>
    </w:lvl>
    <w:lvl w:ilvl="7" w:tplc="04100003" w:tentative="1">
      <w:start w:val="1"/>
      <w:numFmt w:val="bullet"/>
      <w:lvlText w:val="o"/>
      <w:lvlJc w:val="left"/>
      <w:pPr>
        <w:ind w:left="7557" w:hanging="360"/>
      </w:pPr>
      <w:rPr>
        <w:rFonts w:ascii="Courier New" w:hAnsi="Courier New" w:cs="Courier New" w:hint="default"/>
      </w:rPr>
    </w:lvl>
    <w:lvl w:ilvl="8" w:tplc="04100005" w:tentative="1">
      <w:start w:val="1"/>
      <w:numFmt w:val="bullet"/>
      <w:lvlText w:val=""/>
      <w:lvlJc w:val="left"/>
      <w:pPr>
        <w:ind w:left="8277" w:hanging="360"/>
      </w:pPr>
      <w:rPr>
        <w:rFonts w:ascii="Wingdings" w:hAnsi="Wingdings" w:hint="default"/>
      </w:rPr>
    </w:lvl>
  </w:abstractNum>
  <w:abstractNum w:abstractNumId="5" w15:restartNumberingAfterBreak="0">
    <w:nsid w:val="056C3596"/>
    <w:multiLevelType w:val="multilevel"/>
    <w:tmpl w:val="98E2AEF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59315D3"/>
    <w:multiLevelType w:val="hybridMultilevel"/>
    <w:tmpl w:val="EF400274"/>
    <w:lvl w:ilvl="0" w:tplc="8CAC103E">
      <w:start w:val="1"/>
      <w:numFmt w:val="bullet"/>
      <w:lvlText w:val=""/>
      <w:lvlPicBulletId w:val="1"/>
      <w:lvlJc w:val="left"/>
      <w:pPr>
        <w:tabs>
          <w:tab w:val="num" w:pos="720"/>
        </w:tabs>
        <w:ind w:left="720" w:hanging="360"/>
      </w:pPr>
      <w:rPr>
        <w:rFonts w:ascii="Symbol" w:hAnsi="Symbol" w:hint="default"/>
      </w:rPr>
    </w:lvl>
    <w:lvl w:ilvl="1" w:tplc="950A23AE" w:tentative="1">
      <w:start w:val="1"/>
      <w:numFmt w:val="bullet"/>
      <w:lvlText w:val=""/>
      <w:lvlJc w:val="left"/>
      <w:pPr>
        <w:tabs>
          <w:tab w:val="num" w:pos="1440"/>
        </w:tabs>
        <w:ind w:left="1440" w:hanging="360"/>
      </w:pPr>
      <w:rPr>
        <w:rFonts w:ascii="Symbol" w:hAnsi="Symbol" w:hint="default"/>
      </w:rPr>
    </w:lvl>
    <w:lvl w:ilvl="2" w:tplc="10E0DD76" w:tentative="1">
      <w:start w:val="1"/>
      <w:numFmt w:val="bullet"/>
      <w:lvlText w:val=""/>
      <w:lvlJc w:val="left"/>
      <w:pPr>
        <w:tabs>
          <w:tab w:val="num" w:pos="2160"/>
        </w:tabs>
        <w:ind w:left="2160" w:hanging="360"/>
      </w:pPr>
      <w:rPr>
        <w:rFonts w:ascii="Symbol" w:hAnsi="Symbol" w:hint="default"/>
      </w:rPr>
    </w:lvl>
    <w:lvl w:ilvl="3" w:tplc="A5229CBE" w:tentative="1">
      <w:start w:val="1"/>
      <w:numFmt w:val="bullet"/>
      <w:lvlText w:val=""/>
      <w:lvlJc w:val="left"/>
      <w:pPr>
        <w:tabs>
          <w:tab w:val="num" w:pos="2880"/>
        </w:tabs>
        <w:ind w:left="2880" w:hanging="360"/>
      </w:pPr>
      <w:rPr>
        <w:rFonts w:ascii="Symbol" w:hAnsi="Symbol" w:hint="default"/>
      </w:rPr>
    </w:lvl>
    <w:lvl w:ilvl="4" w:tplc="BD863054" w:tentative="1">
      <w:start w:val="1"/>
      <w:numFmt w:val="bullet"/>
      <w:lvlText w:val=""/>
      <w:lvlJc w:val="left"/>
      <w:pPr>
        <w:tabs>
          <w:tab w:val="num" w:pos="3600"/>
        </w:tabs>
        <w:ind w:left="3600" w:hanging="360"/>
      </w:pPr>
      <w:rPr>
        <w:rFonts w:ascii="Symbol" w:hAnsi="Symbol" w:hint="default"/>
      </w:rPr>
    </w:lvl>
    <w:lvl w:ilvl="5" w:tplc="6046C154" w:tentative="1">
      <w:start w:val="1"/>
      <w:numFmt w:val="bullet"/>
      <w:lvlText w:val=""/>
      <w:lvlJc w:val="left"/>
      <w:pPr>
        <w:tabs>
          <w:tab w:val="num" w:pos="4320"/>
        </w:tabs>
        <w:ind w:left="4320" w:hanging="360"/>
      </w:pPr>
      <w:rPr>
        <w:rFonts w:ascii="Symbol" w:hAnsi="Symbol" w:hint="default"/>
      </w:rPr>
    </w:lvl>
    <w:lvl w:ilvl="6" w:tplc="377ACC06" w:tentative="1">
      <w:start w:val="1"/>
      <w:numFmt w:val="bullet"/>
      <w:lvlText w:val=""/>
      <w:lvlJc w:val="left"/>
      <w:pPr>
        <w:tabs>
          <w:tab w:val="num" w:pos="5040"/>
        </w:tabs>
        <w:ind w:left="5040" w:hanging="360"/>
      </w:pPr>
      <w:rPr>
        <w:rFonts w:ascii="Symbol" w:hAnsi="Symbol" w:hint="default"/>
      </w:rPr>
    </w:lvl>
    <w:lvl w:ilvl="7" w:tplc="8D744430" w:tentative="1">
      <w:start w:val="1"/>
      <w:numFmt w:val="bullet"/>
      <w:lvlText w:val=""/>
      <w:lvlJc w:val="left"/>
      <w:pPr>
        <w:tabs>
          <w:tab w:val="num" w:pos="5760"/>
        </w:tabs>
        <w:ind w:left="5760" w:hanging="360"/>
      </w:pPr>
      <w:rPr>
        <w:rFonts w:ascii="Symbol" w:hAnsi="Symbol" w:hint="default"/>
      </w:rPr>
    </w:lvl>
    <w:lvl w:ilvl="8" w:tplc="49A80EF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83B7600"/>
    <w:multiLevelType w:val="hybridMultilevel"/>
    <w:tmpl w:val="857A09D8"/>
    <w:lvl w:ilvl="0" w:tplc="04100017">
      <w:start w:val="1"/>
      <w:numFmt w:val="lowerLetter"/>
      <w:lvlText w:val="%1)"/>
      <w:lvlJc w:val="left"/>
      <w:pPr>
        <w:ind w:left="2517" w:hanging="360"/>
      </w:pPr>
    </w:lvl>
    <w:lvl w:ilvl="1" w:tplc="04100003" w:tentative="1">
      <w:start w:val="1"/>
      <w:numFmt w:val="bullet"/>
      <w:lvlText w:val="o"/>
      <w:lvlJc w:val="left"/>
      <w:pPr>
        <w:ind w:left="3237" w:hanging="360"/>
      </w:pPr>
      <w:rPr>
        <w:rFonts w:ascii="Courier New" w:hAnsi="Courier New" w:cs="Courier New" w:hint="default"/>
      </w:rPr>
    </w:lvl>
    <w:lvl w:ilvl="2" w:tplc="04100005" w:tentative="1">
      <w:start w:val="1"/>
      <w:numFmt w:val="bullet"/>
      <w:lvlText w:val=""/>
      <w:lvlJc w:val="left"/>
      <w:pPr>
        <w:ind w:left="3957" w:hanging="360"/>
      </w:pPr>
      <w:rPr>
        <w:rFonts w:ascii="Wingdings" w:hAnsi="Wingdings" w:hint="default"/>
      </w:rPr>
    </w:lvl>
    <w:lvl w:ilvl="3" w:tplc="04100001" w:tentative="1">
      <w:start w:val="1"/>
      <w:numFmt w:val="bullet"/>
      <w:lvlText w:val=""/>
      <w:lvlJc w:val="left"/>
      <w:pPr>
        <w:ind w:left="4677" w:hanging="360"/>
      </w:pPr>
      <w:rPr>
        <w:rFonts w:ascii="Symbol" w:hAnsi="Symbol" w:hint="default"/>
      </w:rPr>
    </w:lvl>
    <w:lvl w:ilvl="4" w:tplc="04100003" w:tentative="1">
      <w:start w:val="1"/>
      <w:numFmt w:val="bullet"/>
      <w:lvlText w:val="o"/>
      <w:lvlJc w:val="left"/>
      <w:pPr>
        <w:ind w:left="5397" w:hanging="360"/>
      </w:pPr>
      <w:rPr>
        <w:rFonts w:ascii="Courier New" w:hAnsi="Courier New" w:cs="Courier New" w:hint="default"/>
      </w:rPr>
    </w:lvl>
    <w:lvl w:ilvl="5" w:tplc="04100005" w:tentative="1">
      <w:start w:val="1"/>
      <w:numFmt w:val="bullet"/>
      <w:lvlText w:val=""/>
      <w:lvlJc w:val="left"/>
      <w:pPr>
        <w:ind w:left="6117" w:hanging="360"/>
      </w:pPr>
      <w:rPr>
        <w:rFonts w:ascii="Wingdings" w:hAnsi="Wingdings" w:hint="default"/>
      </w:rPr>
    </w:lvl>
    <w:lvl w:ilvl="6" w:tplc="04100001" w:tentative="1">
      <w:start w:val="1"/>
      <w:numFmt w:val="bullet"/>
      <w:lvlText w:val=""/>
      <w:lvlJc w:val="left"/>
      <w:pPr>
        <w:ind w:left="6837" w:hanging="360"/>
      </w:pPr>
      <w:rPr>
        <w:rFonts w:ascii="Symbol" w:hAnsi="Symbol" w:hint="default"/>
      </w:rPr>
    </w:lvl>
    <w:lvl w:ilvl="7" w:tplc="04100003" w:tentative="1">
      <w:start w:val="1"/>
      <w:numFmt w:val="bullet"/>
      <w:lvlText w:val="o"/>
      <w:lvlJc w:val="left"/>
      <w:pPr>
        <w:ind w:left="7557" w:hanging="360"/>
      </w:pPr>
      <w:rPr>
        <w:rFonts w:ascii="Courier New" w:hAnsi="Courier New" w:cs="Courier New" w:hint="default"/>
      </w:rPr>
    </w:lvl>
    <w:lvl w:ilvl="8" w:tplc="04100005" w:tentative="1">
      <w:start w:val="1"/>
      <w:numFmt w:val="bullet"/>
      <w:lvlText w:val=""/>
      <w:lvlJc w:val="left"/>
      <w:pPr>
        <w:ind w:left="8277" w:hanging="360"/>
      </w:pPr>
      <w:rPr>
        <w:rFonts w:ascii="Wingdings" w:hAnsi="Wingdings" w:hint="default"/>
      </w:rPr>
    </w:lvl>
  </w:abstractNum>
  <w:abstractNum w:abstractNumId="8" w15:restartNumberingAfterBreak="0">
    <w:nsid w:val="08BF3BFF"/>
    <w:multiLevelType w:val="hybridMultilevel"/>
    <w:tmpl w:val="625CFFF6"/>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9" w15:restartNumberingAfterBreak="0">
    <w:nsid w:val="09B04BFB"/>
    <w:multiLevelType w:val="hybridMultilevel"/>
    <w:tmpl w:val="41BE7B76"/>
    <w:lvl w:ilvl="0" w:tplc="C8782680">
      <w:start w:val="1"/>
      <w:numFmt w:val="bullet"/>
      <w:lvlText w:val=""/>
      <w:lvlJc w:val="left"/>
      <w:pPr>
        <w:ind w:left="360" w:hanging="360"/>
      </w:pPr>
      <w:rPr>
        <w:rFonts w:ascii="Wingdings" w:hAnsi="Wingdings" w:hint="default"/>
        <w:color w:val="E42618"/>
        <w:sz w:val="21"/>
        <w:szCs w:val="21"/>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9EC4AD0"/>
    <w:multiLevelType w:val="multilevel"/>
    <w:tmpl w:val="781664CC"/>
    <w:lvl w:ilvl="0">
      <w:start w:val="1"/>
      <w:numFmt w:val="lowerLetter"/>
      <w:lvlText w:val="(%1)"/>
      <w:lvlJc w:val="left"/>
      <w:pPr>
        <w:tabs>
          <w:tab w:val="num" w:pos="360"/>
        </w:tabs>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AB86367"/>
    <w:multiLevelType w:val="hybridMultilevel"/>
    <w:tmpl w:val="4FFCC8FE"/>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12" w15:restartNumberingAfterBreak="0">
    <w:nsid w:val="0B643584"/>
    <w:multiLevelType w:val="hybridMultilevel"/>
    <w:tmpl w:val="51E2D8B6"/>
    <w:lvl w:ilvl="0" w:tplc="46243AC4">
      <w:start w:val="1"/>
      <w:numFmt w:val="lowerLetter"/>
      <w:lvlText w:val="%1)"/>
      <w:lvlJc w:val="left"/>
      <w:pPr>
        <w:ind w:left="2517" w:hanging="360"/>
      </w:pPr>
      <w:rPr>
        <w:rFonts w:ascii="Arial" w:eastAsia="Times New Roman" w:hAnsi="Arial" w:cs="Arial"/>
      </w:rPr>
    </w:lvl>
    <w:lvl w:ilvl="1" w:tplc="04100003" w:tentative="1">
      <w:start w:val="1"/>
      <w:numFmt w:val="bullet"/>
      <w:lvlText w:val="o"/>
      <w:lvlJc w:val="left"/>
      <w:pPr>
        <w:ind w:left="3237" w:hanging="360"/>
      </w:pPr>
      <w:rPr>
        <w:rFonts w:ascii="Courier New" w:hAnsi="Courier New" w:cs="Courier New" w:hint="default"/>
      </w:rPr>
    </w:lvl>
    <w:lvl w:ilvl="2" w:tplc="04100005" w:tentative="1">
      <w:start w:val="1"/>
      <w:numFmt w:val="bullet"/>
      <w:lvlText w:val=""/>
      <w:lvlJc w:val="left"/>
      <w:pPr>
        <w:ind w:left="3957" w:hanging="360"/>
      </w:pPr>
      <w:rPr>
        <w:rFonts w:ascii="Wingdings" w:hAnsi="Wingdings" w:hint="default"/>
      </w:rPr>
    </w:lvl>
    <w:lvl w:ilvl="3" w:tplc="04100001" w:tentative="1">
      <w:start w:val="1"/>
      <w:numFmt w:val="bullet"/>
      <w:lvlText w:val=""/>
      <w:lvlJc w:val="left"/>
      <w:pPr>
        <w:ind w:left="4677" w:hanging="360"/>
      </w:pPr>
      <w:rPr>
        <w:rFonts w:ascii="Symbol" w:hAnsi="Symbol" w:hint="default"/>
      </w:rPr>
    </w:lvl>
    <w:lvl w:ilvl="4" w:tplc="04100003" w:tentative="1">
      <w:start w:val="1"/>
      <w:numFmt w:val="bullet"/>
      <w:lvlText w:val="o"/>
      <w:lvlJc w:val="left"/>
      <w:pPr>
        <w:ind w:left="5397" w:hanging="360"/>
      </w:pPr>
      <w:rPr>
        <w:rFonts w:ascii="Courier New" w:hAnsi="Courier New" w:cs="Courier New" w:hint="default"/>
      </w:rPr>
    </w:lvl>
    <w:lvl w:ilvl="5" w:tplc="04100005" w:tentative="1">
      <w:start w:val="1"/>
      <w:numFmt w:val="bullet"/>
      <w:lvlText w:val=""/>
      <w:lvlJc w:val="left"/>
      <w:pPr>
        <w:ind w:left="6117" w:hanging="360"/>
      </w:pPr>
      <w:rPr>
        <w:rFonts w:ascii="Wingdings" w:hAnsi="Wingdings" w:hint="default"/>
      </w:rPr>
    </w:lvl>
    <w:lvl w:ilvl="6" w:tplc="04100001" w:tentative="1">
      <w:start w:val="1"/>
      <w:numFmt w:val="bullet"/>
      <w:lvlText w:val=""/>
      <w:lvlJc w:val="left"/>
      <w:pPr>
        <w:ind w:left="6837" w:hanging="360"/>
      </w:pPr>
      <w:rPr>
        <w:rFonts w:ascii="Symbol" w:hAnsi="Symbol" w:hint="default"/>
      </w:rPr>
    </w:lvl>
    <w:lvl w:ilvl="7" w:tplc="04100003" w:tentative="1">
      <w:start w:val="1"/>
      <w:numFmt w:val="bullet"/>
      <w:lvlText w:val="o"/>
      <w:lvlJc w:val="left"/>
      <w:pPr>
        <w:ind w:left="7557" w:hanging="360"/>
      </w:pPr>
      <w:rPr>
        <w:rFonts w:ascii="Courier New" w:hAnsi="Courier New" w:cs="Courier New" w:hint="default"/>
      </w:rPr>
    </w:lvl>
    <w:lvl w:ilvl="8" w:tplc="04100005" w:tentative="1">
      <w:start w:val="1"/>
      <w:numFmt w:val="bullet"/>
      <w:lvlText w:val=""/>
      <w:lvlJc w:val="left"/>
      <w:pPr>
        <w:ind w:left="8277" w:hanging="360"/>
      </w:pPr>
      <w:rPr>
        <w:rFonts w:ascii="Wingdings" w:hAnsi="Wingdings" w:hint="default"/>
      </w:rPr>
    </w:lvl>
  </w:abstractNum>
  <w:abstractNum w:abstractNumId="13" w15:restartNumberingAfterBreak="0">
    <w:nsid w:val="0CE739D6"/>
    <w:multiLevelType w:val="hybridMultilevel"/>
    <w:tmpl w:val="2C004114"/>
    <w:lvl w:ilvl="0" w:tplc="FFFFFFFF">
      <w:start w:val="1"/>
      <w:numFmt w:val="bullet"/>
      <w:lvlText w:val=""/>
      <w:lvlJc w:val="left"/>
      <w:pPr>
        <w:tabs>
          <w:tab w:val="num" w:pos="340"/>
        </w:tabs>
        <w:ind w:left="0" w:firstLine="0"/>
      </w:pPr>
      <w:rPr>
        <w:rFonts w:ascii="Wingdings" w:hAnsi="Wingdings" w:hint="default"/>
        <w:b w:val="0"/>
        <w:i w:val="0"/>
        <w:color w:val="FF0000"/>
        <w:spacing w:val="0"/>
        <w:sz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407BCC"/>
    <w:multiLevelType w:val="hybridMultilevel"/>
    <w:tmpl w:val="F20AF4D8"/>
    <w:lvl w:ilvl="0" w:tplc="5270E3B4">
      <w:start w:val="1"/>
      <w:numFmt w:val="lowerLetter"/>
      <w:lvlText w:val="(%1)"/>
      <w:lvlJc w:val="left"/>
      <w:pPr>
        <w:ind w:left="2174" w:hanging="360"/>
      </w:pPr>
      <w:rPr>
        <w:rFonts w:hint="default"/>
      </w:rPr>
    </w:lvl>
    <w:lvl w:ilvl="1" w:tplc="04100019" w:tentative="1">
      <w:start w:val="1"/>
      <w:numFmt w:val="lowerLetter"/>
      <w:lvlText w:val="%2."/>
      <w:lvlJc w:val="left"/>
      <w:pPr>
        <w:ind w:left="2894" w:hanging="360"/>
      </w:pPr>
    </w:lvl>
    <w:lvl w:ilvl="2" w:tplc="0410001B" w:tentative="1">
      <w:start w:val="1"/>
      <w:numFmt w:val="lowerRoman"/>
      <w:lvlText w:val="%3."/>
      <w:lvlJc w:val="right"/>
      <w:pPr>
        <w:ind w:left="3614" w:hanging="180"/>
      </w:pPr>
    </w:lvl>
    <w:lvl w:ilvl="3" w:tplc="0410000F" w:tentative="1">
      <w:start w:val="1"/>
      <w:numFmt w:val="decimal"/>
      <w:lvlText w:val="%4."/>
      <w:lvlJc w:val="left"/>
      <w:pPr>
        <w:ind w:left="4334" w:hanging="360"/>
      </w:pPr>
    </w:lvl>
    <w:lvl w:ilvl="4" w:tplc="04100019" w:tentative="1">
      <w:start w:val="1"/>
      <w:numFmt w:val="lowerLetter"/>
      <w:lvlText w:val="%5."/>
      <w:lvlJc w:val="left"/>
      <w:pPr>
        <w:ind w:left="5054" w:hanging="360"/>
      </w:pPr>
    </w:lvl>
    <w:lvl w:ilvl="5" w:tplc="0410001B" w:tentative="1">
      <w:start w:val="1"/>
      <w:numFmt w:val="lowerRoman"/>
      <w:lvlText w:val="%6."/>
      <w:lvlJc w:val="right"/>
      <w:pPr>
        <w:ind w:left="5774" w:hanging="180"/>
      </w:pPr>
    </w:lvl>
    <w:lvl w:ilvl="6" w:tplc="0410000F" w:tentative="1">
      <w:start w:val="1"/>
      <w:numFmt w:val="decimal"/>
      <w:lvlText w:val="%7."/>
      <w:lvlJc w:val="left"/>
      <w:pPr>
        <w:ind w:left="6494" w:hanging="360"/>
      </w:pPr>
    </w:lvl>
    <w:lvl w:ilvl="7" w:tplc="04100019" w:tentative="1">
      <w:start w:val="1"/>
      <w:numFmt w:val="lowerLetter"/>
      <w:lvlText w:val="%8."/>
      <w:lvlJc w:val="left"/>
      <w:pPr>
        <w:ind w:left="7214" w:hanging="360"/>
      </w:pPr>
    </w:lvl>
    <w:lvl w:ilvl="8" w:tplc="0410001B" w:tentative="1">
      <w:start w:val="1"/>
      <w:numFmt w:val="lowerRoman"/>
      <w:lvlText w:val="%9."/>
      <w:lvlJc w:val="right"/>
      <w:pPr>
        <w:ind w:left="7934" w:hanging="180"/>
      </w:pPr>
    </w:lvl>
  </w:abstractNum>
  <w:abstractNum w:abstractNumId="15" w15:restartNumberingAfterBreak="0">
    <w:nsid w:val="0E172E02"/>
    <w:multiLevelType w:val="hybridMultilevel"/>
    <w:tmpl w:val="98E2AEF0"/>
    <w:lvl w:ilvl="0" w:tplc="A8762A92">
      <w:start w:val="1"/>
      <w:numFmt w:val="bullet"/>
      <w:lvlText w:val=""/>
      <w:lvlPicBulletId w:val="0"/>
      <w:lvlJc w:val="left"/>
      <w:pPr>
        <w:tabs>
          <w:tab w:val="num" w:pos="720"/>
        </w:tabs>
        <w:ind w:left="720" w:hanging="360"/>
      </w:pPr>
      <w:rPr>
        <w:rFonts w:ascii="Symbol" w:hAnsi="Symbol" w:hint="default"/>
      </w:rPr>
    </w:lvl>
    <w:lvl w:ilvl="1" w:tplc="6D6EAF6E">
      <w:start w:val="1"/>
      <w:numFmt w:val="bullet"/>
      <w:lvlText w:val=""/>
      <w:lvlJc w:val="left"/>
      <w:pPr>
        <w:tabs>
          <w:tab w:val="num" w:pos="1440"/>
        </w:tabs>
        <w:ind w:left="1440" w:hanging="360"/>
      </w:pPr>
      <w:rPr>
        <w:rFonts w:ascii="Symbol" w:hAnsi="Symbol" w:hint="default"/>
      </w:rPr>
    </w:lvl>
    <w:lvl w:ilvl="2" w:tplc="7A64CB7E" w:tentative="1">
      <w:start w:val="1"/>
      <w:numFmt w:val="bullet"/>
      <w:lvlText w:val=""/>
      <w:lvlJc w:val="left"/>
      <w:pPr>
        <w:tabs>
          <w:tab w:val="num" w:pos="2160"/>
        </w:tabs>
        <w:ind w:left="2160" w:hanging="360"/>
      </w:pPr>
      <w:rPr>
        <w:rFonts w:ascii="Symbol" w:hAnsi="Symbol" w:hint="default"/>
      </w:rPr>
    </w:lvl>
    <w:lvl w:ilvl="3" w:tplc="19A2BEA6" w:tentative="1">
      <w:start w:val="1"/>
      <w:numFmt w:val="bullet"/>
      <w:lvlText w:val=""/>
      <w:lvlJc w:val="left"/>
      <w:pPr>
        <w:tabs>
          <w:tab w:val="num" w:pos="2880"/>
        </w:tabs>
        <w:ind w:left="2880" w:hanging="360"/>
      </w:pPr>
      <w:rPr>
        <w:rFonts w:ascii="Symbol" w:hAnsi="Symbol" w:hint="default"/>
      </w:rPr>
    </w:lvl>
    <w:lvl w:ilvl="4" w:tplc="7A906554" w:tentative="1">
      <w:start w:val="1"/>
      <w:numFmt w:val="bullet"/>
      <w:lvlText w:val=""/>
      <w:lvlJc w:val="left"/>
      <w:pPr>
        <w:tabs>
          <w:tab w:val="num" w:pos="3600"/>
        </w:tabs>
        <w:ind w:left="3600" w:hanging="360"/>
      </w:pPr>
      <w:rPr>
        <w:rFonts w:ascii="Symbol" w:hAnsi="Symbol" w:hint="default"/>
      </w:rPr>
    </w:lvl>
    <w:lvl w:ilvl="5" w:tplc="DF94CC1E" w:tentative="1">
      <w:start w:val="1"/>
      <w:numFmt w:val="bullet"/>
      <w:lvlText w:val=""/>
      <w:lvlJc w:val="left"/>
      <w:pPr>
        <w:tabs>
          <w:tab w:val="num" w:pos="4320"/>
        </w:tabs>
        <w:ind w:left="4320" w:hanging="360"/>
      </w:pPr>
      <w:rPr>
        <w:rFonts w:ascii="Symbol" w:hAnsi="Symbol" w:hint="default"/>
      </w:rPr>
    </w:lvl>
    <w:lvl w:ilvl="6" w:tplc="10AAB236" w:tentative="1">
      <w:start w:val="1"/>
      <w:numFmt w:val="bullet"/>
      <w:lvlText w:val=""/>
      <w:lvlJc w:val="left"/>
      <w:pPr>
        <w:tabs>
          <w:tab w:val="num" w:pos="5040"/>
        </w:tabs>
        <w:ind w:left="5040" w:hanging="360"/>
      </w:pPr>
      <w:rPr>
        <w:rFonts w:ascii="Symbol" w:hAnsi="Symbol" w:hint="default"/>
      </w:rPr>
    </w:lvl>
    <w:lvl w:ilvl="7" w:tplc="387E825A" w:tentative="1">
      <w:start w:val="1"/>
      <w:numFmt w:val="bullet"/>
      <w:lvlText w:val=""/>
      <w:lvlJc w:val="left"/>
      <w:pPr>
        <w:tabs>
          <w:tab w:val="num" w:pos="5760"/>
        </w:tabs>
        <w:ind w:left="5760" w:hanging="360"/>
      </w:pPr>
      <w:rPr>
        <w:rFonts w:ascii="Symbol" w:hAnsi="Symbol" w:hint="default"/>
      </w:rPr>
    </w:lvl>
    <w:lvl w:ilvl="8" w:tplc="4A643362"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1C24545E"/>
    <w:multiLevelType w:val="hybridMultilevel"/>
    <w:tmpl w:val="2BE66A3A"/>
    <w:lvl w:ilvl="0" w:tplc="6888BADE">
      <w:start w:val="1"/>
      <w:numFmt w:val="bullet"/>
      <w:lvlText w:val=""/>
      <w:lvlJc w:val="left"/>
      <w:pPr>
        <w:tabs>
          <w:tab w:val="num" w:pos="340"/>
        </w:tabs>
      </w:pPr>
      <w:rPr>
        <w:rFonts w:ascii="Webdings" w:hAnsi="Webdings" w:hint="default"/>
        <w:b w:val="0"/>
        <w:i w:val="0"/>
        <w:color w:val="E42618"/>
        <w:spacing w:val="0"/>
        <w:sz w:val="24"/>
        <w:szCs w:val="18"/>
      </w:rPr>
    </w:lvl>
    <w:lvl w:ilvl="1" w:tplc="E8FCC02E">
      <w:start w:val="1"/>
      <w:numFmt w:val="bullet"/>
      <w:lvlText w:val="o"/>
      <w:lvlJc w:val="left"/>
      <w:pPr>
        <w:tabs>
          <w:tab w:val="num" w:pos="1440"/>
        </w:tabs>
        <w:ind w:left="1440" w:hanging="360"/>
      </w:pPr>
      <w:rPr>
        <w:rFonts w:ascii="Courier New" w:hAnsi="Courier New"/>
      </w:rPr>
    </w:lvl>
    <w:lvl w:ilvl="2" w:tplc="57B2E412">
      <w:start w:val="1"/>
      <w:numFmt w:val="bullet"/>
      <w:lvlText w:val=""/>
      <w:lvlJc w:val="left"/>
      <w:pPr>
        <w:tabs>
          <w:tab w:val="num" w:pos="2160"/>
        </w:tabs>
        <w:ind w:left="2160" w:hanging="360"/>
      </w:pPr>
      <w:rPr>
        <w:rFonts w:ascii="Wingdings" w:hAnsi="Wingdings"/>
      </w:rPr>
    </w:lvl>
    <w:lvl w:ilvl="3" w:tplc="31BA2B30">
      <w:start w:val="1"/>
      <w:numFmt w:val="bullet"/>
      <w:lvlText w:val=""/>
      <w:lvlJc w:val="left"/>
      <w:pPr>
        <w:tabs>
          <w:tab w:val="num" w:pos="2880"/>
        </w:tabs>
        <w:ind w:left="2880" w:hanging="360"/>
      </w:pPr>
      <w:rPr>
        <w:rFonts w:ascii="Symbol" w:hAnsi="Symbol"/>
      </w:rPr>
    </w:lvl>
    <w:lvl w:ilvl="4" w:tplc="2C2276D6">
      <w:start w:val="1"/>
      <w:numFmt w:val="bullet"/>
      <w:lvlText w:val="o"/>
      <w:lvlJc w:val="left"/>
      <w:pPr>
        <w:tabs>
          <w:tab w:val="num" w:pos="3600"/>
        </w:tabs>
        <w:ind w:left="3600" w:hanging="360"/>
      </w:pPr>
      <w:rPr>
        <w:rFonts w:ascii="Courier New" w:hAnsi="Courier New"/>
      </w:rPr>
    </w:lvl>
    <w:lvl w:ilvl="5" w:tplc="85BACC6E">
      <w:start w:val="1"/>
      <w:numFmt w:val="bullet"/>
      <w:lvlText w:val=""/>
      <w:lvlJc w:val="left"/>
      <w:pPr>
        <w:tabs>
          <w:tab w:val="num" w:pos="4320"/>
        </w:tabs>
        <w:ind w:left="4320" w:hanging="360"/>
      </w:pPr>
      <w:rPr>
        <w:rFonts w:ascii="Wingdings" w:hAnsi="Wingdings"/>
      </w:rPr>
    </w:lvl>
    <w:lvl w:ilvl="6" w:tplc="1F3EF924">
      <w:start w:val="1"/>
      <w:numFmt w:val="bullet"/>
      <w:lvlText w:val=""/>
      <w:lvlJc w:val="left"/>
      <w:pPr>
        <w:tabs>
          <w:tab w:val="num" w:pos="5040"/>
        </w:tabs>
        <w:ind w:left="5040" w:hanging="360"/>
      </w:pPr>
      <w:rPr>
        <w:rFonts w:ascii="Symbol" w:hAnsi="Symbol"/>
      </w:rPr>
    </w:lvl>
    <w:lvl w:ilvl="7" w:tplc="6D82A608">
      <w:start w:val="1"/>
      <w:numFmt w:val="bullet"/>
      <w:lvlText w:val="o"/>
      <w:lvlJc w:val="left"/>
      <w:pPr>
        <w:tabs>
          <w:tab w:val="num" w:pos="5760"/>
        </w:tabs>
        <w:ind w:left="5760" w:hanging="360"/>
      </w:pPr>
      <w:rPr>
        <w:rFonts w:ascii="Courier New" w:hAnsi="Courier New"/>
      </w:rPr>
    </w:lvl>
    <w:lvl w:ilvl="8" w:tplc="11E84114">
      <w:start w:val="1"/>
      <w:numFmt w:val="bullet"/>
      <w:lvlText w:val=""/>
      <w:lvlJc w:val="left"/>
      <w:pPr>
        <w:tabs>
          <w:tab w:val="num" w:pos="6480"/>
        </w:tabs>
        <w:ind w:left="6480" w:hanging="360"/>
      </w:pPr>
      <w:rPr>
        <w:rFonts w:ascii="Wingdings" w:hAnsi="Wingdings"/>
      </w:rPr>
    </w:lvl>
  </w:abstractNum>
  <w:abstractNum w:abstractNumId="17" w15:restartNumberingAfterBreak="0">
    <w:nsid w:val="1C424650"/>
    <w:multiLevelType w:val="hybridMultilevel"/>
    <w:tmpl w:val="4FC00012"/>
    <w:lvl w:ilvl="0" w:tplc="086C8314">
      <w:start w:val="1"/>
      <w:numFmt w:val="bullet"/>
      <w:lvlText w:val=""/>
      <w:lvlJc w:val="left"/>
      <w:pPr>
        <w:tabs>
          <w:tab w:val="num" w:pos="340"/>
        </w:tabs>
        <w:ind w:left="0" w:firstLine="0"/>
      </w:pPr>
      <w:rPr>
        <w:rFonts w:ascii="Wingdings" w:hAnsi="Wingdings" w:hint="default"/>
        <w:b w:val="0"/>
        <w:i w:val="0"/>
        <w:color w:val="E42618"/>
        <w:spacing w:val="0"/>
        <w:sz w:val="26"/>
        <w:szCs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F343AE3"/>
    <w:multiLevelType w:val="hybridMultilevel"/>
    <w:tmpl w:val="6EC29A46"/>
    <w:lvl w:ilvl="0" w:tplc="DB7A5FB8">
      <w:start w:val="1"/>
      <w:numFmt w:val="lowerLetter"/>
      <w:lvlText w:val="%1)"/>
      <w:lvlJc w:val="left"/>
      <w:pPr>
        <w:ind w:left="2174" w:hanging="360"/>
      </w:pPr>
      <w:rPr>
        <w:rFonts w:hint="default"/>
      </w:rPr>
    </w:lvl>
    <w:lvl w:ilvl="1" w:tplc="04100019" w:tentative="1">
      <w:start w:val="1"/>
      <w:numFmt w:val="lowerLetter"/>
      <w:lvlText w:val="%2."/>
      <w:lvlJc w:val="left"/>
      <w:pPr>
        <w:ind w:left="2894" w:hanging="360"/>
      </w:pPr>
    </w:lvl>
    <w:lvl w:ilvl="2" w:tplc="0410001B" w:tentative="1">
      <w:start w:val="1"/>
      <w:numFmt w:val="lowerRoman"/>
      <w:lvlText w:val="%3."/>
      <w:lvlJc w:val="right"/>
      <w:pPr>
        <w:ind w:left="3614" w:hanging="180"/>
      </w:pPr>
    </w:lvl>
    <w:lvl w:ilvl="3" w:tplc="0410000F" w:tentative="1">
      <w:start w:val="1"/>
      <w:numFmt w:val="decimal"/>
      <w:lvlText w:val="%4."/>
      <w:lvlJc w:val="left"/>
      <w:pPr>
        <w:ind w:left="4334" w:hanging="360"/>
      </w:pPr>
    </w:lvl>
    <w:lvl w:ilvl="4" w:tplc="04100019" w:tentative="1">
      <w:start w:val="1"/>
      <w:numFmt w:val="lowerLetter"/>
      <w:lvlText w:val="%5."/>
      <w:lvlJc w:val="left"/>
      <w:pPr>
        <w:ind w:left="5054" w:hanging="360"/>
      </w:pPr>
    </w:lvl>
    <w:lvl w:ilvl="5" w:tplc="0410001B" w:tentative="1">
      <w:start w:val="1"/>
      <w:numFmt w:val="lowerRoman"/>
      <w:lvlText w:val="%6."/>
      <w:lvlJc w:val="right"/>
      <w:pPr>
        <w:ind w:left="5774" w:hanging="180"/>
      </w:pPr>
    </w:lvl>
    <w:lvl w:ilvl="6" w:tplc="0410000F" w:tentative="1">
      <w:start w:val="1"/>
      <w:numFmt w:val="decimal"/>
      <w:lvlText w:val="%7."/>
      <w:lvlJc w:val="left"/>
      <w:pPr>
        <w:ind w:left="6494" w:hanging="360"/>
      </w:pPr>
    </w:lvl>
    <w:lvl w:ilvl="7" w:tplc="04100019" w:tentative="1">
      <w:start w:val="1"/>
      <w:numFmt w:val="lowerLetter"/>
      <w:lvlText w:val="%8."/>
      <w:lvlJc w:val="left"/>
      <w:pPr>
        <w:ind w:left="7214" w:hanging="360"/>
      </w:pPr>
    </w:lvl>
    <w:lvl w:ilvl="8" w:tplc="0410001B" w:tentative="1">
      <w:start w:val="1"/>
      <w:numFmt w:val="lowerRoman"/>
      <w:lvlText w:val="%9."/>
      <w:lvlJc w:val="right"/>
      <w:pPr>
        <w:ind w:left="7934" w:hanging="180"/>
      </w:pPr>
    </w:lvl>
  </w:abstractNum>
  <w:abstractNum w:abstractNumId="19" w15:restartNumberingAfterBreak="0">
    <w:nsid w:val="21557202"/>
    <w:multiLevelType w:val="hybridMultilevel"/>
    <w:tmpl w:val="0A3276F0"/>
    <w:lvl w:ilvl="0" w:tplc="041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7D531E"/>
    <w:multiLevelType w:val="hybridMultilevel"/>
    <w:tmpl w:val="73003C7A"/>
    <w:lvl w:ilvl="0" w:tplc="7FE041A6">
      <w:start w:val="1"/>
      <w:numFmt w:val="bullet"/>
      <w:lvlText w:val=""/>
      <w:lvlJc w:val="left"/>
      <w:pPr>
        <w:ind w:left="2534" w:hanging="360"/>
      </w:pPr>
      <w:rPr>
        <w:rFonts w:ascii="Wingdings" w:hAnsi="Wingdings" w:hint="default"/>
        <w:b/>
        <w:i w:val="0"/>
        <w:color w:val="FF0000"/>
        <w:sz w:val="18"/>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21" w15:restartNumberingAfterBreak="0">
    <w:nsid w:val="29FC5E71"/>
    <w:multiLevelType w:val="multilevel"/>
    <w:tmpl w:val="98E2AEF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08A6599"/>
    <w:multiLevelType w:val="hybridMultilevel"/>
    <w:tmpl w:val="B76E8456"/>
    <w:lvl w:ilvl="0" w:tplc="2B42CDCC">
      <w:start w:val="1"/>
      <w:numFmt w:val="bullet"/>
      <w:lvlText w:val=""/>
      <w:lvlJc w:val="left"/>
      <w:pPr>
        <w:tabs>
          <w:tab w:val="num" w:pos="340"/>
        </w:tabs>
      </w:pPr>
      <w:rPr>
        <w:rFonts w:ascii="Wingdings" w:hAnsi="Wingdings" w:hint="default"/>
        <w:b w:val="0"/>
        <w:i w:val="0"/>
        <w:color w:val="FF0000"/>
        <w:spacing w:val="0"/>
        <w:sz w:val="26"/>
      </w:rPr>
    </w:lvl>
    <w:lvl w:ilvl="1" w:tplc="BEA8D876">
      <w:start w:val="1"/>
      <w:numFmt w:val="bullet"/>
      <w:lvlText w:val="o"/>
      <w:lvlJc w:val="left"/>
      <w:pPr>
        <w:tabs>
          <w:tab w:val="num" w:pos="1440"/>
        </w:tabs>
        <w:ind w:left="1440" w:hanging="360"/>
      </w:pPr>
      <w:rPr>
        <w:rFonts w:ascii="Courier New" w:hAnsi="Courier New" w:hint="default"/>
      </w:rPr>
    </w:lvl>
    <w:lvl w:ilvl="2" w:tplc="CA689E7A">
      <w:start w:val="1"/>
      <w:numFmt w:val="bullet"/>
      <w:lvlText w:val=""/>
      <w:lvlJc w:val="left"/>
      <w:pPr>
        <w:tabs>
          <w:tab w:val="num" w:pos="2160"/>
        </w:tabs>
        <w:ind w:left="2160" w:hanging="360"/>
      </w:pPr>
      <w:rPr>
        <w:rFonts w:ascii="Wingdings" w:hAnsi="Wingdings" w:hint="default"/>
      </w:rPr>
    </w:lvl>
    <w:lvl w:ilvl="3" w:tplc="1B16916C">
      <w:start w:val="1"/>
      <w:numFmt w:val="bullet"/>
      <w:lvlText w:val=""/>
      <w:lvlJc w:val="left"/>
      <w:pPr>
        <w:tabs>
          <w:tab w:val="num" w:pos="2880"/>
        </w:tabs>
        <w:ind w:left="2880" w:hanging="360"/>
      </w:pPr>
      <w:rPr>
        <w:rFonts w:ascii="Symbol" w:hAnsi="Symbol" w:hint="default"/>
      </w:rPr>
    </w:lvl>
    <w:lvl w:ilvl="4" w:tplc="8584BC78">
      <w:start w:val="1"/>
      <w:numFmt w:val="bullet"/>
      <w:lvlText w:val="o"/>
      <w:lvlJc w:val="left"/>
      <w:pPr>
        <w:tabs>
          <w:tab w:val="num" w:pos="3600"/>
        </w:tabs>
        <w:ind w:left="3600" w:hanging="360"/>
      </w:pPr>
      <w:rPr>
        <w:rFonts w:ascii="Courier New" w:hAnsi="Courier New" w:hint="default"/>
      </w:rPr>
    </w:lvl>
    <w:lvl w:ilvl="5" w:tplc="FE628432">
      <w:start w:val="1"/>
      <w:numFmt w:val="bullet"/>
      <w:lvlText w:val=""/>
      <w:lvlJc w:val="left"/>
      <w:pPr>
        <w:tabs>
          <w:tab w:val="num" w:pos="4320"/>
        </w:tabs>
        <w:ind w:left="4320" w:hanging="360"/>
      </w:pPr>
      <w:rPr>
        <w:rFonts w:ascii="Wingdings" w:hAnsi="Wingdings" w:hint="default"/>
      </w:rPr>
    </w:lvl>
    <w:lvl w:ilvl="6" w:tplc="DA4E5C98">
      <w:start w:val="1"/>
      <w:numFmt w:val="bullet"/>
      <w:lvlText w:val=""/>
      <w:lvlJc w:val="left"/>
      <w:pPr>
        <w:tabs>
          <w:tab w:val="num" w:pos="5040"/>
        </w:tabs>
        <w:ind w:left="5040" w:hanging="360"/>
      </w:pPr>
      <w:rPr>
        <w:rFonts w:ascii="Symbol" w:hAnsi="Symbol" w:hint="default"/>
      </w:rPr>
    </w:lvl>
    <w:lvl w:ilvl="7" w:tplc="CF50E1B2">
      <w:start w:val="1"/>
      <w:numFmt w:val="bullet"/>
      <w:lvlText w:val="o"/>
      <w:lvlJc w:val="left"/>
      <w:pPr>
        <w:tabs>
          <w:tab w:val="num" w:pos="5760"/>
        </w:tabs>
        <w:ind w:left="5760" w:hanging="360"/>
      </w:pPr>
      <w:rPr>
        <w:rFonts w:ascii="Courier New" w:hAnsi="Courier New" w:hint="default"/>
      </w:rPr>
    </w:lvl>
    <w:lvl w:ilvl="8" w:tplc="E9CCC43E">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2133F22"/>
    <w:multiLevelType w:val="hybridMultilevel"/>
    <w:tmpl w:val="07B4D620"/>
    <w:lvl w:ilvl="0" w:tplc="894A4710">
      <w:start w:val="1"/>
      <w:numFmt w:val="lowerLetter"/>
      <w:lvlText w:val="(%1)"/>
      <w:lvlJc w:val="left"/>
      <w:pPr>
        <w:tabs>
          <w:tab w:val="num" w:pos="2202"/>
        </w:tabs>
        <w:ind w:left="2202" w:hanging="360"/>
      </w:pPr>
      <w:rPr>
        <w:rFonts w:hint="default"/>
      </w:rPr>
    </w:lvl>
    <w:lvl w:ilvl="1" w:tplc="04100019" w:tentative="1">
      <w:start w:val="1"/>
      <w:numFmt w:val="lowerLetter"/>
      <w:lvlText w:val="%2."/>
      <w:lvlJc w:val="left"/>
      <w:pPr>
        <w:tabs>
          <w:tab w:val="num" w:pos="2922"/>
        </w:tabs>
        <w:ind w:left="2922" w:hanging="360"/>
      </w:pPr>
    </w:lvl>
    <w:lvl w:ilvl="2" w:tplc="0410001B" w:tentative="1">
      <w:start w:val="1"/>
      <w:numFmt w:val="lowerRoman"/>
      <w:lvlText w:val="%3."/>
      <w:lvlJc w:val="right"/>
      <w:pPr>
        <w:tabs>
          <w:tab w:val="num" w:pos="3642"/>
        </w:tabs>
        <w:ind w:left="3642" w:hanging="180"/>
      </w:pPr>
    </w:lvl>
    <w:lvl w:ilvl="3" w:tplc="0410000F" w:tentative="1">
      <w:start w:val="1"/>
      <w:numFmt w:val="decimal"/>
      <w:lvlText w:val="%4."/>
      <w:lvlJc w:val="left"/>
      <w:pPr>
        <w:tabs>
          <w:tab w:val="num" w:pos="4362"/>
        </w:tabs>
        <w:ind w:left="4362" w:hanging="360"/>
      </w:pPr>
    </w:lvl>
    <w:lvl w:ilvl="4" w:tplc="04100019" w:tentative="1">
      <w:start w:val="1"/>
      <w:numFmt w:val="lowerLetter"/>
      <w:lvlText w:val="%5."/>
      <w:lvlJc w:val="left"/>
      <w:pPr>
        <w:tabs>
          <w:tab w:val="num" w:pos="5082"/>
        </w:tabs>
        <w:ind w:left="5082" w:hanging="360"/>
      </w:pPr>
    </w:lvl>
    <w:lvl w:ilvl="5" w:tplc="0410001B" w:tentative="1">
      <w:start w:val="1"/>
      <w:numFmt w:val="lowerRoman"/>
      <w:lvlText w:val="%6."/>
      <w:lvlJc w:val="right"/>
      <w:pPr>
        <w:tabs>
          <w:tab w:val="num" w:pos="5802"/>
        </w:tabs>
        <w:ind w:left="5802" w:hanging="180"/>
      </w:pPr>
    </w:lvl>
    <w:lvl w:ilvl="6" w:tplc="0410000F" w:tentative="1">
      <w:start w:val="1"/>
      <w:numFmt w:val="decimal"/>
      <w:lvlText w:val="%7."/>
      <w:lvlJc w:val="left"/>
      <w:pPr>
        <w:tabs>
          <w:tab w:val="num" w:pos="6522"/>
        </w:tabs>
        <w:ind w:left="6522" w:hanging="360"/>
      </w:pPr>
    </w:lvl>
    <w:lvl w:ilvl="7" w:tplc="04100019" w:tentative="1">
      <w:start w:val="1"/>
      <w:numFmt w:val="lowerLetter"/>
      <w:lvlText w:val="%8."/>
      <w:lvlJc w:val="left"/>
      <w:pPr>
        <w:tabs>
          <w:tab w:val="num" w:pos="7242"/>
        </w:tabs>
        <w:ind w:left="7242" w:hanging="360"/>
      </w:pPr>
    </w:lvl>
    <w:lvl w:ilvl="8" w:tplc="0410001B" w:tentative="1">
      <w:start w:val="1"/>
      <w:numFmt w:val="lowerRoman"/>
      <w:lvlText w:val="%9."/>
      <w:lvlJc w:val="right"/>
      <w:pPr>
        <w:tabs>
          <w:tab w:val="num" w:pos="7962"/>
        </w:tabs>
        <w:ind w:left="7962" w:hanging="180"/>
      </w:pPr>
    </w:lvl>
  </w:abstractNum>
  <w:abstractNum w:abstractNumId="24" w15:restartNumberingAfterBreak="0">
    <w:nsid w:val="32534E50"/>
    <w:multiLevelType w:val="hybridMultilevel"/>
    <w:tmpl w:val="143823E6"/>
    <w:lvl w:ilvl="0" w:tplc="D72441C4">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33D95BC4"/>
    <w:multiLevelType w:val="hybridMultilevel"/>
    <w:tmpl w:val="A086B6BA"/>
    <w:lvl w:ilvl="0" w:tplc="973C3CC0">
      <w:start w:val="1"/>
      <w:numFmt w:val="lowerLetter"/>
      <w:lvlText w:val="(%1)"/>
      <w:lvlJc w:val="left"/>
      <w:pPr>
        <w:ind w:left="420" w:hanging="360"/>
      </w:pPr>
      <w:rPr>
        <w:rFonts w:ascii="Arial Narrow" w:hAnsi="Arial Narrow" w:hint="default"/>
        <w:sz w:val="15"/>
        <w:szCs w:val="15"/>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26" w15:restartNumberingAfterBreak="0">
    <w:nsid w:val="34CC2B15"/>
    <w:multiLevelType w:val="hybridMultilevel"/>
    <w:tmpl w:val="968862AE"/>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27" w15:restartNumberingAfterBreak="0">
    <w:nsid w:val="3B126581"/>
    <w:multiLevelType w:val="hybridMultilevel"/>
    <w:tmpl w:val="3EDCEA5C"/>
    <w:lvl w:ilvl="0" w:tplc="723CD9BA">
      <w:start w:val="1"/>
      <w:numFmt w:val="bullet"/>
      <w:lvlText w:val=""/>
      <w:lvlPicBulletId w:val="1"/>
      <w:lvlJc w:val="left"/>
      <w:pPr>
        <w:tabs>
          <w:tab w:val="num" w:pos="720"/>
        </w:tabs>
        <w:ind w:left="720" w:hanging="360"/>
      </w:pPr>
      <w:rPr>
        <w:rFonts w:ascii="Symbol" w:hAnsi="Symbol" w:hint="default"/>
      </w:rPr>
    </w:lvl>
    <w:lvl w:ilvl="1" w:tplc="F08261B2" w:tentative="1">
      <w:start w:val="1"/>
      <w:numFmt w:val="bullet"/>
      <w:lvlText w:val=""/>
      <w:lvlJc w:val="left"/>
      <w:pPr>
        <w:tabs>
          <w:tab w:val="num" w:pos="1440"/>
        </w:tabs>
        <w:ind w:left="1440" w:hanging="360"/>
      </w:pPr>
      <w:rPr>
        <w:rFonts w:ascii="Symbol" w:hAnsi="Symbol" w:hint="default"/>
      </w:rPr>
    </w:lvl>
    <w:lvl w:ilvl="2" w:tplc="6414E90C" w:tentative="1">
      <w:start w:val="1"/>
      <w:numFmt w:val="bullet"/>
      <w:lvlText w:val=""/>
      <w:lvlJc w:val="left"/>
      <w:pPr>
        <w:tabs>
          <w:tab w:val="num" w:pos="2160"/>
        </w:tabs>
        <w:ind w:left="2160" w:hanging="360"/>
      </w:pPr>
      <w:rPr>
        <w:rFonts w:ascii="Symbol" w:hAnsi="Symbol" w:hint="default"/>
      </w:rPr>
    </w:lvl>
    <w:lvl w:ilvl="3" w:tplc="35F41C48" w:tentative="1">
      <w:start w:val="1"/>
      <w:numFmt w:val="bullet"/>
      <w:lvlText w:val=""/>
      <w:lvlJc w:val="left"/>
      <w:pPr>
        <w:tabs>
          <w:tab w:val="num" w:pos="2880"/>
        </w:tabs>
        <w:ind w:left="2880" w:hanging="360"/>
      </w:pPr>
      <w:rPr>
        <w:rFonts w:ascii="Symbol" w:hAnsi="Symbol" w:hint="default"/>
      </w:rPr>
    </w:lvl>
    <w:lvl w:ilvl="4" w:tplc="76DC5C08" w:tentative="1">
      <w:start w:val="1"/>
      <w:numFmt w:val="bullet"/>
      <w:lvlText w:val=""/>
      <w:lvlJc w:val="left"/>
      <w:pPr>
        <w:tabs>
          <w:tab w:val="num" w:pos="3600"/>
        </w:tabs>
        <w:ind w:left="3600" w:hanging="360"/>
      </w:pPr>
      <w:rPr>
        <w:rFonts w:ascii="Symbol" w:hAnsi="Symbol" w:hint="default"/>
      </w:rPr>
    </w:lvl>
    <w:lvl w:ilvl="5" w:tplc="078CC066" w:tentative="1">
      <w:start w:val="1"/>
      <w:numFmt w:val="bullet"/>
      <w:lvlText w:val=""/>
      <w:lvlJc w:val="left"/>
      <w:pPr>
        <w:tabs>
          <w:tab w:val="num" w:pos="4320"/>
        </w:tabs>
        <w:ind w:left="4320" w:hanging="360"/>
      </w:pPr>
      <w:rPr>
        <w:rFonts w:ascii="Symbol" w:hAnsi="Symbol" w:hint="default"/>
      </w:rPr>
    </w:lvl>
    <w:lvl w:ilvl="6" w:tplc="993C39C0" w:tentative="1">
      <w:start w:val="1"/>
      <w:numFmt w:val="bullet"/>
      <w:lvlText w:val=""/>
      <w:lvlJc w:val="left"/>
      <w:pPr>
        <w:tabs>
          <w:tab w:val="num" w:pos="5040"/>
        </w:tabs>
        <w:ind w:left="5040" w:hanging="360"/>
      </w:pPr>
      <w:rPr>
        <w:rFonts w:ascii="Symbol" w:hAnsi="Symbol" w:hint="default"/>
      </w:rPr>
    </w:lvl>
    <w:lvl w:ilvl="7" w:tplc="0EB0D25C" w:tentative="1">
      <w:start w:val="1"/>
      <w:numFmt w:val="bullet"/>
      <w:lvlText w:val=""/>
      <w:lvlJc w:val="left"/>
      <w:pPr>
        <w:tabs>
          <w:tab w:val="num" w:pos="5760"/>
        </w:tabs>
        <w:ind w:left="5760" w:hanging="360"/>
      </w:pPr>
      <w:rPr>
        <w:rFonts w:ascii="Symbol" w:hAnsi="Symbol" w:hint="default"/>
      </w:rPr>
    </w:lvl>
    <w:lvl w:ilvl="8" w:tplc="B874B23E"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3F8F0948"/>
    <w:multiLevelType w:val="multilevel"/>
    <w:tmpl w:val="98E2AEF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403F6CFD"/>
    <w:multiLevelType w:val="hybridMultilevel"/>
    <w:tmpl w:val="DB5CFE1A"/>
    <w:lvl w:ilvl="0" w:tplc="A8762A92">
      <w:start w:val="1"/>
      <w:numFmt w:val="bullet"/>
      <w:lvlText w:val=""/>
      <w:lvlPicBulletId w:val="0"/>
      <w:lvlJc w:val="left"/>
      <w:pPr>
        <w:ind w:left="360"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0" w15:restartNumberingAfterBreak="0">
    <w:nsid w:val="46526AED"/>
    <w:multiLevelType w:val="hybridMultilevel"/>
    <w:tmpl w:val="F10A9D34"/>
    <w:lvl w:ilvl="0" w:tplc="680C282C">
      <w:start w:val="1"/>
      <w:numFmt w:val="bullet"/>
      <w:lvlText w:val="n"/>
      <w:lvlJc w:val="left"/>
      <w:pPr>
        <w:tabs>
          <w:tab w:val="num" w:pos="360"/>
        </w:tabs>
        <w:ind w:left="360" w:hanging="360"/>
      </w:pPr>
      <w:rPr>
        <w:rFonts w:ascii="Wingdings" w:hAnsi="Wingdings" w:hint="default"/>
        <w:color w:val="E42618"/>
        <w:sz w:val="24"/>
        <w:szCs w:val="24"/>
      </w:rPr>
    </w:lvl>
    <w:lvl w:ilvl="1" w:tplc="E7AC5A20">
      <w:start w:val="1"/>
      <w:numFmt w:val="bullet"/>
      <w:lvlText w:val=""/>
      <w:lvlJc w:val="left"/>
      <w:pPr>
        <w:tabs>
          <w:tab w:val="num" w:pos="1440"/>
        </w:tabs>
        <w:ind w:left="1440" w:hanging="360"/>
      </w:pPr>
      <w:rPr>
        <w:rFonts w:ascii="Symbol" w:hAnsi="Symbol"/>
      </w:rPr>
    </w:lvl>
    <w:lvl w:ilvl="2" w:tplc="050AAA86">
      <w:start w:val="1"/>
      <w:numFmt w:val="bullet"/>
      <w:lvlText w:val=""/>
      <w:lvlJc w:val="left"/>
      <w:pPr>
        <w:tabs>
          <w:tab w:val="num" w:pos="2160"/>
        </w:tabs>
        <w:ind w:left="2160" w:hanging="360"/>
      </w:pPr>
      <w:rPr>
        <w:rFonts w:ascii="Symbol" w:hAnsi="Symbol"/>
      </w:rPr>
    </w:lvl>
    <w:lvl w:ilvl="3" w:tplc="8B3E2E4E">
      <w:start w:val="1"/>
      <w:numFmt w:val="bullet"/>
      <w:lvlText w:val=""/>
      <w:lvlJc w:val="left"/>
      <w:pPr>
        <w:tabs>
          <w:tab w:val="num" w:pos="2880"/>
        </w:tabs>
        <w:ind w:left="2880" w:hanging="360"/>
      </w:pPr>
      <w:rPr>
        <w:rFonts w:ascii="Symbol" w:hAnsi="Symbol"/>
      </w:rPr>
    </w:lvl>
    <w:lvl w:ilvl="4" w:tplc="D36450B0">
      <w:start w:val="1"/>
      <w:numFmt w:val="bullet"/>
      <w:lvlText w:val=""/>
      <w:lvlJc w:val="left"/>
      <w:pPr>
        <w:tabs>
          <w:tab w:val="num" w:pos="3600"/>
        </w:tabs>
        <w:ind w:left="3600" w:hanging="360"/>
      </w:pPr>
      <w:rPr>
        <w:rFonts w:ascii="Symbol" w:hAnsi="Symbol"/>
      </w:rPr>
    </w:lvl>
    <w:lvl w:ilvl="5" w:tplc="EB62B692">
      <w:start w:val="1"/>
      <w:numFmt w:val="bullet"/>
      <w:lvlText w:val=""/>
      <w:lvlJc w:val="left"/>
      <w:pPr>
        <w:tabs>
          <w:tab w:val="num" w:pos="4320"/>
        </w:tabs>
        <w:ind w:left="4320" w:hanging="360"/>
      </w:pPr>
      <w:rPr>
        <w:rFonts w:ascii="Symbol" w:hAnsi="Symbol"/>
      </w:rPr>
    </w:lvl>
    <w:lvl w:ilvl="6" w:tplc="A796B456">
      <w:start w:val="1"/>
      <w:numFmt w:val="bullet"/>
      <w:lvlText w:val=""/>
      <w:lvlJc w:val="left"/>
      <w:pPr>
        <w:tabs>
          <w:tab w:val="num" w:pos="5040"/>
        </w:tabs>
        <w:ind w:left="5040" w:hanging="360"/>
      </w:pPr>
      <w:rPr>
        <w:rFonts w:ascii="Symbol" w:hAnsi="Symbol"/>
      </w:rPr>
    </w:lvl>
    <w:lvl w:ilvl="7" w:tplc="F144444C">
      <w:start w:val="1"/>
      <w:numFmt w:val="bullet"/>
      <w:lvlText w:val=""/>
      <w:lvlJc w:val="left"/>
      <w:pPr>
        <w:tabs>
          <w:tab w:val="num" w:pos="5760"/>
        </w:tabs>
        <w:ind w:left="5760" w:hanging="360"/>
      </w:pPr>
      <w:rPr>
        <w:rFonts w:ascii="Symbol" w:hAnsi="Symbol"/>
      </w:rPr>
    </w:lvl>
    <w:lvl w:ilvl="8" w:tplc="AC58295C">
      <w:start w:val="1"/>
      <w:numFmt w:val="bullet"/>
      <w:lvlText w:val=""/>
      <w:lvlJc w:val="left"/>
      <w:pPr>
        <w:tabs>
          <w:tab w:val="num" w:pos="6480"/>
        </w:tabs>
        <w:ind w:left="6480" w:hanging="360"/>
      </w:pPr>
      <w:rPr>
        <w:rFonts w:ascii="Symbol" w:hAnsi="Symbol"/>
      </w:rPr>
    </w:lvl>
  </w:abstractNum>
  <w:abstractNum w:abstractNumId="31" w15:restartNumberingAfterBreak="0">
    <w:nsid w:val="4B7641BD"/>
    <w:multiLevelType w:val="hybridMultilevel"/>
    <w:tmpl w:val="6ADE222C"/>
    <w:lvl w:ilvl="0" w:tplc="723CD9BA">
      <w:start w:val="1"/>
      <w:numFmt w:val="bullet"/>
      <w:lvlText w:val=""/>
      <w:lvlPicBulletId w:val="1"/>
      <w:lvlJc w:val="left"/>
      <w:pPr>
        <w:ind w:left="2563" w:hanging="360"/>
      </w:pPr>
      <w:rPr>
        <w:rFonts w:ascii="Symbol" w:hAnsi="Symbol" w:hint="default"/>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32" w15:restartNumberingAfterBreak="0">
    <w:nsid w:val="52F30A1F"/>
    <w:multiLevelType w:val="hybridMultilevel"/>
    <w:tmpl w:val="02607124"/>
    <w:lvl w:ilvl="0" w:tplc="04090001">
      <w:start w:val="1"/>
      <w:numFmt w:val="bullet"/>
      <w:lvlText w:val=""/>
      <w:lvlJc w:val="left"/>
      <w:pPr>
        <w:ind w:left="2534" w:hanging="360"/>
      </w:pPr>
      <w:rPr>
        <w:rFonts w:ascii="Symbol" w:hAnsi="Symbol" w:hint="default"/>
      </w:rPr>
    </w:lvl>
    <w:lvl w:ilvl="1" w:tplc="04090003" w:tentative="1">
      <w:start w:val="1"/>
      <w:numFmt w:val="bullet"/>
      <w:lvlText w:val="o"/>
      <w:lvlJc w:val="left"/>
      <w:pPr>
        <w:ind w:left="3254" w:hanging="360"/>
      </w:pPr>
      <w:rPr>
        <w:rFonts w:ascii="Courier New" w:hAnsi="Courier New" w:cs="Courier New" w:hint="default"/>
      </w:rPr>
    </w:lvl>
    <w:lvl w:ilvl="2" w:tplc="04090005" w:tentative="1">
      <w:start w:val="1"/>
      <w:numFmt w:val="bullet"/>
      <w:lvlText w:val=""/>
      <w:lvlJc w:val="left"/>
      <w:pPr>
        <w:ind w:left="3974" w:hanging="360"/>
      </w:pPr>
      <w:rPr>
        <w:rFonts w:ascii="Wingdings" w:hAnsi="Wingdings" w:hint="default"/>
      </w:rPr>
    </w:lvl>
    <w:lvl w:ilvl="3" w:tplc="04090001" w:tentative="1">
      <w:start w:val="1"/>
      <w:numFmt w:val="bullet"/>
      <w:lvlText w:val=""/>
      <w:lvlJc w:val="left"/>
      <w:pPr>
        <w:ind w:left="4694" w:hanging="360"/>
      </w:pPr>
      <w:rPr>
        <w:rFonts w:ascii="Symbol" w:hAnsi="Symbol" w:hint="default"/>
      </w:rPr>
    </w:lvl>
    <w:lvl w:ilvl="4" w:tplc="04090003" w:tentative="1">
      <w:start w:val="1"/>
      <w:numFmt w:val="bullet"/>
      <w:lvlText w:val="o"/>
      <w:lvlJc w:val="left"/>
      <w:pPr>
        <w:ind w:left="5414" w:hanging="360"/>
      </w:pPr>
      <w:rPr>
        <w:rFonts w:ascii="Courier New" w:hAnsi="Courier New" w:cs="Courier New" w:hint="default"/>
      </w:rPr>
    </w:lvl>
    <w:lvl w:ilvl="5" w:tplc="04090005" w:tentative="1">
      <w:start w:val="1"/>
      <w:numFmt w:val="bullet"/>
      <w:lvlText w:val=""/>
      <w:lvlJc w:val="left"/>
      <w:pPr>
        <w:ind w:left="6134" w:hanging="360"/>
      </w:pPr>
      <w:rPr>
        <w:rFonts w:ascii="Wingdings" w:hAnsi="Wingdings" w:hint="default"/>
      </w:rPr>
    </w:lvl>
    <w:lvl w:ilvl="6" w:tplc="04090001" w:tentative="1">
      <w:start w:val="1"/>
      <w:numFmt w:val="bullet"/>
      <w:lvlText w:val=""/>
      <w:lvlJc w:val="left"/>
      <w:pPr>
        <w:ind w:left="6854" w:hanging="360"/>
      </w:pPr>
      <w:rPr>
        <w:rFonts w:ascii="Symbol" w:hAnsi="Symbol" w:hint="default"/>
      </w:rPr>
    </w:lvl>
    <w:lvl w:ilvl="7" w:tplc="04090003" w:tentative="1">
      <w:start w:val="1"/>
      <w:numFmt w:val="bullet"/>
      <w:lvlText w:val="o"/>
      <w:lvlJc w:val="left"/>
      <w:pPr>
        <w:ind w:left="7574" w:hanging="360"/>
      </w:pPr>
      <w:rPr>
        <w:rFonts w:ascii="Courier New" w:hAnsi="Courier New" w:cs="Courier New" w:hint="default"/>
      </w:rPr>
    </w:lvl>
    <w:lvl w:ilvl="8" w:tplc="04090005" w:tentative="1">
      <w:start w:val="1"/>
      <w:numFmt w:val="bullet"/>
      <w:lvlText w:val=""/>
      <w:lvlJc w:val="left"/>
      <w:pPr>
        <w:ind w:left="8294" w:hanging="360"/>
      </w:pPr>
      <w:rPr>
        <w:rFonts w:ascii="Wingdings" w:hAnsi="Wingdings" w:hint="default"/>
      </w:rPr>
    </w:lvl>
  </w:abstractNum>
  <w:abstractNum w:abstractNumId="33" w15:restartNumberingAfterBreak="0">
    <w:nsid w:val="549A678C"/>
    <w:multiLevelType w:val="hybridMultilevel"/>
    <w:tmpl w:val="7EFE57B6"/>
    <w:lvl w:ilvl="0" w:tplc="7ED098F6">
      <w:start w:val="1"/>
      <w:numFmt w:val="lowerLetter"/>
      <w:lvlText w:val="%1)"/>
      <w:lvlJc w:val="left"/>
      <w:pPr>
        <w:ind w:left="2517"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620E061A"/>
    <w:multiLevelType w:val="multilevel"/>
    <w:tmpl w:val="A14EDF6A"/>
    <w:lvl w:ilvl="0">
      <w:start w:val="1"/>
      <w:numFmt w:val="lowerLetter"/>
      <w:lvlText w:val="(%1)"/>
      <w:lvlJc w:val="left"/>
      <w:pPr>
        <w:tabs>
          <w:tab w:val="num" w:pos="1980"/>
        </w:tabs>
        <w:ind w:left="19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6D53A64"/>
    <w:multiLevelType w:val="hybridMultilevel"/>
    <w:tmpl w:val="E73EDCB6"/>
    <w:lvl w:ilvl="0" w:tplc="723CD9BA">
      <w:start w:val="1"/>
      <w:numFmt w:val="bullet"/>
      <w:lvlText w:val=""/>
      <w:lvlPicBulletId w:val="1"/>
      <w:lvlJc w:val="left"/>
      <w:pPr>
        <w:tabs>
          <w:tab w:val="num" w:pos="720"/>
        </w:tabs>
        <w:ind w:left="720" w:hanging="360"/>
      </w:pPr>
      <w:rPr>
        <w:rFonts w:ascii="Symbol" w:hAnsi="Symbol" w:hint="default"/>
      </w:rPr>
    </w:lvl>
    <w:lvl w:ilvl="1" w:tplc="58A4F34A" w:tentative="1">
      <w:start w:val="1"/>
      <w:numFmt w:val="bullet"/>
      <w:lvlText w:val=""/>
      <w:lvlJc w:val="left"/>
      <w:pPr>
        <w:tabs>
          <w:tab w:val="num" w:pos="1440"/>
        </w:tabs>
        <w:ind w:left="1440" w:hanging="360"/>
      </w:pPr>
      <w:rPr>
        <w:rFonts w:ascii="Symbol" w:hAnsi="Symbol" w:hint="default"/>
      </w:rPr>
    </w:lvl>
    <w:lvl w:ilvl="2" w:tplc="10282158" w:tentative="1">
      <w:start w:val="1"/>
      <w:numFmt w:val="bullet"/>
      <w:lvlText w:val=""/>
      <w:lvlJc w:val="left"/>
      <w:pPr>
        <w:tabs>
          <w:tab w:val="num" w:pos="2160"/>
        </w:tabs>
        <w:ind w:left="2160" w:hanging="360"/>
      </w:pPr>
      <w:rPr>
        <w:rFonts w:ascii="Symbol" w:hAnsi="Symbol" w:hint="default"/>
      </w:rPr>
    </w:lvl>
    <w:lvl w:ilvl="3" w:tplc="9C6C8776" w:tentative="1">
      <w:start w:val="1"/>
      <w:numFmt w:val="bullet"/>
      <w:lvlText w:val=""/>
      <w:lvlJc w:val="left"/>
      <w:pPr>
        <w:tabs>
          <w:tab w:val="num" w:pos="2880"/>
        </w:tabs>
        <w:ind w:left="2880" w:hanging="360"/>
      </w:pPr>
      <w:rPr>
        <w:rFonts w:ascii="Symbol" w:hAnsi="Symbol" w:hint="default"/>
      </w:rPr>
    </w:lvl>
    <w:lvl w:ilvl="4" w:tplc="539C2334" w:tentative="1">
      <w:start w:val="1"/>
      <w:numFmt w:val="bullet"/>
      <w:lvlText w:val=""/>
      <w:lvlJc w:val="left"/>
      <w:pPr>
        <w:tabs>
          <w:tab w:val="num" w:pos="3600"/>
        </w:tabs>
        <w:ind w:left="3600" w:hanging="360"/>
      </w:pPr>
      <w:rPr>
        <w:rFonts w:ascii="Symbol" w:hAnsi="Symbol" w:hint="default"/>
      </w:rPr>
    </w:lvl>
    <w:lvl w:ilvl="5" w:tplc="E6ECA502" w:tentative="1">
      <w:start w:val="1"/>
      <w:numFmt w:val="bullet"/>
      <w:lvlText w:val=""/>
      <w:lvlJc w:val="left"/>
      <w:pPr>
        <w:tabs>
          <w:tab w:val="num" w:pos="4320"/>
        </w:tabs>
        <w:ind w:left="4320" w:hanging="360"/>
      </w:pPr>
      <w:rPr>
        <w:rFonts w:ascii="Symbol" w:hAnsi="Symbol" w:hint="default"/>
      </w:rPr>
    </w:lvl>
    <w:lvl w:ilvl="6" w:tplc="BF40799E" w:tentative="1">
      <w:start w:val="1"/>
      <w:numFmt w:val="bullet"/>
      <w:lvlText w:val=""/>
      <w:lvlJc w:val="left"/>
      <w:pPr>
        <w:tabs>
          <w:tab w:val="num" w:pos="5040"/>
        </w:tabs>
        <w:ind w:left="5040" w:hanging="360"/>
      </w:pPr>
      <w:rPr>
        <w:rFonts w:ascii="Symbol" w:hAnsi="Symbol" w:hint="default"/>
      </w:rPr>
    </w:lvl>
    <w:lvl w:ilvl="7" w:tplc="3502FF1A" w:tentative="1">
      <w:start w:val="1"/>
      <w:numFmt w:val="bullet"/>
      <w:lvlText w:val=""/>
      <w:lvlJc w:val="left"/>
      <w:pPr>
        <w:tabs>
          <w:tab w:val="num" w:pos="5760"/>
        </w:tabs>
        <w:ind w:left="5760" w:hanging="360"/>
      </w:pPr>
      <w:rPr>
        <w:rFonts w:ascii="Symbol" w:hAnsi="Symbol" w:hint="default"/>
      </w:rPr>
    </w:lvl>
    <w:lvl w:ilvl="8" w:tplc="3312820E"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71F92649"/>
    <w:multiLevelType w:val="hybridMultilevel"/>
    <w:tmpl w:val="1644907C"/>
    <w:lvl w:ilvl="0" w:tplc="0410000B">
      <w:start w:val="1"/>
      <w:numFmt w:val="bullet"/>
      <w:lvlText w:val=""/>
      <w:lvlJc w:val="left"/>
      <w:pPr>
        <w:ind w:left="644" w:hanging="360"/>
      </w:pPr>
      <w:rPr>
        <w:rFonts w:ascii="Wingdings" w:hAnsi="Wingdings"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37" w15:restartNumberingAfterBreak="0">
    <w:nsid w:val="72F1680C"/>
    <w:multiLevelType w:val="hybridMultilevel"/>
    <w:tmpl w:val="D9427482"/>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num w:numId="1">
    <w:abstractNumId w:val="15"/>
  </w:num>
  <w:num w:numId="2">
    <w:abstractNumId w:val="27"/>
  </w:num>
  <w:num w:numId="3">
    <w:abstractNumId w:val="31"/>
  </w:num>
  <w:num w:numId="4">
    <w:abstractNumId w:val="6"/>
  </w:num>
  <w:num w:numId="5">
    <w:abstractNumId w:val="20"/>
  </w:num>
  <w:num w:numId="6">
    <w:abstractNumId w:val="5"/>
  </w:num>
  <w:num w:numId="7">
    <w:abstractNumId w:val="0"/>
  </w:num>
  <w:num w:numId="8">
    <w:abstractNumId w:val="21"/>
  </w:num>
  <w:num w:numId="9">
    <w:abstractNumId w:val="28"/>
  </w:num>
  <w:num w:numId="10">
    <w:abstractNumId w:val="11"/>
  </w:num>
  <w:num w:numId="11">
    <w:abstractNumId w:val="26"/>
  </w:num>
  <w:num w:numId="12">
    <w:abstractNumId w:val="2"/>
  </w:num>
  <w:num w:numId="13">
    <w:abstractNumId w:val="35"/>
  </w:num>
  <w:num w:numId="14">
    <w:abstractNumId w:val="8"/>
  </w:num>
  <w:num w:numId="15">
    <w:abstractNumId w:val="37"/>
  </w:num>
  <w:num w:numId="16">
    <w:abstractNumId w:val="13"/>
  </w:num>
  <w:num w:numId="17">
    <w:abstractNumId w:val="24"/>
  </w:num>
  <w:num w:numId="18">
    <w:abstractNumId w:val="1"/>
  </w:num>
  <w:num w:numId="19">
    <w:abstractNumId w:val="17"/>
  </w:num>
  <w:num w:numId="20">
    <w:abstractNumId w:val="30"/>
  </w:num>
  <w:num w:numId="21">
    <w:abstractNumId w:val="9"/>
  </w:num>
  <w:num w:numId="22">
    <w:abstractNumId w:val="29"/>
  </w:num>
  <w:num w:numId="23">
    <w:abstractNumId w:val="34"/>
  </w:num>
  <w:num w:numId="24">
    <w:abstractNumId w:val="23"/>
  </w:num>
  <w:num w:numId="25">
    <w:abstractNumId w:val="10"/>
  </w:num>
  <w:num w:numId="2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22"/>
  </w:num>
  <w:num w:numId="29">
    <w:abstractNumId w:val="14"/>
  </w:num>
  <w:num w:numId="30">
    <w:abstractNumId w:val="12"/>
  </w:num>
  <w:num w:numId="31">
    <w:abstractNumId w:val="4"/>
  </w:num>
  <w:num w:numId="32">
    <w:abstractNumId w:val="36"/>
  </w:num>
  <w:num w:numId="33">
    <w:abstractNumId w:val="7"/>
  </w:num>
  <w:num w:numId="34">
    <w:abstractNumId w:val="32"/>
  </w:num>
  <w:num w:numId="35">
    <w:abstractNumId w:val="16"/>
  </w:num>
  <w:num w:numId="36">
    <w:abstractNumId w:val="19"/>
  </w:num>
  <w:num w:numId="37">
    <w:abstractNumId w:val="3"/>
  </w:num>
  <w:num w:numId="38">
    <w:abstractNumId w:val="25"/>
  </w:num>
  <w:num w:numId="39">
    <w:abstractNumId w:val="3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activeWritingStyle w:appName="MSWord" w:lang="it-IT" w:vendorID="64" w:dllVersion="6" w:nlCheck="1" w:checkStyle="0"/>
  <w:activeWritingStyle w:appName="MSWord" w:lang="en-GB" w:vendorID="64" w:dllVersion="6" w:nlCheck="1" w:checkStyle="0"/>
  <w:activeWritingStyle w:appName="MSWord" w:lang="en-US" w:vendorID="64" w:dllVersion="6" w:nlCheck="1" w:checkStyle="0"/>
  <w:activeWritingStyle w:appName="MSWord" w:lang="it-IT" w:vendorID="64" w:dllVersion="0" w:nlCheck="1" w:checkStyle="0"/>
  <w:activeWritingStyle w:appName="MSWord" w:lang="en-US" w:vendorID="64" w:dllVersion="0" w:nlCheck="1" w:checkStyle="0"/>
  <w:activeWritingStyle w:appName="MSWord" w:lang="en-GB" w:vendorID="64" w:dllVersion="0" w:nlCheck="1" w:checkStyle="0"/>
  <w:activeWritingStyle w:appName="MSWord" w:lang="it-IT"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it-IT" w:vendorID="64" w:dllVersion="131078" w:nlCheck="1" w:checkStyle="0"/>
  <w:activeWritingStyle w:appName="MSWord" w:lang="en-GB"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hyphenationZone w:val="283"/>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49" style="mso-position-horizontal:center;mso-width-percent:400;mso-height-percent:200;mso-width-relative:margin;mso-height-relative:margin" fillcolor="white">
      <v:fill color="white"/>
      <v:textbox style="mso-fit-shape-to-text: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C7E"/>
    <w:rsid w:val="0000001C"/>
    <w:rsid w:val="000000E6"/>
    <w:rsid w:val="00000148"/>
    <w:rsid w:val="00000728"/>
    <w:rsid w:val="000008B7"/>
    <w:rsid w:val="00000A07"/>
    <w:rsid w:val="00000A85"/>
    <w:rsid w:val="00000B94"/>
    <w:rsid w:val="00001548"/>
    <w:rsid w:val="000015D1"/>
    <w:rsid w:val="00001605"/>
    <w:rsid w:val="00001C85"/>
    <w:rsid w:val="000020B7"/>
    <w:rsid w:val="00002228"/>
    <w:rsid w:val="0000242C"/>
    <w:rsid w:val="000026DF"/>
    <w:rsid w:val="00002996"/>
    <w:rsid w:val="00002F2D"/>
    <w:rsid w:val="000034C8"/>
    <w:rsid w:val="00003834"/>
    <w:rsid w:val="000039B0"/>
    <w:rsid w:val="00003AAA"/>
    <w:rsid w:val="00003AB5"/>
    <w:rsid w:val="00003AD9"/>
    <w:rsid w:val="00003F46"/>
    <w:rsid w:val="00003F7B"/>
    <w:rsid w:val="000041BD"/>
    <w:rsid w:val="000043D5"/>
    <w:rsid w:val="00004550"/>
    <w:rsid w:val="00004794"/>
    <w:rsid w:val="000049DD"/>
    <w:rsid w:val="00004CF5"/>
    <w:rsid w:val="00004D99"/>
    <w:rsid w:val="00004DDD"/>
    <w:rsid w:val="00004DF3"/>
    <w:rsid w:val="00004E38"/>
    <w:rsid w:val="0000500C"/>
    <w:rsid w:val="000054F2"/>
    <w:rsid w:val="0000586C"/>
    <w:rsid w:val="00005A6B"/>
    <w:rsid w:val="00006709"/>
    <w:rsid w:val="0000683C"/>
    <w:rsid w:val="000068CA"/>
    <w:rsid w:val="00006A17"/>
    <w:rsid w:val="00006D62"/>
    <w:rsid w:val="00006DB7"/>
    <w:rsid w:val="00006E53"/>
    <w:rsid w:val="00007042"/>
    <w:rsid w:val="0000740E"/>
    <w:rsid w:val="000077FA"/>
    <w:rsid w:val="00007876"/>
    <w:rsid w:val="00010006"/>
    <w:rsid w:val="00010041"/>
    <w:rsid w:val="000101B6"/>
    <w:rsid w:val="0001021B"/>
    <w:rsid w:val="0001028F"/>
    <w:rsid w:val="000102D5"/>
    <w:rsid w:val="00010573"/>
    <w:rsid w:val="0001089C"/>
    <w:rsid w:val="000108ED"/>
    <w:rsid w:val="00010957"/>
    <w:rsid w:val="0001097F"/>
    <w:rsid w:val="000109E3"/>
    <w:rsid w:val="00010A46"/>
    <w:rsid w:val="00010B15"/>
    <w:rsid w:val="00010B3C"/>
    <w:rsid w:val="00010B8D"/>
    <w:rsid w:val="00010C7B"/>
    <w:rsid w:val="00010D06"/>
    <w:rsid w:val="00010EDF"/>
    <w:rsid w:val="000111F6"/>
    <w:rsid w:val="00011270"/>
    <w:rsid w:val="000113F8"/>
    <w:rsid w:val="00011473"/>
    <w:rsid w:val="00011610"/>
    <w:rsid w:val="0001181A"/>
    <w:rsid w:val="000119A0"/>
    <w:rsid w:val="00011A51"/>
    <w:rsid w:val="00011DC6"/>
    <w:rsid w:val="00011EAF"/>
    <w:rsid w:val="00011F76"/>
    <w:rsid w:val="00012364"/>
    <w:rsid w:val="0001244E"/>
    <w:rsid w:val="00012499"/>
    <w:rsid w:val="0001283C"/>
    <w:rsid w:val="0001287A"/>
    <w:rsid w:val="00012A11"/>
    <w:rsid w:val="00012FD3"/>
    <w:rsid w:val="0001319C"/>
    <w:rsid w:val="000134A3"/>
    <w:rsid w:val="0001357A"/>
    <w:rsid w:val="000135AB"/>
    <w:rsid w:val="00013751"/>
    <w:rsid w:val="00013995"/>
    <w:rsid w:val="00013A1E"/>
    <w:rsid w:val="00013F41"/>
    <w:rsid w:val="00014269"/>
    <w:rsid w:val="0001426C"/>
    <w:rsid w:val="000142DC"/>
    <w:rsid w:val="000143E3"/>
    <w:rsid w:val="000146B3"/>
    <w:rsid w:val="00014863"/>
    <w:rsid w:val="00014927"/>
    <w:rsid w:val="0001494F"/>
    <w:rsid w:val="000152B4"/>
    <w:rsid w:val="00015517"/>
    <w:rsid w:val="0001561A"/>
    <w:rsid w:val="00015A70"/>
    <w:rsid w:val="00015D22"/>
    <w:rsid w:val="00015DAF"/>
    <w:rsid w:val="00015EAD"/>
    <w:rsid w:val="00016024"/>
    <w:rsid w:val="0001638E"/>
    <w:rsid w:val="000167F5"/>
    <w:rsid w:val="00016974"/>
    <w:rsid w:val="00016B13"/>
    <w:rsid w:val="00016C00"/>
    <w:rsid w:val="00016C6A"/>
    <w:rsid w:val="000172A0"/>
    <w:rsid w:val="00017353"/>
    <w:rsid w:val="0001745D"/>
    <w:rsid w:val="00017951"/>
    <w:rsid w:val="000204CC"/>
    <w:rsid w:val="000204D8"/>
    <w:rsid w:val="000205CA"/>
    <w:rsid w:val="0002065A"/>
    <w:rsid w:val="000208F9"/>
    <w:rsid w:val="000211AD"/>
    <w:rsid w:val="000213E2"/>
    <w:rsid w:val="00021652"/>
    <w:rsid w:val="0002181D"/>
    <w:rsid w:val="00021B34"/>
    <w:rsid w:val="00022197"/>
    <w:rsid w:val="00022763"/>
    <w:rsid w:val="000228CB"/>
    <w:rsid w:val="00022F64"/>
    <w:rsid w:val="000233BC"/>
    <w:rsid w:val="000235E9"/>
    <w:rsid w:val="000235FB"/>
    <w:rsid w:val="00023D90"/>
    <w:rsid w:val="00024050"/>
    <w:rsid w:val="000241B7"/>
    <w:rsid w:val="00024474"/>
    <w:rsid w:val="00024BDA"/>
    <w:rsid w:val="00024DBE"/>
    <w:rsid w:val="000250BC"/>
    <w:rsid w:val="0002515C"/>
    <w:rsid w:val="0002519B"/>
    <w:rsid w:val="00025294"/>
    <w:rsid w:val="000253FD"/>
    <w:rsid w:val="000254AC"/>
    <w:rsid w:val="0002574E"/>
    <w:rsid w:val="000257C6"/>
    <w:rsid w:val="00025822"/>
    <w:rsid w:val="00025AA7"/>
    <w:rsid w:val="00025C48"/>
    <w:rsid w:val="00026495"/>
    <w:rsid w:val="000266A7"/>
    <w:rsid w:val="000271F4"/>
    <w:rsid w:val="00027DD9"/>
    <w:rsid w:val="00027F95"/>
    <w:rsid w:val="00027FBC"/>
    <w:rsid w:val="00030313"/>
    <w:rsid w:val="000305B0"/>
    <w:rsid w:val="00030AB8"/>
    <w:rsid w:val="00030BEE"/>
    <w:rsid w:val="00030C3A"/>
    <w:rsid w:val="00030D02"/>
    <w:rsid w:val="00030DD9"/>
    <w:rsid w:val="0003114F"/>
    <w:rsid w:val="00031258"/>
    <w:rsid w:val="00031311"/>
    <w:rsid w:val="000317E1"/>
    <w:rsid w:val="00031864"/>
    <w:rsid w:val="00031934"/>
    <w:rsid w:val="00031C2E"/>
    <w:rsid w:val="00031E4E"/>
    <w:rsid w:val="000320B7"/>
    <w:rsid w:val="00032111"/>
    <w:rsid w:val="0003236F"/>
    <w:rsid w:val="00032A4E"/>
    <w:rsid w:val="00032BB1"/>
    <w:rsid w:val="00033432"/>
    <w:rsid w:val="00033801"/>
    <w:rsid w:val="0003391B"/>
    <w:rsid w:val="000344D7"/>
    <w:rsid w:val="00034CCB"/>
    <w:rsid w:val="00034D9C"/>
    <w:rsid w:val="00034E73"/>
    <w:rsid w:val="00034F28"/>
    <w:rsid w:val="0003502D"/>
    <w:rsid w:val="000350E3"/>
    <w:rsid w:val="00035164"/>
    <w:rsid w:val="0003517C"/>
    <w:rsid w:val="000352CC"/>
    <w:rsid w:val="00035555"/>
    <w:rsid w:val="00035837"/>
    <w:rsid w:val="0003608C"/>
    <w:rsid w:val="0003629C"/>
    <w:rsid w:val="000363D3"/>
    <w:rsid w:val="000366BA"/>
    <w:rsid w:val="000366E1"/>
    <w:rsid w:val="00036A4D"/>
    <w:rsid w:val="0003704B"/>
    <w:rsid w:val="00037BBD"/>
    <w:rsid w:val="00037C54"/>
    <w:rsid w:val="00037F26"/>
    <w:rsid w:val="0004002D"/>
    <w:rsid w:val="00040033"/>
    <w:rsid w:val="000402DE"/>
    <w:rsid w:val="00040619"/>
    <w:rsid w:val="000408F2"/>
    <w:rsid w:val="00041081"/>
    <w:rsid w:val="000410DD"/>
    <w:rsid w:val="00041445"/>
    <w:rsid w:val="000418D6"/>
    <w:rsid w:val="00041D3A"/>
    <w:rsid w:val="00041D56"/>
    <w:rsid w:val="00041DD2"/>
    <w:rsid w:val="00041DDD"/>
    <w:rsid w:val="00041DEF"/>
    <w:rsid w:val="0004257E"/>
    <w:rsid w:val="000425DB"/>
    <w:rsid w:val="00042B16"/>
    <w:rsid w:val="00042D21"/>
    <w:rsid w:val="00042E71"/>
    <w:rsid w:val="00042F77"/>
    <w:rsid w:val="000433C2"/>
    <w:rsid w:val="0004346C"/>
    <w:rsid w:val="000437DE"/>
    <w:rsid w:val="00043842"/>
    <w:rsid w:val="00043C45"/>
    <w:rsid w:val="00043C67"/>
    <w:rsid w:val="00043F9E"/>
    <w:rsid w:val="0004409E"/>
    <w:rsid w:val="000445F5"/>
    <w:rsid w:val="0004471F"/>
    <w:rsid w:val="00044806"/>
    <w:rsid w:val="00044845"/>
    <w:rsid w:val="0004496E"/>
    <w:rsid w:val="00044B3D"/>
    <w:rsid w:val="00044BA2"/>
    <w:rsid w:val="00044D3A"/>
    <w:rsid w:val="0004504F"/>
    <w:rsid w:val="000450EF"/>
    <w:rsid w:val="000452A7"/>
    <w:rsid w:val="000455A6"/>
    <w:rsid w:val="00045656"/>
    <w:rsid w:val="000456DB"/>
    <w:rsid w:val="000457A7"/>
    <w:rsid w:val="00045A88"/>
    <w:rsid w:val="00045BC9"/>
    <w:rsid w:val="000461A8"/>
    <w:rsid w:val="000462ED"/>
    <w:rsid w:val="00046401"/>
    <w:rsid w:val="00046645"/>
    <w:rsid w:val="00046668"/>
    <w:rsid w:val="00046881"/>
    <w:rsid w:val="00046950"/>
    <w:rsid w:val="00046AF5"/>
    <w:rsid w:val="00046F8A"/>
    <w:rsid w:val="0004724D"/>
    <w:rsid w:val="000474A3"/>
    <w:rsid w:val="000474EA"/>
    <w:rsid w:val="000478E6"/>
    <w:rsid w:val="0004797F"/>
    <w:rsid w:val="000479D4"/>
    <w:rsid w:val="00047CCE"/>
    <w:rsid w:val="00047E42"/>
    <w:rsid w:val="00047EA6"/>
    <w:rsid w:val="00050117"/>
    <w:rsid w:val="00050441"/>
    <w:rsid w:val="00050489"/>
    <w:rsid w:val="00050496"/>
    <w:rsid w:val="000506A1"/>
    <w:rsid w:val="000508D1"/>
    <w:rsid w:val="0005099B"/>
    <w:rsid w:val="00050B87"/>
    <w:rsid w:val="00051081"/>
    <w:rsid w:val="000512D1"/>
    <w:rsid w:val="0005132D"/>
    <w:rsid w:val="0005182E"/>
    <w:rsid w:val="00051CCA"/>
    <w:rsid w:val="00051D92"/>
    <w:rsid w:val="00051E6A"/>
    <w:rsid w:val="00051FC2"/>
    <w:rsid w:val="000525CE"/>
    <w:rsid w:val="00052A04"/>
    <w:rsid w:val="00052D6F"/>
    <w:rsid w:val="0005317F"/>
    <w:rsid w:val="00053471"/>
    <w:rsid w:val="000537BB"/>
    <w:rsid w:val="00053850"/>
    <w:rsid w:val="000538A1"/>
    <w:rsid w:val="000541C7"/>
    <w:rsid w:val="00054645"/>
    <w:rsid w:val="00054A4F"/>
    <w:rsid w:val="00054ACA"/>
    <w:rsid w:val="00054B66"/>
    <w:rsid w:val="00054E68"/>
    <w:rsid w:val="00054F6F"/>
    <w:rsid w:val="0005548B"/>
    <w:rsid w:val="0005548D"/>
    <w:rsid w:val="000557ED"/>
    <w:rsid w:val="00055990"/>
    <w:rsid w:val="00055CB6"/>
    <w:rsid w:val="00055E26"/>
    <w:rsid w:val="00056137"/>
    <w:rsid w:val="00056138"/>
    <w:rsid w:val="000565A3"/>
    <w:rsid w:val="00056612"/>
    <w:rsid w:val="00056635"/>
    <w:rsid w:val="000567BC"/>
    <w:rsid w:val="000569E0"/>
    <w:rsid w:val="00056DA9"/>
    <w:rsid w:val="00056EEF"/>
    <w:rsid w:val="00057588"/>
    <w:rsid w:val="00057640"/>
    <w:rsid w:val="000578A2"/>
    <w:rsid w:val="00057CB1"/>
    <w:rsid w:val="00060045"/>
    <w:rsid w:val="00060073"/>
    <w:rsid w:val="00060194"/>
    <w:rsid w:val="0006043F"/>
    <w:rsid w:val="0006068C"/>
    <w:rsid w:val="00060769"/>
    <w:rsid w:val="000607A6"/>
    <w:rsid w:val="00061253"/>
    <w:rsid w:val="00061378"/>
    <w:rsid w:val="0006148E"/>
    <w:rsid w:val="00061580"/>
    <w:rsid w:val="000617F3"/>
    <w:rsid w:val="000617FF"/>
    <w:rsid w:val="00061BEA"/>
    <w:rsid w:val="00061DC7"/>
    <w:rsid w:val="00061E48"/>
    <w:rsid w:val="00061E67"/>
    <w:rsid w:val="00061EE4"/>
    <w:rsid w:val="00061FD0"/>
    <w:rsid w:val="00061FDE"/>
    <w:rsid w:val="000620FB"/>
    <w:rsid w:val="000621DF"/>
    <w:rsid w:val="00062354"/>
    <w:rsid w:val="00062437"/>
    <w:rsid w:val="000626C4"/>
    <w:rsid w:val="00062926"/>
    <w:rsid w:val="000629AB"/>
    <w:rsid w:val="00062C7C"/>
    <w:rsid w:val="00062E45"/>
    <w:rsid w:val="00063308"/>
    <w:rsid w:val="000635F7"/>
    <w:rsid w:val="00063D28"/>
    <w:rsid w:val="000641F8"/>
    <w:rsid w:val="000643F7"/>
    <w:rsid w:val="00064404"/>
    <w:rsid w:val="000646B8"/>
    <w:rsid w:val="00064827"/>
    <w:rsid w:val="00064936"/>
    <w:rsid w:val="00064E2A"/>
    <w:rsid w:val="00064F58"/>
    <w:rsid w:val="00065001"/>
    <w:rsid w:val="000651DE"/>
    <w:rsid w:val="00065319"/>
    <w:rsid w:val="0006537C"/>
    <w:rsid w:val="000653E1"/>
    <w:rsid w:val="00065467"/>
    <w:rsid w:val="00065496"/>
    <w:rsid w:val="000657E2"/>
    <w:rsid w:val="00065B83"/>
    <w:rsid w:val="000662FB"/>
    <w:rsid w:val="0006665B"/>
    <w:rsid w:val="0006690F"/>
    <w:rsid w:val="00067188"/>
    <w:rsid w:val="00067292"/>
    <w:rsid w:val="00067430"/>
    <w:rsid w:val="000674B5"/>
    <w:rsid w:val="0006757F"/>
    <w:rsid w:val="00067A64"/>
    <w:rsid w:val="00067AB5"/>
    <w:rsid w:val="00067F81"/>
    <w:rsid w:val="00070718"/>
    <w:rsid w:val="0007076D"/>
    <w:rsid w:val="000708D3"/>
    <w:rsid w:val="00070B2A"/>
    <w:rsid w:val="00070E18"/>
    <w:rsid w:val="00070F2A"/>
    <w:rsid w:val="00071A4B"/>
    <w:rsid w:val="00071DBD"/>
    <w:rsid w:val="00071EFA"/>
    <w:rsid w:val="000720F5"/>
    <w:rsid w:val="000720F8"/>
    <w:rsid w:val="00072142"/>
    <w:rsid w:val="00072181"/>
    <w:rsid w:val="000724FA"/>
    <w:rsid w:val="00072711"/>
    <w:rsid w:val="00072728"/>
    <w:rsid w:val="000727B5"/>
    <w:rsid w:val="00072B3F"/>
    <w:rsid w:val="00072BE2"/>
    <w:rsid w:val="00072C03"/>
    <w:rsid w:val="00072DD4"/>
    <w:rsid w:val="00073223"/>
    <w:rsid w:val="000732DF"/>
    <w:rsid w:val="000732FD"/>
    <w:rsid w:val="0007358E"/>
    <w:rsid w:val="0007363E"/>
    <w:rsid w:val="00073792"/>
    <w:rsid w:val="00073872"/>
    <w:rsid w:val="00073A89"/>
    <w:rsid w:val="00073CEC"/>
    <w:rsid w:val="00073D34"/>
    <w:rsid w:val="00073F42"/>
    <w:rsid w:val="00073FA9"/>
    <w:rsid w:val="0007431D"/>
    <w:rsid w:val="00074665"/>
    <w:rsid w:val="000746D5"/>
    <w:rsid w:val="00074709"/>
    <w:rsid w:val="000749B9"/>
    <w:rsid w:val="00074D11"/>
    <w:rsid w:val="00074DA1"/>
    <w:rsid w:val="00075400"/>
    <w:rsid w:val="000754FC"/>
    <w:rsid w:val="000755F9"/>
    <w:rsid w:val="000756DF"/>
    <w:rsid w:val="00075941"/>
    <w:rsid w:val="00075CC6"/>
    <w:rsid w:val="00075E7A"/>
    <w:rsid w:val="0007633F"/>
    <w:rsid w:val="000764A2"/>
    <w:rsid w:val="0007650D"/>
    <w:rsid w:val="000765B6"/>
    <w:rsid w:val="00076C27"/>
    <w:rsid w:val="00076D5D"/>
    <w:rsid w:val="00076DE8"/>
    <w:rsid w:val="0007706A"/>
    <w:rsid w:val="00077534"/>
    <w:rsid w:val="0007754A"/>
    <w:rsid w:val="00077592"/>
    <w:rsid w:val="0007778B"/>
    <w:rsid w:val="000778A2"/>
    <w:rsid w:val="00077E7D"/>
    <w:rsid w:val="00080146"/>
    <w:rsid w:val="00080263"/>
    <w:rsid w:val="000803AD"/>
    <w:rsid w:val="000806D4"/>
    <w:rsid w:val="00080736"/>
    <w:rsid w:val="00080844"/>
    <w:rsid w:val="000808E3"/>
    <w:rsid w:val="00080B60"/>
    <w:rsid w:val="00080F62"/>
    <w:rsid w:val="00080FAA"/>
    <w:rsid w:val="000811D8"/>
    <w:rsid w:val="000817F5"/>
    <w:rsid w:val="000818DD"/>
    <w:rsid w:val="000819D4"/>
    <w:rsid w:val="000828E6"/>
    <w:rsid w:val="000829B6"/>
    <w:rsid w:val="000829D1"/>
    <w:rsid w:val="00082A62"/>
    <w:rsid w:val="00082D10"/>
    <w:rsid w:val="00082E1E"/>
    <w:rsid w:val="00082E1F"/>
    <w:rsid w:val="00082E97"/>
    <w:rsid w:val="00083173"/>
    <w:rsid w:val="00083421"/>
    <w:rsid w:val="00083429"/>
    <w:rsid w:val="00083FA8"/>
    <w:rsid w:val="00083FE3"/>
    <w:rsid w:val="00084018"/>
    <w:rsid w:val="0008411D"/>
    <w:rsid w:val="00084387"/>
    <w:rsid w:val="00084761"/>
    <w:rsid w:val="000849DF"/>
    <w:rsid w:val="00084AF6"/>
    <w:rsid w:val="00084E02"/>
    <w:rsid w:val="00084EA2"/>
    <w:rsid w:val="00084EE6"/>
    <w:rsid w:val="00084F63"/>
    <w:rsid w:val="0008506C"/>
    <w:rsid w:val="0008524E"/>
    <w:rsid w:val="0008527C"/>
    <w:rsid w:val="0008545A"/>
    <w:rsid w:val="00085AC2"/>
    <w:rsid w:val="00085AFD"/>
    <w:rsid w:val="00085BC7"/>
    <w:rsid w:val="00085C22"/>
    <w:rsid w:val="00085C51"/>
    <w:rsid w:val="00085D7F"/>
    <w:rsid w:val="00085E26"/>
    <w:rsid w:val="0008600B"/>
    <w:rsid w:val="0008600F"/>
    <w:rsid w:val="00086154"/>
    <w:rsid w:val="000868F5"/>
    <w:rsid w:val="00086ACE"/>
    <w:rsid w:val="00086C43"/>
    <w:rsid w:val="00086C83"/>
    <w:rsid w:val="000873CD"/>
    <w:rsid w:val="000873E7"/>
    <w:rsid w:val="000876D8"/>
    <w:rsid w:val="000876FA"/>
    <w:rsid w:val="00087774"/>
    <w:rsid w:val="00087BB3"/>
    <w:rsid w:val="00087C9E"/>
    <w:rsid w:val="0009016A"/>
    <w:rsid w:val="000901BC"/>
    <w:rsid w:val="0009086B"/>
    <w:rsid w:val="000909B9"/>
    <w:rsid w:val="00090A07"/>
    <w:rsid w:val="00090B9F"/>
    <w:rsid w:val="00090D41"/>
    <w:rsid w:val="00090D6C"/>
    <w:rsid w:val="00090DE6"/>
    <w:rsid w:val="00090F1B"/>
    <w:rsid w:val="0009127D"/>
    <w:rsid w:val="00091382"/>
    <w:rsid w:val="000917F4"/>
    <w:rsid w:val="00091AA3"/>
    <w:rsid w:val="00091AFB"/>
    <w:rsid w:val="00091D57"/>
    <w:rsid w:val="00092358"/>
    <w:rsid w:val="00092391"/>
    <w:rsid w:val="000924A8"/>
    <w:rsid w:val="000924D4"/>
    <w:rsid w:val="00092C29"/>
    <w:rsid w:val="00093042"/>
    <w:rsid w:val="00093540"/>
    <w:rsid w:val="0009393D"/>
    <w:rsid w:val="000939A5"/>
    <w:rsid w:val="00093DB0"/>
    <w:rsid w:val="0009434D"/>
    <w:rsid w:val="00094463"/>
    <w:rsid w:val="00094B3C"/>
    <w:rsid w:val="00094CB4"/>
    <w:rsid w:val="000951A2"/>
    <w:rsid w:val="00095213"/>
    <w:rsid w:val="0009529B"/>
    <w:rsid w:val="00095528"/>
    <w:rsid w:val="00095538"/>
    <w:rsid w:val="00095ABF"/>
    <w:rsid w:val="00096313"/>
    <w:rsid w:val="00096371"/>
    <w:rsid w:val="000964A7"/>
    <w:rsid w:val="0009657B"/>
    <w:rsid w:val="00096954"/>
    <w:rsid w:val="00096C13"/>
    <w:rsid w:val="00096DB8"/>
    <w:rsid w:val="0009700D"/>
    <w:rsid w:val="00097014"/>
    <w:rsid w:val="0009723F"/>
    <w:rsid w:val="000972EF"/>
    <w:rsid w:val="000977C6"/>
    <w:rsid w:val="00097C94"/>
    <w:rsid w:val="000A085E"/>
    <w:rsid w:val="000A0936"/>
    <w:rsid w:val="000A09E7"/>
    <w:rsid w:val="000A0AC7"/>
    <w:rsid w:val="000A0D56"/>
    <w:rsid w:val="000A0D76"/>
    <w:rsid w:val="000A0DC1"/>
    <w:rsid w:val="000A0F77"/>
    <w:rsid w:val="000A1070"/>
    <w:rsid w:val="000A10AB"/>
    <w:rsid w:val="000A123E"/>
    <w:rsid w:val="000A1285"/>
    <w:rsid w:val="000A169F"/>
    <w:rsid w:val="000A1D68"/>
    <w:rsid w:val="000A2640"/>
    <w:rsid w:val="000A27BB"/>
    <w:rsid w:val="000A29A5"/>
    <w:rsid w:val="000A2EB6"/>
    <w:rsid w:val="000A2EFD"/>
    <w:rsid w:val="000A32BD"/>
    <w:rsid w:val="000A353C"/>
    <w:rsid w:val="000A3E31"/>
    <w:rsid w:val="000A3EBA"/>
    <w:rsid w:val="000A4087"/>
    <w:rsid w:val="000A40C6"/>
    <w:rsid w:val="000A40FD"/>
    <w:rsid w:val="000A4124"/>
    <w:rsid w:val="000A4139"/>
    <w:rsid w:val="000A46FA"/>
    <w:rsid w:val="000A4871"/>
    <w:rsid w:val="000A4E9A"/>
    <w:rsid w:val="000A510B"/>
    <w:rsid w:val="000A52C2"/>
    <w:rsid w:val="000A5314"/>
    <w:rsid w:val="000A539F"/>
    <w:rsid w:val="000A5A83"/>
    <w:rsid w:val="000A5D8F"/>
    <w:rsid w:val="000A5D99"/>
    <w:rsid w:val="000A6163"/>
    <w:rsid w:val="000A630E"/>
    <w:rsid w:val="000A63AD"/>
    <w:rsid w:val="000A6591"/>
    <w:rsid w:val="000A677A"/>
    <w:rsid w:val="000A69D2"/>
    <w:rsid w:val="000A73EA"/>
    <w:rsid w:val="000A77D6"/>
    <w:rsid w:val="000A78EC"/>
    <w:rsid w:val="000A7A98"/>
    <w:rsid w:val="000A7B77"/>
    <w:rsid w:val="000A7C4C"/>
    <w:rsid w:val="000A7CF9"/>
    <w:rsid w:val="000A7D15"/>
    <w:rsid w:val="000A7D4B"/>
    <w:rsid w:val="000A7F51"/>
    <w:rsid w:val="000B01FA"/>
    <w:rsid w:val="000B022B"/>
    <w:rsid w:val="000B02ED"/>
    <w:rsid w:val="000B06A7"/>
    <w:rsid w:val="000B0DCE"/>
    <w:rsid w:val="000B14E7"/>
    <w:rsid w:val="000B1BA4"/>
    <w:rsid w:val="000B1F20"/>
    <w:rsid w:val="000B1F2B"/>
    <w:rsid w:val="000B20D4"/>
    <w:rsid w:val="000B2213"/>
    <w:rsid w:val="000B233D"/>
    <w:rsid w:val="000B27E0"/>
    <w:rsid w:val="000B2A82"/>
    <w:rsid w:val="000B2AAC"/>
    <w:rsid w:val="000B2B3C"/>
    <w:rsid w:val="000B2CD6"/>
    <w:rsid w:val="000B2FC3"/>
    <w:rsid w:val="000B32C5"/>
    <w:rsid w:val="000B32E4"/>
    <w:rsid w:val="000B3304"/>
    <w:rsid w:val="000B3667"/>
    <w:rsid w:val="000B38EA"/>
    <w:rsid w:val="000B3C3F"/>
    <w:rsid w:val="000B3D51"/>
    <w:rsid w:val="000B3EAD"/>
    <w:rsid w:val="000B3F89"/>
    <w:rsid w:val="000B4C37"/>
    <w:rsid w:val="000B4C82"/>
    <w:rsid w:val="000B50E7"/>
    <w:rsid w:val="000B515A"/>
    <w:rsid w:val="000B51E7"/>
    <w:rsid w:val="000B53F2"/>
    <w:rsid w:val="000B56C0"/>
    <w:rsid w:val="000B57DB"/>
    <w:rsid w:val="000B5A90"/>
    <w:rsid w:val="000B5B83"/>
    <w:rsid w:val="000B5DC1"/>
    <w:rsid w:val="000B5F3D"/>
    <w:rsid w:val="000B5FA3"/>
    <w:rsid w:val="000B60D2"/>
    <w:rsid w:val="000B6575"/>
    <w:rsid w:val="000B6801"/>
    <w:rsid w:val="000B6A87"/>
    <w:rsid w:val="000B6B12"/>
    <w:rsid w:val="000B6C6C"/>
    <w:rsid w:val="000B6CD3"/>
    <w:rsid w:val="000B6D0F"/>
    <w:rsid w:val="000B6E6D"/>
    <w:rsid w:val="000B72E0"/>
    <w:rsid w:val="000B7600"/>
    <w:rsid w:val="000B7664"/>
    <w:rsid w:val="000B7680"/>
    <w:rsid w:val="000B7989"/>
    <w:rsid w:val="000B7AE5"/>
    <w:rsid w:val="000B7BEC"/>
    <w:rsid w:val="000B7E0D"/>
    <w:rsid w:val="000C01F6"/>
    <w:rsid w:val="000C0226"/>
    <w:rsid w:val="000C023A"/>
    <w:rsid w:val="000C0726"/>
    <w:rsid w:val="000C076E"/>
    <w:rsid w:val="000C099C"/>
    <w:rsid w:val="000C0A33"/>
    <w:rsid w:val="000C0F55"/>
    <w:rsid w:val="000C1097"/>
    <w:rsid w:val="000C139B"/>
    <w:rsid w:val="000C140B"/>
    <w:rsid w:val="000C15E3"/>
    <w:rsid w:val="000C1C3E"/>
    <w:rsid w:val="000C1CE8"/>
    <w:rsid w:val="000C233C"/>
    <w:rsid w:val="000C24DA"/>
    <w:rsid w:val="000C25D8"/>
    <w:rsid w:val="000C267B"/>
    <w:rsid w:val="000C2980"/>
    <w:rsid w:val="000C2FB7"/>
    <w:rsid w:val="000C30CB"/>
    <w:rsid w:val="000C35FB"/>
    <w:rsid w:val="000C3630"/>
    <w:rsid w:val="000C3830"/>
    <w:rsid w:val="000C399A"/>
    <w:rsid w:val="000C39B4"/>
    <w:rsid w:val="000C3AD0"/>
    <w:rsid w:val="000C3DA5"/>
    <w:rsid w:val="000C42ED"/>
    <w:rsid w:val="000C4457"/>
    <w:rsid w:val="000C4589"/>
    <w:rsid w:val="000C4689"/>
    <w:rsid w:val="000C4738"/>
    <w:rsid w:val="000C4968"/>
    <w:rsid w:val="000C4CC0"/>
    <w:rsid w:val="000C4D5C"/>
    <w:rsid w:val="000C4D8E"/>
    <w:rsid w:val="000C5202"/>
    <w:rsid w:val="000C53F5"/>
    <w:rsid w:val="000C5564"/>
    <w:rsid w:val="000C55DB"/>
    <w:rsid w:val="000C5602"/>
    <w:rsid w:val="000C584E"/>
    <w:rsid w:val="000C59C4"/>
    <w:rsid w:val="000C5B36"/>
    <w:rsid w:val="000C5D65"/>
    <w:rsid w:val="000C627A"/>
    <w:rsid w:val="000C6F05"/>
    <w:rsid w:val="000C71C5"/>
    <w:rsid w:val="000C727A"/>
    <w:rsid w:val="000C730E"/>
    <w:rsid w:val="000C7450"/>
    <w:rsid w:val="000C7697"/>
    <w:rsid w:val="000C76DA"/>
    <w:rsid w:val="000C789E"/>
    <w:rsid w:val="000C79D0"/>
    <w:rsid w:val="000C7ABE"/>
    <w:rsid w:val="000C7B4C"/>
    <w:rsid w:val="000C7D70"/>
    <w:rsid w:val="000C7EF4"/>
    <w:rsid w:val="000D0459"/>
    <w:rsid w:val="000D072A"/>
    <w:rsid w:val="000D09C3"/>
    <w:rsid w:val="000D0B34"/>
    <w:rsid w:val="000D0EC2"/>
    <w:rsid w:val="000D0F51"/>
    <w:rsid w:val="000D0F9C"/>
    <w:rsid w:val="000D1221"/>
    <w:rsid w:val="000D17A9"/>
    <w:rsid w:val="000D1B06"/>
    <w:rsid w:val="000D1D83"/>
    <w:rsid w:val="000D1E54"/>
    <w:rsid w:val="000D215B"/>
    <w:rsid w:val="000D24E2"/>
    <w:rsid w:val="000D2BA7"/>
    <w:rsid w:val="000D2CA8"/>
    <w:rsid w:val="000D31F1"/>
    <w:rsid w:val="000D3585"/>
    <w:rsid w:val="000D3A7C"/>
    <w:rsid w:val="000D3CAE"/>
    <w:rsid w:val="000D42CA"/>
    <w:rsid w:val="000D4498"/>
    <w:rsid w:val="000D4568"/>
    <w:rsid w:val="000D4A0C"/>
    <w:rsid w:val="000D4EE8"/>
    <w:rsid w:val="000D4FE9"/>
    <w:rsid w:val="000D527A"/>
    <w:rsid w:val="000D5383"/>
    <w:rsid w:val="000D53B8"/>
    <w:rsid w:val="000D5583"/>
    <w:rsid w:val="000D5624"/>
    <w:rsid w:val="000D5955"/>
    <w:rsid w:val="000D6036"/>
    <w:rsid w:val="000D68E4"/>
    <w:rsid w:val="000D70CE"/>
    <w:rsid w:val="000D70FA"/>
    <w:rsid w:val="000D7279"/>
    <w:rsid w:val="000D74A4"/>
    <w:rsid w:val="000D7679"/>
    <w:rsid w:val="000D7CD3"/>
    <w:rsid w:val="000E0C8A"/>
    <w:rsid w:val="000E0D71"/>
    <w:rsid w:val="000E0DD4"/>
    <w:rsid w:val="000E0F62"/>
    <w:rsid w:val="000E0FC9"/>
    <w:rsid w:val="000E1054"/>
    <w:rsid w:val="000E1158"/>
    <w:rsid w:val="000E13B0"/>
    <w:rsid w:val="000E1473"/>
    <w:rsid w:val="000E162A"/>
    <w:rsid w:val="000E177D"/>
    <w:rsid w:val="000E19F0"/>
    <w:rsid w:val="000E1E6F"/>
    <w:rsid w:val="000E2098"/>
    <w:rsid w:val="000E21B1"/>
    <w:rsid w:val="000E22B3"/>
    <w:rsid w:val="000E237E"/>
    <w:rsid w:val="000E23BF"/>
    <w:rsid w:val="000E23EF"/>
    <w:rsid w:val="000E2664"/>
    <w:rsid w:val="000E2903"/>
    <w:rsid w:val="000E2BE0"/>
    <w:rsid w:val="000E2C2B"/>
    <w:rsid w:val="000E2E1B"/>
    <w:rsid w:val="000E2FA4"/>
    <w:rsid w:val="000E327D"/>
    <w:rsid w:val="000E32BE"/>
    <w:rsid w:val="000E32CD"/>
    <w:rsid w:val="000E3463"/>
    <w:rsid w:val="000E3464"/>
    <w:rsid w:val="000E3886"/>
    <w:rsid w:val="000E3CFC"/>
    <w:rsid w:val="000E3FDA"/>
    <w:rsid w:val="000E404D"/>
    <w:rsid w:val="000E40CB"/>
    <w:rsid w:val="000E420F"/>
    <w:rsid w:val="000E42F6"/>
    <w:rsid w:val="000E44A9"/>
    <w:rsid w:val="000E4A6D"/>
    <w:rsid w:val="000E4D8F"/>
    <w:rsid w:val="000E4F84"/>
    <w:rsid w:val="000E5206"/>
    <w:rsid w:val="000E5429"/>
    <w:rsid w:val="000E5B28"/>
    <w:rsid w:val="000E5D0D"/>
    <w:rsid w:val="000E62CE"/>
    <w:rsid w:val="000E63BC"/>
    <w:rsid w:val="000E649F"/>
    <w:rsid w:val="000E66DF"/>
    <w:rsid w:val="000E6AF8"/>
    <w:rsid w:val="000E6B08"/>
    <w:rsid w:val="000E70A5"/>
    <w:rsid w:val="000E70F6"/>
    <w:rsid w:val="000E7523"/>
    <w:rsid w:val="000E77B0"/>
    <w:rsid w:val="000E785C"/>
    <w:rsid w:val="000E78BC"/>
    <w:rsid w:val="000E7960"/>
    <w:rsid w:val="000E7F42"/>
    <w:rsid w:val="000F01EE"/>
    <w:rsid w:val="000F034B"/>
    <w:rsid w:val="000F039B"/>
    <w:rsid w:val="000F04C0"/>
    <w:rsid w:val="000F0528"/>
    <w:rsid w:val="000F06DE"/>
    <w:rsid w:val="000F0888"/>
    <w:rsid w:val="000F0DEA"/>
    <w:rsid w:val="000F0DFE"/>
    <w:rsid w:val="000F0E8F"/>
    <w:rsid w:val="000F1394"/>
    <w:rsid w:val="000F1519"/>
    <w:rsid w:val="000F18A3"/>
    <w:rsid w:val="000F19CA"/>
    <w:rsid w:val="000F1A51"/>
    <w:rsid w:val="000F1CEF"/>
    <w:rsid w:val="000F25EE"/>
    <w:rsid w:val="000F269A"/>
    <w:rsid w:val="000F26C0"/>
    <w:rsid w:val="000F2852"/>
    <w:rsid w:val="000F2873"/>
    <w:rsid w:val="000F2BE7"/>
    <w:rsid w:val="000F2CE4"/>
    <w:rsid w:val="000F2DD7"/>
    <w:rsid w:val="000F2FB2"/>
    <w:rsid w:val="000F32AC"/>
    <w:rsid w:val="000F3597"/>
    <w:rsid w:val="000F370D"/>
    <w:rsid w:val="000F376F"/>
    <w:rsid w:val="000F37E4"/>
    <w:rsid w:val="000F3856"/>
    <w:rsid w:val="000F3E1E"/>
    <w:rsid w:val="000F3E50"/>
    <w:rsid w:val="000F41E0"/>
    <w:rsid w:val="000F43CA"/>
    <w:rsid w:val="000F4698"/>
    <w:rsid w:val="000F48B5"/>
    <w:rsid w:val="000F4AF1"/>
    <w:rsid w:val="000F4D00"/>
    <w:rsid w:val="000F4E41"/>
    <w:rsid w:val="000F4FE7"/>
    <w:rsid w:val="000F5554"/>
    <w:rsid w:val="000F57C2"/>
    <w:rsid w:val="000F5A7E"/>
    <w:rsid w:val="000F5D44"/>
    <w:rsid w:val="000F5E41"/>
    <w:rsid w:val="000F5E6F"/>
    <w:rsid w:val="000F5EC4"/>
    <w:rsid w:val="000F60AC"/>
    <w:rsid w:val="000F6152"/>
    <w:rsid w:val="000F6161"/>
    <w:rsid w:val="000F63EF"/>
    <w:rsid w:val="000F6442"/>
    <w:rsid w:val="000F68EC"/>
    <w:rsid w:val="000F75A1"/>
    <w:rsid w:val="000F763F"/>
    <w:rsid w:val="000F7AD5"/>
    <w:rsid w:val="000F7CB4"/>
    <w:rsid w:val="000F7F64"/>
    <w:rsid w:val="000F7FAE"/>
    <w:rsid w:val="00100058"/>
    <w:rsid w:val="00100268"/>
    <w:rsid w:val="00100472"/>
    <w:rsid w:val="001008F0"/>
    <w:rsid w:val="001009C1"/>
    <w:rsid w:val="00100B0C"/>
    <w:rsid w:val="00101A55"/>
    <w:rsid w:val="00101B88"/>
    <w:rsid w:val="00101EC8"/>
    <w:rsid w:val="00101F21"/>
    <w:rsid w:val="0010203F"/>
    <w:rsid w:val="0010243C"/>
    <w:rsid w:val="00102509"/>
    <w:rsid w:val="00102B37"/>
    <w:rsid w:val="00102E12"/>
    <w:rsid w:val="001030AE"/>
    <w:rsid w:val="001031B6"/>
    <w:rsid w:val="0010327A"/>
    <w:rsid w:val="001032AD"/>
    <w:rsid w:val="00103356"/>
    <w:rsid w:val="00103433"/>
    <w:rsid w:val="001035FC"/>
    <w:rsid w:val="0010374F"/>
    <w:rsid w:val="0010385A"/>
    <w:rsid w:val="00103A48"/>
    <w:rsid w:val="00103D45"/>
    <w:rsid w:val="0010401A"/>
    <w:rsid w:val="00104132"/>
    <w:rsid w:val="00104168"/>
    <w:rsid w:val="00104365"/>
    <w:rsid w:val="001045C8"/>
    <w:rsid w:val="00104992"/>
    <w:rsid w:val="001049FC"/>
    <w:rsid w:val="00104E68"/>
    <w:rsid w:val="00104EC6"/>
    <w:rsid w:val="00104EE9"/>
    <w:rsid w:val="00105326"/>
    <w:rsid w:val="001054A5"/>
    <w:rsid w:val="00105774"/>
    <w:rsid w:val="00105B08"/>
    <w:rsid w:val="0010607E"/>
    <w:rsid w:val="001062CA"/>
    <w:rsid w:val="0010642A"/>
    <w:rsid w:val="0010687A"/>
    <w:rsid w:val="00106AA3"/>
    <w:rsid w:val="00106EE8"/>
    <w:rsid w:val="001070B0"/>
    <w:rsid w:val="00107126"/>
    <w:rsid w:val="001075A8"/>
    <w:rsid w:val="001079C3"/>
    <w:rsid w:val="00107B24"/>
    <w:rsid w:val="00110342"/>
    <w:rsid w:val="00110856"/>
    <w:rsid w:val="00111160"/>
    <w:rsid w:val="00111262"/>
    <w:rsid w:val="001112CB"/>
    <w:rsid w:val="00111347"/>
    <w:rsid w:val="001113CA"/>
    <w:rsid w:val="0011155E"/>
    <w:rsid w:val="001115C7"/>
    <w:rsid w:val="00111823"/>
    <w:rsid w:val="00111D39"/>
    <w:rsid w:val="00111D49"/>
    <w:rsid w:val="00111E5D"/>
    <w:rsid w:val="00111EC4"/>
    <w:rsid w:val="001120AE"/>
    <w:rsid w:val="001124E6"/>
    <w:rsid w:val="001126F9"/>
    <w:rsid w:val="001127A0"/>
    <w:rsid w:val="001128FF"/>
    <w:rsid w:val="00112A83"/>
    <w:rsid w:val="00112D15"/>
    <w:rsid w:val="00112EAD"/>
    <w:rsid w:val="00112FD6"/>
    <w:rsid w:val="00113224"/>
    <w:rsid w:val="00113274"/>
    <w:rsid w:val="0011349E"/>
    <w:rsid w:val="00113A3A"/>
    <w:rsid w:val="00113BDB"/>
    <w:rsid w:val="00113CDF"/>
    <w:rsid w:val="00113DC8"/>
    <w:rsid w:val="00113E20"/>
    <w:rsid w:val="00113E61"/>
    <w:rsid w:val="00113F0D"/>
    <w:rsid w:val="00114045"/>
    <w:rsid w:val="001143AE"/>
    <w:rsid w:val="001143D0"/>
    <w:rsid w:val="00114486"/>
    <w:rsid w:val="001144D0"/>
    <w:rsid w:val="0011455D"/>
    <w:rsid w:val="001146BF"/>
    <w:rsid w:val="00114704"/>
    <w:rsid w:val="001148C3"/>
    <w:rsid w:val="00114BA6"/>
    <w:rsid w:val="00114F41"/>
    <w:rsid w:val="0011506B"/>
    <w:rsid w:val="0011508E"/>
    <w:rsid w:val="0011562D"/>
    <w:rsid w:val="00115651"/>
    <w:rsid w:val="001156D5"/>
    <w:rsid w:val="00115AB8"/>
    <w:rsid w:val="00115AEB"/>
    <w:rsid w:val="00115FBE"/>
    <w:rsid w:val="001169B6"/>
    <w:rsid w:val="00116AB6"/>
    <w:rsid w:val="00116D6F"/>
    <w:rsid w:val="00116DD5"/>
    <w:rsid w:val="00117309"/>
    <w:rsid w:val="00117AF1"/>
    <w:rsid w:val="00117B03"/>
    <w:rsid w:val="00117BB0"/>
    <w:rsid w:val="00117CBF"/>
    <w:rsid w:val="0012007E"/>
    <w:rsid w:val="001200FD"/>
    <w:rsid w:val="0012011D"/>
    <w:rsid w:val="00120185"/>
    <w:rsid w:val="00120457"/>
    <w:rsid w:val="00120D62"/>
    <w:rsid w:val="00120D7F"/>
    <w:rsid w:val="00120F89"/>
    <w:rsid w:val="00121090"/>
    <w:rsid w:val="00121177"/>
    <w:rsid w:val="001211E8"/>
    <w:rsid w:val="00121299"/>
    <w:rsid w:val="001213F2"/>
    <w:rsid w:val="001216FA"/>
    <w:rsid w:val="00121DFD"/>
    <w:rsid w:val="00121F1E"/>
    <w:rsid w:val="00122675"/>
    <w:rsid w:val="00122713"/>
    <w:rsid w:val="00122786"/>
    <w:rsid w:val="001228C0"/>
    <w:rsid w:val="00122912"/>
    <w:rsid w:val="00122976"/>
    <w:rsid w:val="00122ECC"/>
    <w:rsid w:val="00123742"/>
    <w:rsid w:val="0012380F"/>
    <w:rsid w:val="00123A77"/>
    <w:rsid w:val="00123C76"/>
    <w:rsid w:val="0012468A"/>
    <w:rsid w:val="001248B9"/>
    <w:rsid w:val="00124943"/>
    <w:rsid w:val="001249B2"/>
    <w:rsid w:val="00124A96"/>
    <w:rsid w:val="00124D62"/>
    <w:rsid w:val="0012503F"/>
    <w:rsid w:val="00125420"/>
    <w:rsid w:val="001254C6"/>
    <w:rsid w:val="00125651"/>
    <w:rsid w:val="00125958"/>
    <w:rsid w:val="00125AC1"/>
    <w:rsid w:val="00125C51"/>
    <w:rsid w:val="00125D56"/>
    <w:rsid w:val="00125FC1"/>
    <w:rsid w:val="001261E2"/>
    <w:rsid w:val="00126235"/>
    <w:rsid w:val="0012664B"/>
    <w:rsid w:val="001267F9"/>
    <w:rsid w:val="00126876"/>
    <w:rsid w:val="00126F68"/>
    <w:rsid w:val="00126F98"/>
    <w:rsid w:val="00127273"/>
    <w:rsid w:val="001273DA"/>
    <w:rsid w:val="00127CCE"/>
    <w:rsid w:val="00127DBA"/>
    <w:rsid w:val="001304C0"/>
    <w:rsid w:val="0013060B"/>
    <w:rsid w:val="001306A7"/>
    <w:rsid w:val="00130F7C"/>
    <w:rsid w:val="00131084"/>
    <w:rsid w:val="0013108B"/>
    <w:rsid w:val="0013114E"/>
    <w:rsid w:val="001315D4"/>
    <w:rsid w:val="001315EA"/>
    <w:rsid w:val="0013171C"/>
    <w:rsid w:val="001319AE"/>
    <w:rsid w:val="00131D5D"/>
    <w:rsid w:val="00131E75"/>
    <w:rsid w:val="00132098"/>
    <w:rsid w:val="00132391"/>
    <w:rsid w:val="0013239A"/>
    <w:rsid w:val="00132472"/>
    <w:rsid w:val="001324FE"/>
    <w:rsid w:val="00132674"/>
    <w:rsid w:val="00132A09"/>
    <w:rsid w:val="00132D0E"/>
    <w:rsid w:val="00132DBF"/>
    <w:rsid w:val="00132E23"/>
    <w:rsid w:val="00132F27"/>
    <w:rsid w:val="001334D9"/>
    <w:rsid w:val="001335FA"/>
    <w:rsid w:val="00133862"/>
    <w:rsid w:val="00133893"/>
    <w:rsid w:val="0013399B"/>
    <w:rsid w:val="00133D17"/>
    <w:rsid w:val="00134308"/>
    <w:rsid w:val="0013455F"/>
    <w:rsid w:val="00134704"/>
    <w:rsid w:val="001348C2"/>
    <w:rsid w:val="00134EEC"/>
    <w:rsid w:val="0013505A"/>
    <w:rsid w:val="00135140"/>
    <w:rsid w:val="00135207"/>
    <w:rsid w:val="00135418"/>
    <w:rsid w:val="001358CD"/>
    <w:rsid w:val="00135D93"/>
    <w:rsid w:val="00135EC9"/>
    <w:rsid w:val="001360C7"/>
    <w:rsid w:val="00136252"/>
    <w:rsid w:val="00136843"/>
    <w:rsid w:val="00136869"/>
    <w:rsid w:val="00136895"/>
    <w:rsid w:val="00136C7F"/>
    <w:rsid w:val="00136EF3"/>
    <w:rsid w:val="001371D2"/>
    <w:rsid w:val="00137464"/>
    <w:rsid w:val="0013760D"/>
    <w:rsid w:val="001376AE"/>
    <w:rsid w:val="00137940"/>
    <w:rsid w:val="00137B50"/>
    <w:rsid w:val="00137F30"/>
    <w:rsid w:val="00137FEB"/>
    <w:rsid w:val="001401A7"/>
    <w:rsid w:val="0014021C"/>
    <w:rsid w:val="0014041C"/>
    <w:rsid w:val="001414BB"/>
    <w:rsid w:val="00141831"/>
    <w:rsid w:val="001418F8"/>
    <w:rsid w:val="001419EF"/>
    <w:rsid w:val="00141A22"/>
    <w:rsid w:val="00141A37"/>
    <w:rsid w:val="00141B4A"/>
    <w:rsid w:val="00141C42"/>
    <w:rsid w:val="00141F60"/>
    <w:rsid w:val="001421E4"/>
    <w:rsid w:val="00142813"/>
    <w:rsid w:val="00142C78"/>
    <w:rsid w:val="00142EF1"/>
    <w:rsid w:val="00142F44"/>
    <w:rsid w:val="00142F8B"/>
    <w:rsid w:val="00143151"/>
    <w:rsid w:val="001431DB"/>
    <w:rsid w:val="001433D4"/>
    <w:rsid w:val="00143674"/>
    <w:rsid w:val="00143799"/>
    <w:rsid w:val="00143A1B"/>
    <w:rsid w:val="00143A49"/>
    <w:rsid w:val="00143C18"/>
    <w:rsid w:val="00143EB8"/>
    <w:rsid w:val="001440DD"/>
    <w:rsid w:val="001446B2"/>
    <w:rsid w:val="00144813"/>
    <w:rsid w:val="00144ADB"/>
    <w:rsid w:val="00144DF8"/>
    <w:rsid w:val="0014539F"/>
    <w:rsid w:val="00145468"/>
    <w:rsid w:val="00145A1D"/>
    <w:rsid w:val="00145ED6"/>
    <w:rsid w:val="00146099"/>
    <w:rsid w:val="00146396"/>
    <w:rsid w:val="001463B3"/>
    <w:rsid w:val="00146D9F"/>
    <w:rsid w:val="00146F6C"/>
    <w:rsid w:val="00147253"/>
    <w:rsid w:val="00147422"/>
    <w:rsid w:val="0014748A"/>
    <w:rsid w:val="00147559"/>
    <w:rsid w:val="001478BA"/>
    <w:rsid w:val="00147CB5"/>
    <w:rsid w:val="00147CF6"/>
    <w:rsid w:val="001509A4"/>
    <w:rsid w:val="001511A4"/>
    <w:rsid w:val="00151214"/>
    <w:rsid w:val="0015128D"/>
    <w:rsid w:val="00151343"/>
    <w:rsid w:val="001514E2"/>
    <w:rsid w:val="001516A9"/>
    <w:rsid w:val="001516DB"/>
    <w:rsid w:val="00151BB3"/>
    <w:rsid w:val="0015208C"/>
    <w:rsid w:val="0015237B"/>
    <w:rsid w:val="001523C9"/>
    <w:rsid w:val="001524CE"/>
    <w:rsid w:val="00152751"/>
    <w:rsid w:val="00152E56"/>
    <w:rsid w:val="00153176"/>
    <w:rsid w:val="001531DE"/>
    <w:rsid w:val="00153299"/>
    <w:rsid w:val="001532E5"/>
    <w:rsid w:val="0015369B"/>
    <w:rsid w:val="001536EB"/>
    <w:rsid w:val="001538D3"/>
    <w:rsid w:val="0015390C"/>
    <w:rsid w:val="00153A3C"/>
    <w:rsid w:val="00153D89"/>
    <w:rsid w:val="00153DCC"/>
    <w:rsid w:val="00153E1C"/>
    <w:rsid w:val="00154152"/>
    <w:rsid w:val="001546D3"/>
    <w:rsid w:val="00154733"/>
    <w:rsid w:val="0015479F"/>
    <w:rsid w:val="001547AB"/>
    <w:rsid w:val="00154850"/>
    <w:rsid w:val="0015485C"/>
    <w:rsid w:val="00154B63"/>
    <w:rsid w:val="00154CB3"/>
    <w:rsid w:val="00154E23"/>
    <w:rsid w:val="00155117"/>
    <w:rsid w:val="001555D0"/>
    <w:rsid w:val="001559AA"/>
    <w:rsid w:val="00155EC4"/>
    <w:rsid w:val="0015634E"/>
    <w:rsid w:val="0015639F"/>
    <w:rsid w:val="001564C3"/>
    <w:rsid w:val="00156C7D"/>
    <w:rsid w:val="00156D13"/>
    <w:rsid w:val="001570B0"/>
    <w:rsid w:val="00157260"/>
    <w:rsid w:val="001575B4"/>
    <w:rsid w:val="001575D8"/>
    <w:rsid w:val="00157664"/>
    <w:rsid w:val="00157E6E"/>
    <w:rsid w:val="001600DF"/>
    <w:rsid w:val="00160180"/>
    <w:rsid w:val="0016038B"/>
    <w:rsid w:val="00160503"/>
    <w:rsid w:val="00160627"/>
    <w:rsid w:val="001606AA"/>
    <w:rsid w:val="00160985"/>
    <w:rsid w:val="00160B79"/>
    <w:rsid w:val="00161148"/>
    <w:rsid w:val="001611C8"/>
    <w:rsid w:val="00161230"/>
    <w:rsid w:val="00161280"/>
    <w:rsid w:val="00161444"/>
    <w:rsid w:val="0016149C"/>
    <w:rsid w:val="001614D8"/>
    <w:rsid w:val="0016192A"/>
    <w:rsid w:val="0016195F"/>
    <w:rsid w:val="00161A69"/>
    <w:rsid w:val="00161A6B"/>
    <w:rsid w:val="00161AEE"/>
    <w:rsid w:val="00161BFF"/>
    <w:rsid w:val="00161D72"/>
    <w:rsid w:val="00162056"/>
    <w:rsid w:val="001622D3"/>
    <w:rsid w:val="001622ED"/>
    <w:rsid w:val="00162C0B"/>
    <w:rsid w:val="00162F8F"/>
    <w:rsid w:val="0016306C"/>
    <w:rsid w:val="0016323D"/>
    <w:rsid w:val="001632FB"/>
    <w:rsid w:val="0016343C"/>
    <w:rsid w:val="00163477"/>
    <w:rsid w:val="00163540"/>
    <w:rsid w:val="00163E5A"/>
    <w:rsid w:val="00164204"/>
    <w:rsid w:val="00164402"/>
    <w:rsid w:val="001645B6"/>
    <w:rsid w:val="00164720"/>
    <w:rsid w:val="00164938"/>
    <w:rsid w:val="00164B50"/>
    <w:rsid w:val="00164DAA"/>
    <w:rsid w:val="00165041"/>
    <w:rsid w:val="0016523C"/>
    <w:rsid w:val="001657D2"/>
    <w:rsid w:val="001657F8"/>
    <w:rsid w:val="00165947"/>
    <w:rsid w:val="00165BF8"/>
    <w:rsid w:val="00165C17"/>
    <w:rsid w:val="00165C76"/>
    <w:rsid w:val="00165E0A"/>
    <w:rsid w:val="001661D3"/>
    <w:rsid w:val="00166288"/>
    <w:rsid w:val="00166316"/>
    <w:rsid w:val="00166319"/>
    <w:rsid w:val="001664CA"/>
    <w:rsid w:val="0016655B"/>
    <w:rsid w:val="00166759"/>
    <w:rsid w:val="001667BA"/>
    <w:rsid w:val="00166956"/>
    <w:rsid w:val="001669F6"/>
    <w:rsid w:val="001671CF"/>
    <w:rsid w:val="00167305"/>
    <w:rsid w:val="001674B4"/>
    <w:rsid w:val="00167687"/>
    <w:rsid w:val="00167757"/>
    <w:rsid w:val="00167891"/>
    <w:rsid w:val="00167A99"/>
    <w:rsid w:val="00167C39"/>
    <w:rsid w:val="00167FAA"/>
    <w:rsid w:val="00167FBE"/>
    <w:rsid w:val="00167FDD"/>
    <w:rsid w:val="001703A0"/>
    <w:rsid w:val="00170967"/>
    <w:rsid w:val="00170991"/>
    <w:rsid w:val="001709E7"/>
    <w:rsid w:val="00170A4B"/>
    <w:rsid w:val="00170D6A"/>
    <w:rsid w:val="00170E15"/>
    <w:rsid w:val="00170E70"/>
    <w:rsid w:val="00170F0C"/>
    <w:rsid w:val="001715CF"/>
    <w:rsid w:val="0017188E"/>
    <w:rsid w:val="00171F12"/>
    <w:rsid w:val="001720E4"/>
    <w:rsid w:val="00172E48"/>
    <w:rsid w:val="0017306D"/>
    <w:rsid w:val="00173151"/>
    <w:rsid w:val="0017316E"/>
    <w:rsid w:val="00173439"/>
    <w:rsid w:val="00173944"/>
    <w:rsid w:val="00174622"/>
    <w:rsid w:val="001747FB"/>
    <w:rsid w:val="00174879"/>
    <w:rsid w:val="0017489B"/>
    <w:rsid w:val="00174B36"/>
    <w:rsid w:val="00174D35"/>
    <w:rsid w:val="00174DDB"/>
    <w:rsid w:val="0017508C"/>
    <w:rsid w:val="00175120"/>
    <w:rsid w:val="001751D9"/>
    <w:rsid w:val="00175364"/>
    <w:rsid w:val="00175897"/>
    <w:rsid w:val="00175B59"/>
    <w:rsid w:val="00175DBA"/>
    <w:rsid w:val="00175FBA"/>
    <w:rsid w:val="0017600F"/>
    <w:rsid w:val="00176295"/>
    <w:rsid w:val="00176CA2"/>
    <w:rsid w:val="00176CF4"/>
    <w:rsid w:val="00176E46"/>
    <w:rsid w:val="00176F23"/>
    <w:rsid w:val="00176FA2"/>
    <w:rsid w:val="001770F1"/>
    <w:rsid w:val="001772A7"/>
    <w:rsid w:val="0017738A"/>
    <w:rsid w:val="0017799F"/>
    <w:rsid w:val="0018016F"/>
    <w:rsid w:val="001801A0"/>
    <w:rsid w:val="00180464"/>
    <w:rsid w:val="001806DF"/>
    <w:rsid w:val="00180A46"/>
    <w:rsid w:val="00180B4B"/>
    <w:rsid w:val="00180BAF"/>
    <w:rsid w:val="00180C96"/>
    <w:rsid w:val="00180F58"/>
    <w:rsid w:val="00181180"/>
    <w:rsid w:val="00181281"/>
    <w:rsid w:val="00181340"/>
    <w:rsid w:val="00181353"/>
    <w:rsid w:val="00181555"/>
    <w:rsid w:val="001818AE"/>
    <w:rsid w:val="00181A1C"/>
    <w:rsid w:val="00182103"/>
    <w:rsid w:val="00182179"/>
    <w:rsid w:val="001822CF"/>
    <w:rsid w:val="001822EF"/>
    <w:rsid w:val="001823B9"/>
    <w:rsid w:val="001828BF"/>
    <w:rsid w:val="00182997"/>
    <w:rsid w:val="00182A18"/>
    <w:rsid w:val="00182B9D"/>
    <w:rsid w:val="00182F7C"/>
    <w:rsid w:val="001832AE"/>
    <w:rsid w:val="001834C2"/>
    <w:rsid w:val="0018354A"/>
    <w:rsid w:val="001836BE"/>
    <w:rsid w:val="0018384A"/>
    <w:rsid w:val="00183A63"/>
    <w:rsid w:val="00183ACA"/>
    <w:rsid w:val="00184065"/>
    <w:rsid w:val="00184632"/>
    <w:rsid w:val="00184694"/>
    <w:rsid w:val="00184805"/>
    <w:rsid w:val="00184D24"/>
    <w:rsid w:val="00185048"/>
    <w:rsid w:val="001857BC"/>
    <w:rsid w:val="00185B90"/>
    <w:rsid w:val="00185DEC"/>
    <w:rsid w:val="00185DFF"/>
    <w:rsid w:val="00185E3F"/>
    <w:rsid w:val="00185F1A"/>
    <w:rsid w:val="00185FCF"/>
    <w:rsid w:val="00186029"/>
    <w:rsid w:val="00186A54"/>
    <w:rsid w:val="00186CB1"/>
    <w:rsid w:val="0018714C"/>
    <w:rsid w:val="001871F1"/>
    <w:rsid w:val="00187799"/>
    <w:rsid w:val="00187C8B"/>
    <w:rsid w:val="00187ED5"/>
    <w:rsid w:val="00190077"/>
    <w:rsid w:val="00190333"/>
    <w:rsid w:val="00190410"/>
    <w:rsid w:val="001904EF"/>
    <w:rsid w:val="001906DB"/>
    <w:rsid w:val="0019079B"/>
    <w:rsid w:val="00190D9D"/>
    <w:rsid w:val="001910F4"/>
    <w:rsid w:val="00191237"/>
    <w:rsid w:val="001914C0"/>
    <w:rsid w:val="0019150C"/>
    <w:rsid w:val="00191515"/>
    <w:rsid w:val="0019163F"/>
    <w:rsid w:val="001919AA"/>
    <w:rsid w:val="00191B28"/>
    <w:rsid w:val="00191D63"/>
    <w:rsid w:val="00191F98"/>
    <w:rsid w:val="00192227"/>
    <w:rsid w:val="00192293"/>
    <w:rsid w:val="001927F0"/>
    <w:rsid w:val="00192880"/>
    <w:rsid w:val="00192C9C"/>
    <w:rsid w:val="00192E96"/>
    <w:rsid w:val="00192F98"/>
    <w:rsid w:val="00193A14"/>
    <w:rsid w:val="00193A4B"/>
    <w:rsid w:val="00193CF7"/>
    <w:rsid w:val="00193D54"/>
    <w:rsid w:val="00193F94"/>
    <w:rsid w:val="00194279"/>
    <w:rsid w:val="00194384"/>
    <w:rsid w:val="0019444F"/>
    <w:rsid w:val="00194667"/>
    <w:rsid w:val="00194DAF"/>
    <w:rsid w:val="0019511A"/>
    <w:rsid w:val="0019536B"/>
    <w:rsid w:val="00195459"/>
    <w:rsid w:val="001954B1"/>
    <w:rsid w:val="00195940"/>
    <w:rsid w:val="001959E9"/>
    <w:rsid w:val="00195C16"/>
    <w:rsid w:val="00196479"/>
    <w:rsid w:val="00196515"/>
    <w:rsid w:val="001966A2"/>
    <w:rsid w:val="001967B2"/>
    <w:rsid w:val="00196C94"/>
    <w:rsid w:val="00196D70"/>
    <w:rsid w:val="00196DE0"/>
    <w:rsid w:val="0019709D"/>
    <w:rsid w:val="001971CB"/>
    <w:rsid w:val="001971DE"/>
    <w:rsid w:val="0019720C"/>
    <w:rsid w:val="0019728F"/>
    <w:rsid w:val="001972CA"/>
    <w:rsid w:val="0019772C"/>
    <w:rsid w:val="001977AD"/>
    <w:rsid w:val="00197AD3"/>
    <w:rsid w:val="00197B08"/>
    <w:rsid w:val="001A02BF"/>
    <w:rsid w:val="001A047F"/>
    <w:rsid w:val="001A0668"/>
    <w:rsid w:val="001A09CF"/>
    <w:rsid w:val="001A0BBB"/>
    <w:rsid w:val="001A0D3B"/>
    <w:rsid w:val="001A0DDA"/>
    <w:rsid w:val="001A11E5"/>
    <w:rsid w:val="001A13B6"/>
    <w:rsid w:val="001A14D5"/>
    <w:rsid w:val="001A19E6"/>
    <w:rsid w:val="001A20C6"/>
    <w:rsid w:val="001A21CD"/>
    <w:rsid w:val="001A22C1"/>
    <w:rsid w:val="001A2616"/>
    <w:rsid w:val="001A28FB"/>
    <w:rsid w:val="001A2902"/>
    <w:rsid w:val="001A291E"/>
    <w:rsid w:val="001A2ADB"/>
    <w:rsid w:val="001A2B66"/>
    <w:rsid w:val="001A2C55"/>
    <w:rsid w:val="001A30F6"/>
    <w:rsid w:val="001A34D7"/>
    <w:rsid w:val="001A3A0A"/>
    <w:rsid w:val="001A3ADB"/>
    <w:rsid w:val="001A3BCF"/>
    <w:rsid w:val="001A3D26"/>
    <w:rsid w:val="001A3E5B"/>
    <w:rsid w:val="001A3EFA"/>
    <w:rsid w:val="001A3F3F"/>
    <w:rsid w:val="001A41BF"/>
    <w:rsid w:val="001A424B"/>
    <w:rsid w:val="001A4AD3"/>
    <w:rsid w:val="001A4D76"/>
    <w:rsid w:val="001A50F8"/>
    <w:rsid w:val="001A5199"/>
    <w:rsid w:val="001A51B6"/>
    <w:rsid w:val="001A54BF"/>
    <w:rsid w:val="001A55A4"/>
    <w:rsid w:val="001A57C1"/>
    <w:rsid w:val="001A5AFA"/>
    <w:rsid w:val="001A609A"/>
    <w:rsid w:val="001A66A2"/>
    <w:rsid w:val="001A78C8"/>
    <w:rsid w:val="001A7AAD"/>
    <w:rsid w:val="001A7D5A"/>
    <w:rsid w:val="001A7EAD"/>
    <w:rsid w:val="001B000F"/>
    <w:rsid w:val="001B01CB"/>
    <w:rsid w:val="001B01D9"/>
    <w:rsid w:val="001B0702"/>
    <w:rsid w:val="001B07B9"/>
    <w:rsid w:val="001B0ADE"/>
    <w:rsid w:val="001B10B4"/>
    <w:rsid w:val="001B1426"/>
    <w:rsid w:val="001B1437"/>
    <w:rsid w:val="001B15BA"/>
    <w:rsid w:val="001B1A43"/>
    <w:rsid w:val="001B20F5"/>
    <w:rsid w:val="001B22E2"/>
    <w:rsid w:val="001B2305"/>
    <w:rsid w:val="001B264A"/>
    <w:rsid w:val="001B28C7"/>
    <w:rsid w:val="001B2A8B"/>
    <w:rsid w:val="001B2B8F"/>
    <w:rsid w:val="001B2BF1"/>
    <w:rsid w:val="001B3221"/>
    <w:rsid w:val="001B3415"/>
    <w:rsid w:val="001B34BB"/>
    <w:rsid w:val="001B3775"/>
    <w:rsid w:val="001B38A3"/>
    <w:rsid w:val="001B3AD8"/>
    <w:rsid w:val="001B4143"/>
    <w:rsid w:val="001B434B"/>
    <w:rsid w:val="001B44FB"/>
    <w:rsid w:val="001B4695"/>
    <w:rsid w:val="001B47C2"/>
    <w:rsid w:val="001B4EA0"/>
    <w:rsid w:val="001B52C9"/>
    <w:rsid w:val="001B5337"/>
    <w:rsid w:val="001B5342"/>
    <w:rsid w:val="001B53B1"/>
    <w:rsid w:val="001B53BC"/>
    <w:rsid w:val="001B57BC"/>
    <w:rsid w:val="001B599E"/>
    <w:rsid w:val="001B5A78"/>
    <w:rsid w:val="001B5CAF"/>
    <w:rsid w:val="001B5DA8"/>
    <w:rsid w:val="001B6B0B"/>
    <w:rsid w:val="001B6C59"/>
    <w:rsid w:val="001B72FD"/>
    <w:rsid w:val="001B752E"/>
    <w:rsid w:val="001B7735"/>
    <w:rsid w:val="001B7B68"/>
    <w:rsid w:val="001C0172"/>
    <w:rsid w:val="001C061E"/>
    <w:rsid w:val="001C064D"/>
    <w:rsid w:val="001C0874"/>
    <w:rsid w:val="001C0AA2"/>
    <w:rsid w:val="001C0BB3"/>
    <w:rsid w:val="001C0C12"/>
    <w:rsid w:val="001C0F2E"/>
    <w:rsid w:val="001C0F4B"/>
    <w:rsid w:val="001C0FBC"/>
    <w:rsid w:val="001C129F"/>
    <w:rsid w:val="001C13AD"/>
    <w:rsid w:val="001C190B"/>
    <w:rsid w:val="001C1BCC"/>
    <w:rsid w:val="001C1F72"/>
    <w:rsid w:val="001C218A"/>
    <w:rsid w:val="001C2195"/>
    <w:rsid w:val="001C2213"/>
    <w:rsid w:val="001C26AF"/>
    <w:rsid w:val="001C29AF"/>
    <w:rsid w:val="001C2C8A"/>
    <w:rsid w:val="001C2E71"/>
    <w:rsid w:val="001C2F22"/>
    <w:rsid w:val="001C3CD9"/>
    <w:rsid w:val="001C41AB"/>
    <w:rsid w:val="001C44B6"/>
    <w:rsid w:val="001C4DF7"/>
    <w:rsid w:val="001C506B"/>
    <w:rsid w:val="001C51E1"/>
    <w:rsid w:val="001C5236"/>
    <w:rsid w:val="001C58B2"/>
    <w:rsid w:val="001C59A7"/>
    <w:rsid w:val="001C5F64"/>
    <w:rsid w:val="001C6181"/>
    <w:rsid w:val="001C6224"/>
    <w:rsid w:val="001C6347"/>
    <w:rsid w:val="001C6779"/>
    <w:rsid w:val="001C6ACC"/>
    <w:rsid w:val="001C6B2C"/>
    <w:rsid w:val="001C6D8F"/>
    <w:rsid w:val="001C736C"/>
    <w:rsid w:val="001C749C"/>
    <w:rsid w:val="001C78BB"/>
    <w:rsid w:val="001D03DA"/>
    <w:rsid w:val="001D03F2"/>
    <w:rsid w:val="001D053B"/>
    <w:rsid w:val="001D07C1"/>
    <w:rsid w:val="001D09ED"/>
    <w:rsid w:val="001D0B17"/>
    <w:rsid w:val="001D0D4A"/>
    <w:rsid w:val="001D0DC3"/>
    <w:rsid w:val="001D1045"/>
    <w:rsid w:val="001D2416"/>
    <w:rsid w:val="001D2592"/>
    <w:rsid w:val="001D2606"/>
    <w:rsid w:val="001D26FF"/>
    <w:rsid w:val="001D2B1F"/>
    <w:rsid w:val="001D2C5F"/>
    <w:rsid w:val="001D2EDE"/>
    <w:rsid w:val="001D2F90"/>
    <w:rsid w:val="001D2FB6"/>
    <w:rsid w:val="001D3010"/>
    <w:rsid w:val="001D3155"/>
    <w:rsid w:val="001D3456"/>
    <w:rsid w:val="001D34EF"/>
    <w:rsid w:val="001D3505"/>
    <w:rsid w:val="001D35C0"/>
    <w:rsid w:val="001D39BA"/>
    <w:rsid w:val="001D3A08"/>
    <w:rsid w:val="001D4279"/>
    <w:rsid w:val="001D42D4"/>
    <w:rsid w:val="001D447C"/>
    <w:rsid w:val="001D44A2"/>
    <w:rsid w:val="001D4555"/>
    <w:rsid w:val="001D4709"/>
    <w:rsid w:val="001D48D8"/>
    <w:rsid w:val="001D4A08"/>
    <w:rsid w:val="001D4AD4"/>
    <w:rsid w:val="001D4BF0"/>
    <w:rsid w:val="001D4CAA"/>
    <w:rsid w:val="001D4CDE"/>
    <w:rsid w:val="001D4E3C"/>
    <w:rsid w:val="001D4FB9"/>
    <w:rsid w:val="001D5006"/>
    <w:rsid w:val="001D55C6"/>
    <w:rsid w:val="001D58AB"/>
    <w:rsid w:val="001D59A3"/>
    <w:rsid w:val="001D5E51"/>
    <w:rsid w:val="001D5F4D"/>
    <w:rsid w:val="001D6B45"/>
    <w:rsid w:val="001D72A8"/>
    <w:rsid w:val="001D744B"/>
    <w:rsid w:val="001D7569"/>
    <w:rsid w:val="001D7807"/>
    <w:rsid w:val="001D794C"/>
    <w:rsid w:val="001D7CAD"/>
    <w:rsid w:val="001D7FF2"/>
    <w:rsid w:val="001E059D"/>
    <w:rsid w:val="001E079A"/>
    <w:rsid w:val="001E081F"/>
    <w:rsid w:val="001E08DA"/>
    <w:rsid w:val="001E0CC3"/>
    <w:rsid w:val="001E0EDB"/>
    <w:rsid w:val="001E15E8"/>
    <w:rsid w:val="001E1B40"/>
    <w:rsid w:val="001E1D21"/>
    <w:rsid w:val="001E1DF0"/>
    <w:rsid w:val="001E22BC"/>
    <w:rsid w:val="001E2459"/>
    <w:rsid w:val="001E24DE"/>
    <w:rsid w:val="001E24EA"/>
    <w:rsid w:val="001E2B29"/>
    <w:rsid w:val="001E2EC4"/>
    <w:rsid w:val="001E2F57"/>
    <w:rsid w:val="001E3688"/>
    <w:rsid w:val="001E3B4F"/>
    <w:rsid w:val="001E3BFC"/>
    <w:rsid w:val="001E3D9F"/>
    <w:rsid w:val="001E42DA"/>
    <w:rsid w:val="001E46D9"/>
    <w:rsid w:val="001E4755"/>
    <w:rsid w:val="001E4769"/>
    <w:rsid w:val="001E4804"/>
    <w:rsid w:val="001E4DD5"/>
    <w:rsid w:val="001E4F00"/>
    <w:rsid w:val="001E4F73"/>
    <w:rsid w:val="001E50FE"/>
    <w:rsid w:val="001E51F7"/>
    <w:rsid w:val="001E52C1"/>
    <w:rsid w:val="001E531B"/>
    <w:rsid w:val="001E54C0"/>
    <w:rsid w:val="001E551F"/>
    <w:rsid w:val="001E5A1D"/>
    <w:rsid w:val="001E5D07"/>
    <w:rsid w:val="001E5DAC"/>
    <w:rsid w:val="001E5ECB"/>
    <w:rsid w:val="001E6089"/>
    <w:rsid w:val="001E67C4"/>
    <w:rsid w:val="001E70D2"/>
    <w:rsid w:val="001E711C"/>
    <w:rsid w:val="001E722D"/>
    <w:rsid w:val="001E7354"/>
    <w:rsid w:val="001E74DB"/>
    <w:rsid w:val="001E7779"/>
    <w:rsid w:val="001E779F"/>
    <w:rsid w:val="001E77DD"/>
    <w:rsid w:val="001E79F6"/>
    <w:rsid w:val="001E7BE6"/>
    <w:rsid w:val="001F0235"/>
    <w:rsid w:val="001F0698"/>
    <w:rsid w:val="001F0985"/>
    <w:rsid w:val="001F0A5F"/>
    <w:rsid w:val="001F0E8E"/>
    <w:rsid w:val="001F1597"/>
    <w:rsid w:val="001F1ABF"/>
    <w:rsid w:val="001F1D55"/>
    <w:rsid w:val="001F1DAA"/>
    <w:rsid w:val="001F1EA6"/>
    <w:rsid w:val="001F1F05"/>
    <w:rsid w:val="001F21DC"/>
    <w:rsid w:val="001F21EC"/>
    <w:rsid w:val="001F27B7"/>
    <w:rsid w:val="001F2819"/>
    <w:rsid w:val="001F3366"/>
    <w:rsid w:val="001F352E"/>
    <w:rsid w:val="001F38BF"/>
    <w:rsid w:val="001F38D3"/>
    <w:rsid w:val="001F3938"/>
    <w:rsid w:val="001F3958"/>
    <w:rsid w:val="001F3C81"/>
    <w:rsid w:val="001F3E90"/>
    <w:rsid w:val="001F3EF9"/>
    <w:rsid w:val="001F4595"/>
    <w:rsid w:val="001F4642"/>
    <w:rsid w:val="001F4743"/>
    <w:rsid w:val="001F47E8"/>
    <w:rsid w:val="001F53EF"/>
    <w:rsid w:val="001F5726"/>
    <w:rsid w:val="001F573B"/>
    <w:rsid w:val="001F5C37"/>
    <w:rsid w:val="001F5EA0"/>
    <w:rsid w:val="001F5F9C"/>
    <w:rsid w:val="001F60A2"/>
    <w:rsid w:val="001F62CE"/>
    <w:rsid w:val="001F62FE"/>
    <w:rsid w:val="001F6302"/>
    <w:rsid w:val="001F64D7"/>
    <w:rsid w:val="001F66D3"/>
    <w:rsid w:val="001F6803"/>
    <w:rsid w:val="001F6C4F"/>
    <w:rsid w:val="001F7077"/>
    <w:rsid w:val="001F70B7"/>
    <w:rsid w:val="001F7282"/>
    <w:rsid w:val="001F76C7"/>
    <w:rsid w:val="001F780C"/>
    <w:rsid w:val="001F7892"/>
    <w:rsid w:val="001F7CF5"/>
    <w:rsid w:val="001F7D1B"/>
    <w:rsid w:val="001F7DF9"/>
    <w:rsid w:val="002000D5"/>
    <w:rsid w:val="002000EB"/>
    <w:rsid w:val="002005A8"/>
    <w:rsid w:val="002005F7"/>
    <w:rsid w:val="0020091F"/>
    <w:rsid w:val="00200A45"/>
    <w:rsid w:val="00200C03"/>
    <w:rsid w:val="00200EAC"/>
    <w:rsid w:val="0020147D"/>
    <w:rsid w:val="0020169C"/>
    <w:rsid w:val="0020174D"/>
    <w:rsid w:val="00201B43"/>
    <w:rsid w:val="00201D00"/>
    <w:rsid w:val="00201D2E"/>
    <w:rsid w:val="00201ED0"/>
    <w:rsid w:val="002021CD"/>
    <w:rsid w:val="002023EE"/>
    <w:rsid w:val="002027C7"/>
    <w:rsid w:val="00202B77"/>
    <w:rsid w:val="00202FBE"/>
    <w:rsid w:val="0020342C"/>
    <w:rsid w:val="002034BA"/>
    <w:rsid w:val="0020368C"/>
    <w:rsid w:val="002039D7"/>
    <w:rsid w:val="00203B8B"/>
    <w:rsid w:val="00203C61"/>
    <w:rsid w:val="002044A4"/>
    <w:rsid w:val="0020473B"/>
    <w:rsid w:val="00204871"/>
    <w:rsid w:val="00204C24"/>
    <w:rsid w:val="00204C57"/>
    <w:rsid w:val="00204C6A"/>
    <w:rsid w:val="002053C2"/>
    <w:rsid w:val="002056AA"/>
    <w:rsid w:val="002057AA"/>
    <w:rsid w:val="00205C4E"/>
    <w:rsid w:val="00205C76"/>
    <w:rsid w:val="002066AC"/>
    <w:rsid w:val="002066DE"/>
    <w:rsid w:val="002068C9"/>
    <w:rsid w:val="00206A18"/>
    <w:rsid w:val="00206B94"/>
    <w:rsid w:val="00206BBF"/>
    <w:rsid w:val="00206E6F"/>
    <w:rsid w:val="00207188"/>
    <w:rsid w:val="002073C2"/>
    <w:rsid w:val="0020766F"/>
    <w:rsid w:val="00207BBC"/>
    <w:rsid w:val="00207C1A"/>
    <w:rsid w:val="00207DA8"/>
    <w:rsid w:val="00207EF4"/>
    <w:rsid w:val="0021014C"/>
    <w:rsid w:val="00210301"/>
    <w:rsid w:val="00210662"/>
    <w:rsid w:val="00210DD3"/>
    <w:rsid w:val="00210F10"/>
    <w:rsid w:val="00211045"/>
    <w:rsid w:val="00211212"/>
    <w:rsid w:val="002113A9"/>
    <w:rsid w:val="00211448"/>
    <w:rsid w:val="002115AB"/>
    <w:rsid w:val="0021161A"/>
    <w:rsid w:val="00211845"/>
    <w:rsid w:val="00211886"/>
    <w:rsid w:val="00211E2E"/>
    <w:rsid w:val="00211EC0"/>
    <w:rsid w:val="00211EF1"/>
    <w:rsid w:val="0021204D"/>
    <w:rsid w:val="00212443"/>
    <w:rsid w:val="00212661"/>
    <w:rsid w:val="002129AC"/>
    <w:rsid w:val="00212B68"/>
    <w:rsid w:val="00212E5D"/>
    <w:rsid w:val="0021357B"/>
    <w:rsid w:val="00213BB5"/>
    <w:rsid w:val="002142A5"/>
    <w:rsid w:val="00214332"/>
    <w:rsid w:val="0021442F"/>
    <w:rsid w:val="00214777"/>
    <w:rsid w:val="00214A66"/>
    <w:rsid w:val="00214B5D"/>
    <w:rsid w:val="00214D0C"/>
    <w:rsid w:val="00214DFD"/>
    <w:rsid w:val="002152D5"/>
    <w:rsid w:val="00215554"/>
    <w:rsid w:val="0021563A"/>
    <w:rsid w:val="00215733"/>
    <w:rsid w:val="0021595C"/>
    <w:rsid w:val="00215FC4"/>
    <w:rsid w:val="002161F6"/>
    <w:rsid w:val="0021639B"/>
    <w:rsid w:val="0021649E"/>
    <w:rsid w:val="002165F4"/>
    <w:rsid w:val="00216B43"/>
    <w:rsid w:val="00217777"/>
    <w:rsid w:val="00217C10"/>
    <w:rsid w:val="00217F9A"/>
    <w:rsid w:val="002200A5"/>
    <w:rsid w:val="00220592"/>
    <w:rsid w:val="00220978"/>
    <w:rsid w:val="00220D58"/>
    <w:rsid w:val="002210D5"/>
    <w:rsid w:val="00221409"/>
    <w:rsid w:val="00221867"/>
    <w:rsid w:val="00221A09"/>
    <w:rsid w:val="00221BAA"/>
    <w:rsid w:val="00221EF9"/>
    <w:rsid w:val="00222251"/>
    <w:rsid w:val="002222B9"/>
    <w:rsid w:val="0022256F"/>
    <w:rsid w:val="002226A1"/>
    <w:rsid w:val="002227FF"/>
    <w:rsid w:val="0022293C"/>
    <w:rsid w:val="00222B53"/>
    <w:rsid w:val="00223166"/>
    <w:rsid w:val="00223903"/>
    <w:rsid w:val="00223A96"/>
    <w:rsid w:val="00223EEC"/>
    <w:rsid w:val="002243CC"/>
    <w:rsid w:val="002244A4"/>
    <w:rsid w:val="002244F6"/>
    <w:rsid w:val="002244FD"/>
    <w:rsid w:val="0022476B"/>
    <w:rsid w:val="002248A7"/>
    <w:rsid w:val="00224A5E"/>
    <w:rsid w:val="00224BE7"/>
    <w:rsid w:val="00224DC1"/>
    <w:rsid w:val="00224E8B"/>
    <w:rsid w:val="00225129"/>
    <w:rsid w:val="0022532F"/>
    <w:rsid w:val="0022535F"/>
    <w:rsid w:val="0022556A"/>
    <w:rsid w:val="002258B8"/>
    <w:rsid w:val="00225962"/>
    <w:rsid w:val="00225979"/>
    <w:rsid w:val="00225B5B"/>
    <w:rsid w:val="00225C8E"/>
    <w:rsid w:val="002262D0"/>
    <w:rsid w:val="00226403"/>
    <w:rsid w:val="00226461"/>
    <w:rsid w:val="00226679"/>
    <w:rsid w:val="00226782"/>
    <w:rsid w:val="00226932"/>
    <w:rsid w:val="00226A36"/>
    <w:rsid w:val="00226EB9"/>
    <w:rsid w:val="002272AB"/>
    <w:rsid w:val="002274CB"/>
    <w:rsid w:val="00227555"/>
    <w:rsid w:val="002277F5"/>
    <w:rsid w:val="00227B3D"/>
    <w:rsid w:val="002300AE"/>
    <w:rsid w:val="00230515"/>
    <w:rsid w:val="0023087D"/>
    <w:rsid w:val="00230ABF"/>
    <w:rsid w:val="00230B28"/>
    <w:rsid w:val="00230E55"/>
    <w:rsid w:val="00230F62"/>
    <w:rsid w:val="002311C5"/>
    <w:rsid w:val="002311F1"/>
    <w:rsid w:val="002312ED"/>
    <w:rsid w:val="002317F6"/>
    <w:rsid w:val="0023184A"/>
    <w:rsid w:val="00231891"/>
    <w:rsid w:val="00231899"/>
    <w:rsid w:val="00232082"/>
    <w:rsid w:val="002320ED"/>
    <w:rsid w:val="00232443"/>
    <w:rsid w:val="00232684"/>
    <w:rsid w:val="002328F7"/>
    <w:rsid w:val="00232AB9"/>
    <w:rsid w:val="00232CBC"/>
    <w:rsid w:val="00232E78"/>
    <w:rsid w:val="00233142"/>
    <w:rsid w:val="00233167"/>
    <w:rsid w:val="0023361F"/>
    <w:rsid w:val="002336B8"/>
    <w:rsid w:val="002338C4"/>
    <w:rsid w:val="00233B11"/>
    <w:rsid w:val="00233B58"/>
    <w:rsid w:val="00233C5C"/>
    <w:rsid w:val="002344A7"/>
    <w:rsid w:val="002346FD"/>
    <w:rsid w:val="00234B37"/>
    <w:rsid w:val="00234D9F"/>
    <w:rsid w:val="00234F0F"/>
    <w:rsid w:val="00235417"/>
    <w:rsid w:val="00235428"/>
    <w:rsid w:val="00235535"/>
    <w:rsid w:val="0023575A"/>
    <w:rsid w:val="00235A66"/>
    <w:rsid w:val="00235AA6"/>
    <w:rsid w:val="00235D91"/>
    <w:rsid w:val="00235EFE"/>
    <w:rsid w:val="0023612D"/>
    <w:rsid w:val="0023620A"/>
    <w:rsid w:val="0023622A"/>
    <w:rsid w:val="002363B1"/>
    <w:rsid w:val="002366EE"/>
    <w:rsid w:val="00236734"/>
    <w:rsid w:val="002367E7"/>
    <w:rsid w:val="0023687E"/>
    <w:rsid w:val="0023707F"/>
    <w:rsid w:val="00237263"/>
    <w:rsid w:val="00237837"/>
    <w:rsid w:val="00237909"/>
    <w:rsid w:val="00237C65"/>
    <w:rsid w:val="00240008"/>
    <w:rsid w:val="00240394"/>
    <w:rsid w:val="00240C21"/>
    <w:rsid w:val="002410A5"/>
    <w:rsid w:val="00241295"/>
    <w:rsid w:val="00241566"/>
    <w:rsid w:val="002417BB"/>
    <w:rsid w:val="002417D6"/>
    <w:rsid w:val="002417F9"/>
    <w:rsid w:val="00241BE0"/>
    <w:rsid w:val="0024212F"/>
    <w:rsid w:val="00242210"/>
    <w:rsid w:val="00242456"/>
    <w:rsid w:val="002429F4"/>
    <w:rsid w:val="00242CF9"/>
    <w:rsid w:val="00242E35"/>
    <w:rsid w:val="00243133"/>
    <w:rsid w:val="0024336A"/>
    <w:rsid w:val="002435DB"/>
    <w:rsid w:val="00243604"/>
    <w:rsid w:val="00243660"/>
    <w:rsid w:val="00243992"/>
    <w:rsid w:val="00243A79"/>
    <w:rsid w:val="00243B1E"/>
    <w:rsid w:val="00243B6A"/>
    <w:rsid w:val="00243CF9"/>
    <w:rsid w:val="00243D71"/>
    <w:rsid w:val="00243EB0"/>
    <w:rsid w:val="00244133"/>
    <w:rsid w:val="00244169"/>
    <w:rsid w:val="00244198"/>
    <w:rsid w:val="002443A9"/>
    <w:rsid w:val="00244441"/>
    <w:rsid w:val="002447BE"/>
    <w:rsid w:val="0024489D"/>
    <w:rsid w:val="00244C69"/>
    <w:rsid w:val="002450DB"/>
    <w:rsid w:val="0024513A"/>
    <w:rsid w:val="0024526D"/>
    <w:rsid w:val="002452F4"/>
    <w:rsid w:val="002455DB"/>
    <w:rsid w:val="00245D91"/>
    <w:rsid w:val="00245E94"/>
    <w:rsid w:val="00245ECC"/>
    <w:rsid w:val="002462CD"/>
    <w:rsid w:val="00246367"/>
    <w:rsid w:val="0024683F"/>
    <w:rsid w:val="00246CF4"/>
    <w:rsid w:val="002471C5"/>
    <w:rsid w:val="002473BB"/>
    <w:rsid w:val="0024768D"/>
    <w:rsid w:val="00247B54"/>
    <w:rsid w:val="00247D0F"/>
    <w:rsid w:val="00250052"/>
    <w:rsid w:val="002500FB"/>
    <w:rsid w:val="0025034A"/>
    <w:rsid w:val="00250697"/>
    <w:rsid w:val="00250829"/>
    <w:rsid w:val="00250BDF"/>
    <w:rsid w:val="0025136E"/>
    <w:rsid w:val="002513EA"/>
    <w:rsid w:val="00251428"/>
    <w:rsid w:val="0025163C"/>
    <w:rsid w:val="002516EC"/>
    <w:rsid w:val="00251722"/>
    <w:rsid w:val="00251B16"/>
    <w:rsid w:val="00251D0B"/>
    <w:rsid w:val="002523C9"/>
    <w:rsid w:val="0025254B"/>
    <w:rsid w:val="00252584"/>
    <w:rsid w:val="00252594"/>
    <w:rsid w:val="002526D8"/>
    <w:rsid w:val="00252BBA"/>
    <w:rsid w:val="00252F1D"/>
    <w:rsid w:val="002532EB"/>
    <w:rsid w:val="002534CD"/>
    <w:rsid w:val="002534FD"/>
    <w:rsid w:val="002538A9"/>
    <w:rsid w:val="002538CC"/>
    <w:rsid w:val="00253BC4"/>
    <w:rsid w:val="00253E7F"/>
    <w:rsid w:val="002546FF"/>
    <w:rsid w:val="00254781"/>
    <w:rsid w:val="002548A2"/>
    <w:rsid w:val="002548DD"/>
    <w:rsid w:val="00254C07"/>
    <w:rsid w:val="002550C2"/>
    <w:rsid w:val="00255B18"/>
    <w:rsid w:val="00255B2E"/>
    <w:rsid w:val="00255D35"/>
    <w:rsid w:val="0025622B"/>
    <w:rsid w:val="0025636A"/>
    <w:rsid w:val="00256443"/>
    <w:rsid w:val="002564F9"/>
    <w:rsid w:val="00256A69"/>
    <w:rsid w:val="00256AA0"/>
    <w:rsid w:val="00256C8A"/>
    <w:rsid w:val="00256E1E"/>
    <w:rsid w:val="002570B1"/>
    <w:rsid w:val="00257380"/>
    <w:rsid w:val="0025771E"/>
    <w:rsid w:val="00257DC4"/>
    <w:rsid w:val="00257EA6"/>
    <w:rsid w:val="00257F9D"/>
    <w:rsid w:val="0026018C"/>
    <w:rsid w:val="00260508"/>
    <w:rsid w:val="00260841"/>
    <w:rsid w:val="00260A10"/>
    <w:rsid w:val="00260A19"/>
    <w:rsid w:val="00260B0F"/>
    <w:rsid w:val="00260C44"/>
    <w:rsid w:val="00260CD6"/>
    <w:rsid w:val="00261067"/>
    <w:rsid w:val="002610AB"/>
    <w:rsid w:val="002612CB"/>
    <w:rsid w:val="0026158D"/>
    <w:rsid w:val="00261836"/>
    <w:rsid w:val="00261967"/>
    <w:rsid w:val="0026196A"/>
    <w:rsid w:val="002619F6"/>
    <w:rsid w:val="00261DB4"/>
    <w:rsid w:val="00262092"/>
    <w:rsid w:val="002620CD"/>
    <w:rsid w:val="002621B0"/>
    <w:rsid w:val="0026234A"/>
    <w:rsid w:val="0026239E"/>
    <w:rsid w:val="0026240F"/>
    <w:rsid w:val="002625ED"/>
    <w:rsid w:val="00262636"/>
    <w:rsid w:val="00262690"/>
    <w:rsid w:val="00262C3B"/>
    <w:rsid w:val="00263374"/>
    <w:rsid w:val="002639B6"/>
    <w:rsid w:val="00263B8F"/>
    <w:rsid w:val="00263B9E"/>
    <w:rsid w:val="0026417C"/>
    <w:rsid w:val="002641E5"/>
    <w:rsid w:val="00264262"/>
    <w:rsid w:val="002643AD"/>
    <w:rsid w:val="002645E0"/>
    <w:rsid w:val="002646BC"/>
    <w:rsid w:val="002646D6"/>
    <w:rsid w:val="00264C3C"/>
    <w:rsid w:val="00264D1C"/>
    <w:rsid w:val="00264EF6"/>
    <w:rsid w:val="00264FD3"/>
    <w:rsid w:val="002651C4"/>
    <w:rsid w:val="002652E2"/>
    <w:rsid w:val="0026533A"/>
    <w:rsid w:val="00265594"/>
    <w:rsid w:val="002655A1"/>
    <w:rsid w:val="002656E7"/>
    <w:rsid w:val="00265A7D"/>
    <w:rsid w:val="00265A7E"/>
    <w:rsid w:val="00265D49"/>
    <w:rsid w:val="00265E8B"/>
    <w:rsid w:val="0026602E"/>
    <w:rsid w:val="002660E7"/>
    <w:rsid w:val="002662C0"/>
    <w:rsid w:val="00266427"/>
    <w:rsid w:val="002668FD"/>
    <w:rsid w:val="0026698A"/>
    <w:rsid w:val="00266999"/>
    <w:rsid w:val="002669DF"/>
    <w:rsid w:val="00266A37"/>
    <w:rsid w:val="00266A4E"/>
    <w:rsid w:val="00266C19"/>
    <w:rsid w:val="00266C25"/>
    <w:rsid w:val="00266C71"/>
    <w:rsid w:val="0026788C"/>
    <w:rsid w:val="002703EE"/>
    <w:rsid w:val="00270486"/>
    <w:rsid w:val="00270922"/>
    <w:rsid w:val="00270AB8"/>
    <w:rsid w:val="00270B75"/>
    <w:rsid w:val="00270BA6"/>
    <w:rsid w:val="00270E82"/>
    <w:rsid w:val="00271495"/>
    <w:rsid w:val="002719F7"/>
    <w:rsid w:val="00271BB0"/>
    <w:rsid w:val="00271F9E"/>
    <w:rsid w:val="00272239"/>
    <w:rsid w:val="0027241B"/>
    <w:rsid w:val="002724D9"/>
    <w:rsid w:val="0027254B"/>
    <w:rsid w:val="0027257D"/>
    <w:rsid w:val="0027278D"/>
    <w:rsid w:val="002727F1"/>
    <w:rsid w:val="00272827"/>
    <w:rsid w:val="0027284A"/>
    <w:rsid w:val="0027289D"/>
    <w:rsid w:val="00272CB5"/>
    <w:rsid w:val="002733D4"/>
    <w:rsid w:val="0027349E"/>
    <w:rsid w:val="00273798"/>
    <w:rsid w:val="0027381D"/>
    <w:rsid w:val="0027386A"/>
    <w:rsid w:val="00273960"/>
    <w:rsid w:val="00273D39"/>
    <w:rsid w:val="002743FA"/>
    <w:rsid w:val="00274620"/>
    <w:rsid w:val="00274738"/>
    <w:rsid w:val="0027489C"/>
    <w:rsid w:val="00274BBB"/>
    <w:rsid w:val="00274CF9"/>
    <w:rsid w:val="0027547F"/>
    <w:rsid w:val="00275637"/>
    <w:rsid w:val="0027566E"/>
    <w:rsid w:val="002756DD"/>
    <w:rsid w:val="00275729"/>
    <w:rsid w:val="00275A35"/>
    <w:rsid w:val="00275D3C"/>
    <w:rsid w:val="00275D68"/>
    <w:rsid w:val="00276171"/>
    <w:rsid w:val="00276900"/>
    <w:rsid w:val="00276C62"/>
    <w:rsid w:val="00276DA5"/>
    <w:rsid w:val="00276F21"/>
    <w:rsid w:val="0027710B"/>
    <w:rsid w:val="0027752A"/>
    <w:rsid w:val="002775B4"/>
    <w:rsid w:val="002779FC"/>
    <w:rsid w:val="00277A13"/>
    <w:rsid w:val="00277C1C"/>
    <w:rsid w:val="00277CCE"/>
    <w:rsid w:val="00277D4A"/>
    <w:rsid w:val="00277E37"/>
    <w:rsid w:val="00277E82"/>
    <w:rsid w:val="00280061"/>
    <w:rsid w:val="0028035C"/>
    <w:rsid w:val="00280377"/>
    <w:rsid w:val="002804AC"/>
    <w:rsid w:val="002804EB"/>
    <w:rsid w:val="00280DF7"/>
    <w:rsid w:val="00280DFA"/>
    <w:rsid w:val="00281059"/>
    <w:rsid w:val="002812BC"/>
    <w:rsid w:val="00281554"/>
    <w:rsid w:val="00281A05"/>
    <w:rsid w:val="00281C4A"/>
    <w:rsid w:val="00282236"/>
    <w:rsid w:val="0028242F"/>
    <w:rsid w:val="002828FD"/>
    <w:rsid w:val="00282B90"/>
    <w:rsid w:val="00282F5A"/>
    <w:rsid w:val="002830A5"/>
    <w:rsid w:val="00283108"/>
    <w:rsid w:val="00283A8A"/>
    <w:rsid w:val="00283AE9"/>
    <w:rsid w:val="00283CFC"/>
    <w:rsid w:val="00283E15"/>
    <w:rsid w:val="00283F8C"/>
    <w:rsid w:val="002840A3"/>
    <w:rsid w:val="002843F0"/>
    <w:rsid w:val="00284988"/>
    <w:rsid w:val="00284AB7"/>
    <w:rsid w:val="00284D53"/>
    <w:rsid w:val="00284F38"/>
    <w:rsid w:val="002850B0"/>
    <w:rsid w:val="002850DB"/>
    <w:rsid w:val="002859B9"/>
    <w:rsid w:val="00285BFF"/>
    <w:rsid w:val="00285C5D"/>
    <w:rsid w:val="00285D73"/>
    <w:rsid w:val="00285F5C"/>
    <w:rsid w:val="002862AB"/>
    <w:rsid w:val="002862DE"/>
    <w:rsid w:val="002863A8"/>
    <w:rsid w:val="002865B7"/>
    <w:rsid w:val="002865EA"/>
    <w:rsid w:val="002868AA"/>
    <w:rsid w:val="00286B7C"/>
    <w:rsid w:val="00286C49"/>
    <w:rsid w:val="00286CE5"/>
    <w:rsid w:val="00286CFA"/>
    <w:rsid w:val="00286D69"/>
    <w:rsid w:val="00286F5A"/>
    <w:rsid w:val="002871C8"/>
    <w:rsid w:val="00287290"/>
    <w:rsid w:val="00287543"/>
    <w:rsid w:val="002875CB"/>
    <w:rsid w:val="0028777D"/>
    <w:rsid w:val="00287B33"/>
    <w:rsid w:val="002900F6"/>
    <w:rsid w:val="0029019A"/>
    <w:rsid w:val="00290211"/>
    <w:rsid w:val="00290CF7"/>
    <w:rsid w:val="00290DD8"/>
    <w:rsid w:val="002910C5"/>
    <w:rsid w:val="002915CF"/>
    <w:rsid w:val="002915D7"/>
    <w:rsid w:val="002915EA"/>
    <w:rsid w:val="0029194F"/>
    <w:rsid w:val="00291D10"/>
    <w:rsid w:val="00291E21"/>
    <w:rsid w:val="00291E77"/>
    <w:rsid w:val="0029200F"/>
    <w:rsid w:val="002920FE"/>
    <w:rsid w:val="00292686"/>
    <w:rsid w:val="00292729"/>
    <w:rsid w:val="00292B90"/>
    <w:rsid w:val="00292C6D"/>
    <w:rsid w:val="00292E42"/>
    <w:rsid w:val="00292EB6"/>
    <w:rsid w:val="002930F0"/>
    <w:rsid w:val="0029317C"/>
    <w:rsid w:val="00293461"/>
    <w:rsid w:val="00293972"/>
    <w:rsid w:val="002939A1"/>
    <w:rsid w:val="00293E11"/>
    <w:rsid w:val="00294271"/>
    <w:rsid w:val="0029428F"/>
    <w:rsid w:val="002943C8"/>
    <w:rsid w:val="002943D6"/>
    <w:rsid w:val="002946D7"/>
    <w:rsid w:val="00294B12"/>
    <w:rsid w:val="00294CC4"/>
    <w:rsid w:val="00294DB4"/>
    <w:rsid w:val="00294E55"/>
    <w:rsid w:val="00294E58"/>
    <w:rsid w:val="002950D8"/>
    <w:rsid w:val="00295425"/>
    <w:rsid w:val="002957D8"/>
    <w:rsid w:val="00295FAD"/>
    <w:rsid w:val="002965FA"/>
    <w:rsid w:val="0029661E"/>
    <w:rsid w:val="00296AA9"/>
    <w:rsid w:val="00296BFD"/>
    <w:rsid w:val="00296C8E"/>
    <w:rsid w:val="00296CA0"/>
    <w:rsid w:val="00296E94"/>
    <w:rsid w:val="0029700A"/>
    <w:rsid w:val="00297049"/>
    <w:rsid w:val="00297394"/>
    <w:rsid w:val="00297619"/>
    <w:rsid w:val="00297699"/>
    <w:rsid w:val="00297761"/>
    <w:rsid w:val="002978BE"/>
    <w:rsid w:val="00297947"/>
    <w:rsid w:val="00297C04"/>
    <w:rsid w:val="00297E84"/>
    <w:rsid w:val="002A0347"/>
    <w:rsid w:val="002A03DC"/>
    <w:rsid w:val="002A0843"/>
    <w:rsid w:val="002A0930"/>
    <w:rsid w:val="002A0A1D"/>
    <w:rsid w:val="002A0B81"/>
    <w:rsid w:val="002A10BF"/>
    <w:rsid w:val="002A12C9"/>
    <w:rsid w:val="002A142E"/>
    <w:rsid w:val="002A153A"/>
    <w:rsid w:val="002A1652"/>
    <w:rsid w:val="002A22B8"/>
    <w:rsid w:val="002A2528"/>
    <w:rsid w:val="002A2A2D"/>
    <w:rsid w:val="002A34BD"/>
    <w:rsid w:val="002A373D"/>
    <w:rsid w:val="002A3A3A"/>
    <w:rsid w:val="002A3DE5"/>
    <w:rsid w:val="002A3E42"/>
    <w:rsid w:val="002A3E83"/>
    <w:rsid w:val="002A3ED7"/>
    <w:rsid w:val="002A3EE0"/>
    <w:rsid w:val="002A3FE5"/>
    <w:rsid w:val="002A44A4"/>
    <w:rsid w:val="002A4657"/>
    <w:rsid w:val="002A4670"/>
    <w:rsid w:val="002A47AF"/>
    <w:rsid w:val="002A484E"/>
    <w:rsid w:val="002A48FF"/>
    <w:rsid w:val="002A49A1"/>
    <w:rsid w:val="002A4BAE"/>
    <w:rsid w:val="002A50F1"/>
    <w:rsid w:val="002A5196"/>
    <w:rsid w:val="002A5DF7"/>
    <w:rsid w:val="002A61A8"/>
    <w:rsid w:val="002A629A"/>
    <w:rsid w:val="002A670F"/>
    <w:rsid w:val="002A6EF8"/>
    <w:rsid w:val="002A708C"/>
    <w:rsid w:val="002A7523"/>
    <w:rsid w:val="002A76E0"/>
    <w:rsid w:val="002A78AC"/>
    <w:rsid w:val="002A7B14"/>
    <w:rsid w:val="002A7D91"/>
    <w:rsid w:val="002A7EC9"/>
    <w:rsid w:val="002B0249"/>
    <w:rsid w:val="002B0305"/>
    <w:rsid w:val="002B03F7"/>
    <w:rsid w:val="002B0481"/>
    <w:rsid w:val="002B089E"/>
    <w:rsid w:val="002B0CB4"/>
    <w:rsid w:val="002B0E38"/>
    <w:rsid w:val="002B0FC9"/>
    <w:rsid w:val="002B113A"/>
    <w:rsid w:val="002B130B"/>
    <w:rsid w:val="002B13A6"/>
    <w:rsid w:val="002B141C"/>
    <w:rsid w:val="002B1735"/>
    <w:rsid w:val="002B1812"/>
    <w:rsid w:val="002B1B4B"/>
    <w:rsid w:val="002B1B53"/>
    <w:rsid w:val="002B1B82"/>
    <w:rsid w:val="002B1F2C"/>
    <w:rsid w:val="002B1FD9"/>
    <w:rsid w:val="002B24A5"/>
    <w:rsid w:val="002B25FB"/>
    <w:rsid w:val="002B2A7B"/>
    <w:rsid w:val="002B3064"/>
    <w:rsid w:val="002B323E"/>
    <w:rsid w:val="002B3294"/>
    <w:rsid w:val="002B3352"/>
    <w:rsid w:val="002B3371"/>
    <w:rsid w:val="002B34FF"/>
    <w:rsid w:val="002B3890"/>
    <w:rsid w:val="002B39AB"/>
    <w:rsid w:val="002B3A6B"/>
    <w:rsid w:val="002B3B63"/>
    <w:rsid w:val="002B3BA3"/>
    <w:rsid w:val="002B3C30"/>
    <w:rsid w:val="002B3D63"/>
    <w:rsid w:val="002B3DDF"/>
    <w:rsid w:val="002B3EB9"/>
    <w:rsid w:val="002B42A0"/>
    <w:rsid w:val="002B42C8"/>
    <w:rsid w:val="002B487A"/>
    <w:rsid w:val="002B4B86"/>
    <w:rsid w:val="002B4EA8"/>
    <w:rsid w:val="002B575D"/>
    <w:rsid w:val="002B596F"/>
    <w:rsid w:val="002B5A11"/>
    <w:rsid w:val="002B5B1A"/>
    <w:rsid w:val="002B5BCB"/>
    <w:rsid w:val="002B5D15"/>
    <w:rsid w:val="002B5D56"/>
    <w:rsid w:val="002B5EAA"/>
    <w:rsid w:val="002B633E"/>
    <w:rsid w:val="002B63AC"/>
    <w:rsid w:val="002B6417"/>
    <w:rsid w:val="002B645E"/>
    <w:rsid w:val="002B6831"/>
    <w:rsid w:val="002B692F"/>
    <w:rsid w:val="002B693F"/>
    <w:rsid w:val="002B6F8C"/>
    <w:rsid w:val="002B706E"/>
    <w:rsid w:val="002B73B6"/>
    <w:rsid w:val="002B745C"/>
    <w:rsid w:val="002B7529"/>
    <w:rsid w:val="002B75CB"/>
    <w:rsid w:val="002B76A5"/>
    <w:rsid w:val="002B7983"/>
    <w:rsid w:val="002C0080"/>
    <w:rsid w:val="002C0147"/>
    <w:rsid w:val="002C032B"/>
    <w:rsid w:val="002C03CE"/>
    <w:rsid w:val="002C04B2"/>
    <w:rsid w:val="002C06F8"/>
    <w:rsid w:val="002C0E2C"/>
    <w:rsid w:val="002C0ECE"/>
    <w:rsid w:val="002C112A"/>
    <w:rsid w:val="002C13AE"/>
    <w:rsid w:val="002C1564"/>
    <w:rsid w:val="002C17A3"/>
    <w:rsid w:val="002C1BD4"/>
    <w:rsid w:val="002C1C92"/>
    <w:rsid w:val="002C1FF9"/>
    <w:rsid w:val="002C2097"/>
    <w:rsid w:val="002C2539"/>
    <w:rsid w:val="002C269B"/>
    <w:rsid w:val="002C2756"/>
    <w:rsid w:val="002C28FB"/>
    <w:rsid w:val="002C29DD"/>
    <w:rsid w:val="002C2BAC"/>
    <w:rsid w:val="002C2EEC"/>
    <w:rsid w:val="002C2FD9"/>
    <w:rsid w:val="002C3122"/>
    <w:rsid w:val="002C362C"/>
    <w:rsid w:val="002C3714"/>
    <w:rsid w:val="002C3A95"/>
    <w:rsid w:val="002C3E89"/>
    <w:rsid w:val="002C421F"/>
    <w:rsid w:val="002C44A8"/>
    <w:rsid w:val="002C489F"/>
    <w:rsid w:val="002C4BCB"/>
    <w:rsid w:val="002C4EEE"/>
    <w:rsid w:val="002C4F15"/>
    <w:rsid w:val="002C4F8C"/>
    <w:rsid w:val="002C500F"/>
    <w:rsid w:val="002C63C4"/>
    <w:rsid w:val="002C64C2"/>
    <w:rsid w:val="002C667B"/>
    <w:rsid w:val="002C6AB6"/>
    <w:rsid w:val="002C6C39"/>
    <w:rsid w:val="002C702C"/>
    <w:rsid w:val="002C7275"/>
    <w:rsid w:val="002C77D8"/>
    <w:rsid w:val="002C7905"/>
    <w:rsid w:val="002C7A4F"/>
    <w:rsid w:val="002C7D73"/>
    <w:rsid w:val="002C7E45"/>
    <w:rsid w:val="002D0179"/>
    <w:rsid w:val="002D0197"/>
    <w:rsid w:val="002D0339"/>
    <w:rsid w:val="002D07EA"/>
    <w:rsid w:val="002D08F7"/>
    <w:rsid w:val="002D0DC9"/>
    <w:rsid w:val="002D14C1"/>
    <w:rsid w:val="002D19C2"/>
    <w:rsid w:val="002D1D28"/>
    <w:rsid w:val="002D1E8F"/>
    <w:rsid w:val="002D206A"/>
    <w:rsid w:val="002D209B"/>
    <w:rsid w:val="002D24AF"/>
    <w:rsid w:val="002D2D74"/>
    <w:rsid w:val="002D2FA6"/>
    <w:rsid w:val="002D30B3"/>
    <w:rsid w:val="002D3487"/>
    <w:rsid w:val="002D3666"/>
    <w:rsid w:val="002D377F"/>
    <w:rsid w:val="002D37B7"/>
    <w:rsid w:val="002D3AE9"/>
    <w:rsid w:val="002D3D34"/>
    <w:rsid w:val="002D40B9"/>
    <w:rsid w:val="002D44D5"/>
    <w:rsid w:val="002D45C1"/>
    <w:rsid w:val="002D45DD"/>
    <w:rsid w:val="002D465E"/>
    <w:rsid w:val="002D56AD"/>
    <w:rsid w:val="002D583E"/>
    <w:rsid w:val="002D60F0"/>
    <w:rsid w:val="002D6341"/>
    <w:rsid w:val="002D66F4"/>
    <w:rsid w:val="002D6804"/>
    <w:rsid w:val="002D6B88"/>
    <w:rsid w:val="002D6E9D"/>
    <w:rsid w:val="002D719A"/>
    <w:rsid w:val="002D72B4"/>
    <w:rsid w:val="002D7C26"/>
    <w:rsid w:val="002E039D"/>
    <w:rsid w:val="002E0647"/>
    <w:rsid w:val="002E071A"/>
    <w:rsid w:val="002E09D6"/>
    <w:rsid w:val="002E0A17"/>
    <w:rsid w:val="002E0BFA"/>
    <w:rsid w:val="002E0E0F"/>
    <w:rsid w:val="002E1638"/>
    <w:rsid w:val="002E167C"/>
    <w:rsid w:val="002E1842"/>
    <w:rsid w:val="002E18AC"/>
    <w:rsid w:val="002E19A9"/>
    <w:rsid w:val="002E1E79"/>
    <w:rsid w:val="002E223A"/>
    <w:rsid w:val="002E22F3"/>
    <w:rsid w:val="002E23FF"/>
    <w:rsid w:val="002E27E0"/>
    <w:rsid w:val="002E2D2B"/>
    <w:rsid w:val="002E3555"/>
    <w:rsid w:val="002E35E0"/>
    <w:rsid w:val="002E35E8"/>
    <w:rsid w:val="002E3DCA"/>
    <w:rsid w:val="002E3EE8"/>
    <w:rsid w:val="002E4450"/>
    <w:rsid w:val="002E4604"/>
    <w:rsid w:val="002E478E"/>
    <w:rsid w:val="002E4DA4"/>
    <w:rsid w:val="002E4EF4"/>
    <w:rsid w:val="002E525F"/>
    <w:rsid w:val="002E52A5"/>
    <w:rsid w:val="002E54A7"/>
    <w:rsid w:val="002E58CB"/>
    <w:rsid w:val="002E5B5E"/>
    <w:rsid w:val="002E5E0C"/>
    <w:rsid w:val="002E60B7"/>
    <w:rsid w:val="002E62E9"/>
    <w:rsid w:val="002E6345"/>
    <w:rsid w:val="002E6375"/>
    <w:rsid w:val="002E6590"/>
    <w:rsid w:val="002E663C"/>
    <w:rsid w:val="002E6B6F"/>
    <w:rsid w:val="002E6C71"/>
    <w:rsid w:val="002E6D9D"/>
    <w:rsid w:val="002E6F10"/>
    <w:rsid w:val="002E70D8"/>
    <w:rsid w:val="002E71EE"/>
    <w:rsid w:val="002E72A9"/>
    <w:rsid w:val="002E7D00"/>
    <w:rsid w:val="002E7D66"/>
    <w:rsid w:val="002E7FE9"/>
    <w:rsid w:val="002F0225"/>
    <w:rsid w:val="002F03F0"/>
    <w:rsid w:val="002F0E56"/>
    <w:rsid w:val="002F0EBD"/>
    <w:rsid w:val="002F0F72"/>
    <w:rsid w:val="002F119D"/>
    <w:rsid w:val="002F1260"/>
    <w:rsid w:val="002F12FC"/>
    <w:rsid w:val="002F14CD"/>
    <w:rsid w:val="002F15AD"/>
    <w:rsid w:val="002F1774"/>
    <w:rsid w:val="002F17CD"/>
    <w:rsid w:val="002F1834"/>
    <w:rsid w:val="002F19C1"/>
    <w:rsid w:val="002F1EC3"/>
    <w:rsid w:val="002F1F01"/>
    <w:rsid w:val="002F204E"/>
    <w:rsid w:val="002F20D7"/>
    <w:rsid w:val="002F2129"/>
    <w:rsid w:val="002F2215"/>
    <w:rsid w:val="002F245A"/>
    <w:rsid w:val="002F2678"/>
    <w:rsid w:val="002F27B8"/>
    <w:rsid w:val="002F2916"/>
    <w:rsid w:val="002F2CD0"/>
    <w:rsid w:val="002F2D41"/>
    <w:rsid w:val="002F2DB7"/>
    <w:rsid w:val="002F3222"/>
    <w:rsid w:val="002F34EB"/>
    <w:rsid w:val="002F37DE"/>
    <w:rsid w:val="002F3B21"/>
    <w:rsid w:val="002F3B64"/>
    <w:rsid w:val="002F3DA7"/>
    <w:rsid w:val="002F4141"/>
    <w:rsid w:val="002F4710"/>
    <w:rsid w:val="002F48E0"/>
    <w:rsid w:val="002F498C"/>
    <w:rsid w:val="002F50BF"/>
    <w:rsid w:val="002F50CD"/>
    <w:rsid w:val="002F51B1"/>
    <w:rsid w:val="002F53DF"/>
    <w:rsid w:val="002F576D"/>
    <w:rsid w:val="002F57F2"/>
    <w:rsid w:val="002F5CD6"/>
    <w:rsid w:val="002F5D43"/>
    <w:rsid w:val="002F5DE5"/>
    <w:rsid w:val="002F5E1F"/>
    <w:rsid w:val="002F62AC"/>
    <w:rsid w:val="002F6355"/>
    <w:rsid w:val="002F6395"/>
    <w:rsid w:val="002F67F1"/>
    <w:rsid w:val="002F68A4"/>
    <w:rsid w:val="002F7122"/>
    <w:rsid w:val="002F72FC"/>
    <w:rsid w:val="002F73BA"/>
    <w:rsid w:val="002F7538"/>
    <w:rsid w:val="002F75C8"/>
    <w:rsid w:val="002F7D08"/>
    <w:rsid w:val="002F7D8B"/>
    <w:rsid w:val="002F7ED7"/>
    <w:rsid w:val="0030020B"/>
    <w:rsid w:val="0030043E"/>
    <w:rsid w:val="00300706"/>
    <w:rsid w:val="0030088A"/>
    <w:rsid w:val="0030190B"/>
    <w:rsid w:val="00301A87"/>
    <w:rsid w:val="00301DD8"/>
    <w:rsid w:val="00301E6E"/>
    <w:rsid w:val="0030234B"/>
    <w:rsid w:val="003026B2"/>
    <w:rsid w:val="00302920"/>
    <w:rsid w:val="00302A3F"/>
    <w:rsid w:val="00302FF0"/>
    <w:rsid w:val="00303223"/>
    <w:rsid w:val="003032BA"/>
    <w:rsid w:val="00303350"/>
    <w:rsid w:val="00303393"/>
    <w:rsid w:val="00303585"/>
    <w:rsid w:val="003037E8"/>
    <w:rsid w:val="00303AD6"/>
    <w:rsid w:val="00303B74"/>
    <w:rsid w:val="00303D6C"/>
    <w:rsid w:val="00304690"/>
    <w:rsid w:val="003048AB"/>
    <w:rsid w:val="00304ACC"/>
    <w:rsid w:val="00304B6B"/>
    <w:rsid w:val="00304B86"/>
    <w:rsid w:val="00304EC3"/>
    <w:rsid w:val="003051F6"/>
    <w:rsid w:val="0030522F"/>
    <w:rsid w:val="00305314"/>
    <w:rsid w:val="003055A0"/>
    <w:rsid w:val="003056FE"/>
    <w:rsid w:val="00305772"/>
    <w:rsid w:val="003057A5"/>
    <w:rsid w:val="00305834"/>
    <w:rsid w:val="0030595E"/>
    <w:rsid w:val="00305B1A"/>
    <w:rsid w:val="00305F64"/>
    <w:rsid w:val="0030644E"/>
    <w:rsid w:val="003065A1"/>
    <w:rsid w:val="00306CEE"/>
    <w:rsid w:val="00306EE6"/>
    <w:rsid w:val="00307292"/>
    <w:rsid w:val="0030729E"/>
    <w:rsid w:val="00307439"/>
    <w:rsid w:val="003075F3"/>
    <w:rsid w:val="00307B6D"/>
    <w:rsid w:val="00307D3C"/>
    <w:rsid w:val="00307EA9"/>
    <w:rsid w:val="00307EB4"/>
    <w:rsid w:val="00307F9B"/>
    <w:rsid w:val="00310271"/>
    <w:rsid w:val="003104E1"/>
    <w:rsid w:val="003106A2"/>
    <w:rsid w:val="0031082C"/>
    <w:rsid w:val="0031090A"/>
    <w:rsid w:val="00310C18"/>
    <w:rsid w:val="00310D0E"/>
    <w:rsid w:val="00311741"/>
    <w:rsid w:val="003118F8"/>
    <w:rsid w:val="00311FF1"/>
    <w:rsid w:val="003122C6"/>
    <w:rsid w:val="00312636"/>
    <w:rsid w:val="0031271D"/>
    <w:rsid w:val="00312A54"/>
    <w:rsid w:val="00312BD8"/>
    <w:rsid w:val="00312F3A"/>
    <w:rsid w:val="00313640"/>
    <w:rsid w:val="003137B8"/>
    <w:rsid w:val="003138A5"/>
    <w:rsid w:val="00313A64"/>
    <w:rsid w:val="00313B75"/>
    <w:rsid w:val="00313CAA"/>
    <w:rsid w:val="00313E32"/>
    <w:rsid w:val="00313E74"/>
    <w:rsid w:val="00313E95"/>
    <w:rsid w:val="00314383"/>
    <w:rsid w:val="003143E5"/>
    <w:rsid w:val="0031492A"/>
    <w:rsid w:val="00314DE9"/>
    <w:rsid w:val="00314E9E"/>
    <w:rsid w:val="003155AC"/>
    <w:rsid w:val="00315C41"/>
    <w:rsid w:val="00315EBD"/>
    <w:rsid w:val="00316068"/>
    <w:rsid w:val="00316152"/>
    <w:rsid w:val="003161BB"/>
    <w:rsid w:val="00316818"/>
    <w:rsid w:val="00316C26"/>
    <w:rsid w:val="00316EB9"/>
    <w:rsid w:val="0031766A"/>
    <w:rsid w:val="003179CC"/>
    <w:rsid w:val="00317F2C"/>
    <w:rsid w:val="00320129"/>
    <w:rsid w:val="00320150"/>
    <w:rsid w:val="003201D6"/>
    <w:rsid w:val="00320550"/>
    <w:rsid w:val="0032072B"/>
    <w:rsid w:val="003207B6"/>
    <w:rsid w:val="00320DF2"/>
    <w:rsid w:val="00321E0F"/>
    <w:rsid w:val="00321E1C"/>
    <w:rsid w:val="003227AE"/>
    <w:rsid w:val="00322877"/>
    <w:rsid w:val="00322CF8"/>
    <w:rsid w:val="00322E45"/>
    <w:rsid w:val="003230EF"/>
    <w:rsid w:val="0032311C"/>
    <w:rsid w:val="00323185"/>
    <w:rsid w:val="003231D1"/>
    <w:rsid w:val="0032353D"/>
    <w:rsid w:val="00323903"/>
    <w:rsid w:val="0032400C"/>
    <w:rsid w:val="00324153"/>
    <w:rsid w:val="003241B5"/>
    <w:rsid w:val="00324289"/>
    <w:rsid w:val="00324396"/>
    <w:rsid w:val="00324AE0"/>
    <w:rsid w:val="00324B8F"/>
    <w:rsid w:val="00324DEB"/>
    <w:rsid w:val="00325667"/>
    <w:rsid w:val="003261B1"/>
    <w:rsid w:val="00326311"/>
    <w:rsid w:val="003266E3"/>
    <w:rsid w:val="003267AB"/>
    <w:rsid w:val="00326A33"/>
    <w:rsid w:val="00326ED5"/>
    <w:rsid w:val="0032779B"/>
    <w:rsid w:val="003277C6"/>
    <w:rsid w:val="0032797F"/>
    <w:rsid w:val="003279B1"/>
    <w:rsid w:val="00327A93"/>
    <w:rsid w:val="00327CA3"/>
    <w:rsid w:val="00330CD1"/>
    <w:rsid w:val="00330E78"/>
    <w:rsid w:val="00330F96"/>
    <w:rsid w:val="00331402"/>
    <w:rsid w:val="003314E4"/>
    <w:rsid w:val="00331564"/>
    <w:rsid w:val="00331C83"/>
    <w:rsid w:val="00331F43"/>
    <w:rsid w:val="00332085"/>
    <w:rsid w:val="00332258"/>
    <w:rsid w:val="003322D5"/>
    <w:rsid w:val="0033240F"/>
    <w:rsid w:val="00332651"/>
    <w:rsid w:val="0033282D"/>
    <w:rsid w:val="00332A28"/>
    <w:rsid w:val="00332C71"/>
    <w:rsid w:val="00332E1C"/>
    <w:rsid w:val="00332FE7"/>
    <w:rsid w:val="003330AE"/>
    <w:rsid w:val="00333262"/>
    <w:rsid w:val="0033326F"/>
    <w:rsid w:val="00334216"/>
    <w:rsid w:val="00334694"/>
    <w:rsid w:val="003349C3"/>
    <w:rsid w:val="00334FEC"/>
    <w:rsid w:val="00334FFB"/>
    <w:rsid w:val="00335234"/>
    <w:rsid w:val="00335424"/>
    <w:rsid w:val="003355DC"/>
    <w:rsid w:val="003356BD"/>
    <w:rsid w:val="003357A5"/>
    <w:rsid w:val="003358AC"/>
    <w:rsid w:val="0033590A"/>
    <w:rsid w:val="00335A67"/>
    <w:rsid w:val="00335ACF"/>
    <w:rsid w:val="00335C69"/>
    <w:rsid w:val="00335DFC"/>
    <w:rsid w:val="003362C7"/>
    <w:rsid w:val="00336743"/>
    <w:rsid w:val="003369E9"/>
    <w:rsid w:val="00336AF8"/>
    <w:rsid w:val="00336D82"/>
    <w:rsid w:val="00336E00"/>
    <w:rsid w:val="00336FCE"/>
    <w:rsid w:val="00337ACF"/>
    <w:rsid w:val="00340100"/>
    <w:rsid w:val="0034014F"/>
    <w:rsid w:val="00340212"/>
    <w:rsid w:val="00340640"/>
    <w:rsid w:val="00340943"/>
    <w:rsid w:val="00340A08"/>
    <w:rsid w:val="00340D6C"/>
    <w:rsid w:val="00340F93"/>
    <w:rsid w:val="00340F98"/>
    <w:rsid w:val="00341201"/>
    <w:rsid w:val="0034151E"/>
    <w:rsid w:val="00341652"/>
    <w:rsid w:val="003416F3"/>
    <w:rsid w:val="003417A1"/>
    <w:rsid w:val="00341C43"/>
    <w:rsid w:val="00341C4E"/>
    <w:rsid w:val="00341F7B"/>
    <w:rsid w:val="0034221D"/>
    <w:rsid w:val="00342284"/>
    <w:rsid w:val="00342417"/>
    <w:rsid w:val="003428A8"/>
    <w:rsid w:val="0034294A"/>
    <w:rsid w:val="00342971"/>
    <w:rsid w:val="00342A71"/>
    <w:rsid w:val="00342BC2"/>
    <w:rsid w:val="00342CDD"/>
    <w:rsid w:val="00342F43"/>
    <w:rsid w:val="003433E1"/>
    <w:rsid w:val="0034376F"/>
    <w:rsid w:val="0034379A"/>
    <w:rsid w:val="00343A06"/>
    <w:rsid w:val="00343C4C"/>
    <w:rsid w:val="0034426D"/>
    <w:rsid w:val="003444EA"/>
    <w:rsid w:val="00344816"/>
    <w:rsid w:val="00344820"/>
    <w:rsid w:val="00344BB7"/>
    <w:rsid w:val="00345096"/>
    <w:rsid w:val="003456ED"/>
    <w:rsid w:val="00345DA7"/>
    <w:rsid w:val="00345E28"/>
    <w:rsid w:val="00345F3F"/>
    <w:rsid w:val="00346061"/>
    <w:rsid w:val="003466C2"/>
    <w:rsid w:val="00346AE9"/>
    <w:rsid w:val="00346CD9"/>
    <w:rsid w:val="00346FC5"/>
    <w:rsid w:val="0034755D"/>
    <w:rsid w:val="0034781D"/>
    <w:rsid w:val="00347A7B"/>
    <w:rsid w:val="00347C78"/>
    <w:rsid w:val="00350336"/>
    <w:rsid w:val="0035069C"/>
    <w:rsid w:val="003506A3"/>
    <w:rsid w:val="0035073E"/>
    <w:rsid w:val="003508F5"/>
    <w:rsid w:val="00350AA8"/>
    <w:rsid w:val="00350ED6"/>
    <w:rsid w:val="00351508"/>
    <w:rsid w:val="00351659"/>
    <w:rsid w:val="003516AB"/>
    <w:rsid w:val="00351756"/>
    <w:rsid w:val="00351791"/>
    <w:rsid w:val="00352059"/>
    <w:rsid w:val="0035208B"/>
    <w:rsid w:val="003520F2"/>
    <w:rsid w:val="00352478"/>
    <w:rsid w:val="003525F3"/>
    <w:rsid w:val="00352844"/>
    <w:rsid w:val="00352928"/>
    <w:rsid w:val="00352B30"/>
    <w:rsid w:val="00352DD2"/>
    <w:rsid w:val="00352F42"/>
    <w:rsid w:val="00353066"/>
    <w:rsid w:val="003530D0"/>
    <w:rsid w:val="003534F2"/>
    <w:rsid w:val="00353955"/>
    <w:rsid w:val="00353A17"/>
    <w:rsid w:val="00353A33"/>
    <w:rsid w:val="00353B9E"/>
    <w:rsid w:val="00353F86"/>
    <w:rsid w:val="00354081"/>
    <w:rsid w:val="00354271"/>
    <w:rsid w:val="00354501"/>
    <w:rsid w:val="003546A4"/>
    <w:rsid w:val="003547A7"/>
    <w:rsid w:val="00354EA0"/>
    <w:rsid w:val="003552DE"/>
    <w:rsid w:val="003552EC"/>
    <w:rsid w:val="00355346"/>
    <w:rsid w:val="00355651"/>
    <w:rsid w:val="0035597C"/>
    <w:rsid w:val="00355B7C"/>
    <w:rsid w:val="00356327"/>
    <w:rsid w:val="00356459"/>
    <w:rsid w:val="00357042"/>
    <w:rsid w:val="0035733C"/>
    <w:rsid w:val="00357450"/>
    <w:rsid w:val="003574CB"/>
    <w:rsid w:val="00357726"/>
    <w:rsid w:val="0035781B"/>
    <w:rsid w:val="00357DB0"/>
    <w:rsid w:val="0036024D"/>
    <w:rsid w:val="003602E7"/>
    <w:rsid w:val="00360878"/>
    <w:rsid w:val="00360ADD"/>
    <w:rsid w:val="00360CF8"/>
    <w:rsid w:val="00361074"/>
    <w:rsid w:val="003611DC"/>
    <w:rsid w:val="00361487"/>
    <w:rsid w:val="003617E9"/>
    <w:rsid w:val="003618BA"/>
    <w:rsid w:val="00361AD2"/>
    <w:rsid w:val="00362655"/>
    <w:rsid w:val="00362B31"/>
    <w:rsid w:val="00362D34"/>
    <w:rsid w:val="00362ED6"/>
    <w:rsid w:val="00363320"/>
    <w:rsid w:val="00363362"/>
    <w:rsid w:val="0036364D"/>
    <w:rsid w:val="00363751"/>
    <w:rsid w:val="00363892"/>
    <w:rsid w:val="00363BA9"/>
    <w:rsid w:val="00363C34"/>
    <w:rsid w:val="00363C4E"/>
    <w:rsid w:val="00363F79"/>
    <w:rsid w:val="003642CF"/>
    <w:rsid w:val="003643A6"/>
    <w:rsid w:val="003645AF"/>
    <w:rsid w:val="003646B0"/>
    <w:rsid w:val="00364B65"/>
    <w:rsid w:val="00364C67"/>
    <w:rsid w:val="003655D7"/>
    <w:rsid w:val="003656F1"/>
    <w:rsid w:val="003658FF"/>
    <w:rsid w:val="0036595E"/>
    <w:rsid w:val="003662D4"/>
    <w:rsid w:val="00366483"/>
    <w:rsid w:val="003664C9"/>
    <w:rsid w:val="0036650E"/>
    <w:rsid w:val="0036682B"/>
    <w:rsid w:val="003668BF"/>
    <w:rsid w:val="0036699E"/>
    <w:rsid w:val="00366C9B"/>
    <w:rsid w:val="00366D2A"/>
    <w:rsid w:val="00366D35"/>
    <w:rsid w:val="003672B7"/>
    <w:rsid w:val="00367842"/>
    <w:rsid w:val="00367843"/>
    <w:rsid w:val="00367F22"/>
    <w:rsid w:val="003705A2"/>
    <w:rsid w:val="003706BB"/>
    <w:rsid w:val="00370778"/>
    <w:rsid w:val="00370B84"/>
    <w:rsid w:val="00370DCA"/>
    <w:rsid w:val="0037158A"/>
    <w:rsid w:val="003715A2"/>
    <w:rsid w:val="003717F8"/>
    <w:rsid w:val="00371ABC"/>
    <w:rsid w:val="0037211E"/>
    <w:rsid w:val="00372319"/>
    <w:rsid w:val="00372368"/>
    <w:rsid w:val="00372586"/>
    <w:rsid w:val="003725DB"/>
    <w:rsid w:val="00372682"/>
    <w:rsid w:val="00372A98"/>
    <w:rsid w:val="00372DEF"/>
    <w:rsid w:val="0037347F"/>
    <w:rsid w:val="00373511"/>
    <w:rsid w:val="003735B2"/>
    <w:rsid w:val="003739FC"/>
    <w:rsid w:val="00373C22"/>
    <w:rsid w:val="00373C52"/>
    <w:rsid w:val="00373ED7"/>
    <w:rsid w:val="003742E8"/>
    <w:rsid w:val="003749B0"/>
    <w:rsid w:val="00374C56"/>
    <w:rsid w:val="003752B5"/>
    <w:rsid w:val="0037537D"/>
    <w:rsid w:val="00375811"/>
    <w:rsid w:val="00375855"/>
    <w:rsid w:val="00375BF6"/>
    <w:rsid w:val="00375E18"/>
    <w:rsid w:val="00375FFF"/>
    <w:rsid w:val="0037600D"/>
    <w:rsid w:val="003760B4"/>
    <w:rsid w:val="0037631A"/>
    <w:rsid w:val="0037686F"/>
    <w:rsid w:val="00376A03"/>
    <w:rsid w:val="00376C06"/>
    <w:rsid w:val="00376CE6"/>
    <w:rsid w:val="00377031"/>
    <w:rsid w:val="00377094"/>
    <w:rsid w:val="0037737E"/>
    <w:rsid w:val="00377691"/>
    <w:rsid w:val="003779B7"/>
    <w:rsid w:val="00377ACB"/>
    <w:rsid w:val="00377BBF"/>
    <w:rsid w:val="00377D23"/>
    <w:rsid w:val="00377DE0"/>
    <w:rsid w:val="0038003F"/>
    <w:rsid w:val="0038018E"/>
    <w:rsid w:val="00380240"/>
    <w:rsid w:val="00380298"/>
    <w:rsid w:val="003803AA"/>
    <w:rsid w:val="003803C8"/>
    <w:rsid w:val="00380666"/>
    <w:rsid w:val="00380684"/>
    <w:rsid w:val="003808B0"/>
    <w:rsid w:val="00380FB8"/>
    <w:rsid w:val="003812C2"/>
    <w:rsid w:val="0038131C"/>
    <w:rsid w:val="00381419"/>
    <w:rsid w:val="0038149D"/>
    <w:rsid w:val="00381751"/>
    <w:rsid w:val="003818C4"/>
    <w:rsid w:val="00381B5C"/>
    <w:rsid w:val="00381C1B"/>
    <w:rsid w:val="00381C48"/>
    <w:rsid w:val="00381DE4"/>
    <w:rsid w:val="0038218E"/>
    <w:rsid w:val="003825B1"/>
    <w:rsid w:val="0038287A"/>
    <w:rsid w:val="00382C4F"/>
    <w:rsid w:val="00382D37"/>
    <w:rsid w:val="00382DFD"/>
    <w:rsid w:val="00382FEE"/>
    <w:rsid w:val="003830F2"/>
    <w:rsid w:val="003831BB"/>
    <w:rsid w:val="00383286"/>
    <w:rsid w:val="00383416"/>
    <w:rsid w:val="0038342A"/>
    <w:rsid w:val="0038386C"/>
    <w:rsid w:val="00383AEB"/>
    <w:rsid w:val="0038448A"/>
    <w:rsid w:val="003846D9"/>
    <w:rsid w:val="003847F8"/>
    <w:rsid w:val="00384DCF"/>
    <w:rsid w:val="003851B1"/>
    <w:rsid w:val="0038537B"/>
    <w:rsid w:val="0038543F"/>
    <w:rsid w:val="003855EC"/>
    <w:rsid w:val="0038587C"/>
    <w:rsid w:val="003858E3"/>
    <w:rsid w:val="003859A7"/>
    <w:rsid w:val="00385B90"/>
    <w:rsid w:val="003860BA"/>
    <w:rsid w:val="003865BC"/>
    <w:rsid w:val="00386705"/>
    <w:rsid w:val="00386BE2"/>
    <w:rsid w:val="00386BF7"/>
    <w:rsid w:val="00386C51"/>
    <w:rsid w:val="00386EB7"/>
    <w:rsid w:val="00386FD7"/>
    <w:rsid w:val="003870C7"/>
    <w:rsid w:val="003871E9"/>
    <w:rsid w:val="00387279"/>
    <w:rsid w:val="003873EC"/>
    <w:rsid w:val="0038751B"/>
    <w:rsid w:val="0038758C"/>
    <w:rsid w:val="0038769F"/>
    <w:rsid w:val="003877FA"/>
    <w:rsid w:val="00387954"/>
    <w:rsid w:val="00387B14"/>
    <w:rsid w:val="00387B1B"/>
    <w:rsid w:val="00387F54"/>
    <w:rsid w:val="0039050A"/>
    <w:rsid w:val="00390AC4"/>
    <w:rsid w:val="00390BBB"/>
    <w:rsid w:val="00390D82"/>
    <w:rsid w:val="00390DCA"/>
    <w:rsid w:val="00391051"/>
    <w:rsid w:val="00391722"/>
    <w:rsid w:val="003918C2"/>
    <w:rsid w:val="00391ADB"/>
    <w:rsid w:val="00391F7C"/>
    <w:rsid w:val="00392172"/>
    <w:rsid w:val="003923C9"/>
    <w:rsid w:val="0039298D"/>
    <w:rsid w:val="003929B9"/>
    <w:rsid w:val="00392BEF"/>
    <w:rsid w:val="0039302C"/>
    <w:rsid w:val="003930E4"/>
    <w:rsid w:val="003932BB"/>
    <w:rsid w:val="00393835"/>
    <w:rsid w:val="0039389D"/>
    <w:rsid w:val="00393B51"/>
    <w:rsid w:val="00393D4D"/>
    <w:rsid w:val="00394274"/>
    <w:rsid w:val="0039447D"/>
    <w:rsid w:val="0039486E"/>
    <w:rsid w:val="00394F9A"/>
    <w:rsid w:val="00395136"/>
    <w:rsid w:val="003951DA"/>
    <w:rsid w:val="003953BC"/>
    <w:rsid w:val="003953F6"/>
    <w:rsid w:val="0039581F"/>
    <w:rsid w:val="00395BF7"/>
    <w:rsid w:val="00395D05"/>
    <w:rsid w:val="00395D07"/>
    <w:rsid w:val="00395D70"/>
    <w:rsid w:val="0039625A"/>
    <w:rsid w:val="00396664"/>
    <w:rsid w:val="003967AC"/>
    <w:rsid w:val="00396DE8"/>
    <w:rsid w:val="00396E03"/>
    <w:rsid w:val="00397213"/>
    <w:rsid w:val="003974F3"/>
    <w:rsid w:val="003977A3"/>
    <w:rsid w:val="00397B3F"/>
    <w:rsid w:val="00397D59"/>
    <w:rsid w:val="00397E52"/>
    <w:rsid w:val="00397FAC"/>
    <w:rsid w:val="003A02E4"/>
    <w:rsid w:val="003A050D"/>
    <w:rsid w:val="003A05C3"/>
    <w:rsid w:val="003A0852"/>
    <w:rsid w:val="003A0B9D"/>
    <w:rsid w:val="003A0C00"/>
    <w:rsid w:val="003A0C7A"/>
    <w:rsid w:val="003A0E36"/>
    <w:rsid w:val="003A1006"/>
    <w:rsid w:val="003A117A"/>
    <w:rsid w:val="003A13A2"/>
    <w:rsid w:val="003A1761"/>
    <w:rsid w:val="003A1781"/>
    <w:rsid w:val="003A1870"/>
    <w:rsid w:val="003A1A49"/>
    <w:rsid w:val="003A2171"/>
    <w:rsid w:val="003A2191"/>
    <w:rsid w:val="003A2214"/>
    <w:rsid w:val="003A2282"/>
    <w:rsid w:val="003A2290"/>
    <w:rsid w:val="003A2350"/>
    <w:rsid w:val="003A265D"/>
    <w:rsid w:val="003A33FB"/>
    <w:rsid w:val="003A3490"/>
    <w:rsid w:val="003A36FC"/>
    <w:rsid w:val="003A3841"/>
    <w:rsid w:val="003A3DF1"/>
    <w:rsid w:val="003A3F86"/>
    <w:rsid w:val="003A3FE5"/>
    <w:rsid w:val="003A41D6"/>
    <w:rsid w:val="003A49A1"/>
    <w:rsid w:val="003A49F1"/>
    <w:rsid w:val="003A518A"/>
    <w:rsid w:val="003A577F"/>
    <w:rsid w:val="003A5966"/>
    <w:rsid w:val="003A5977"/>
    <w:rsid w:val="003A5B17"/>
    <w:rsid w:val="003A5F33"/>
    <w:rsid w:val="003A5FD3"/>
    <w:rsid w:val="003A6105"/>
    <w:rsid w:val="003A61A8"/>
    <w:rsid w:val="003A6494"/>
    <w:rsid w:val="003A6CD3"/>
    <w:rsid w:val="003A710F"/>
    <w:rsid w:val="003A7DC3"/>
    <w:rsid w:val="003A7FE6"/>
    <w:rsid w:val="003B030F"/>
    <w:rsid w:val="003B0761"/>
    <w:rsid w:val="003B076F"/>
    <w:rsid w:val="003B0AB5"/>
    <w:rsid w:val="003B0C3B"/>
    <w:rsid w:val="003B0E7D"/>
    <w:rsid w:val="003B1525"/>
    <w:rsid w:val="003B184B"/>
    <w:rsid w:val="003B1CD3"/>
    <w:rsid w:val="003B1D7D"/>
    <w:rsid w:val="003B1EF7"/>
    <w:rsid w:val="003B21E2"/>
    <w:rsid w:val="003B220C"/>
    <w:rsid w:val="003B2492"/>
    <w:rsid w:val="003B2805"/>
    <w:rsid w:val="003B2C01"/>
    <w:rsid w:val="003B2C22"/>
    <w:rsid w:val="003B2C2C"/>
    <w:rsid w:val="003B2CB9"/>
    <w:rsid w:val="003B2F20"/>
    <w:rsid w:val="003B2F26"/>
    <w:rsid w:val="003B3529"/>
    <w:rsid w:val="003B384A"/>
    <w:rsid w:val="003B38CA"/>
    <w:rsid w:val="003B3A3F"/>
    <w:rsid w:val="003B3E08"/>
    <w:rsid w:val="003B40B4"/>
    <w:rsid w:val="003B413A"/>
    <w:rsid w:val="003B428D"/>
    <w:rsid w:val="003B4338"/>
    <w:rsid w:val="003B451E"/>
    <w:rsid w:val="003B4529"/>
    <w:rsid w:val="003B4643"/>
    <w:rsid w:val="003B46B1"/>
    <w:rsid w:val="003B4B61"/>
    <w:rsid w:val="003B4C8E"/>
    <w:rsid w:val="003B53D3"/>
    <w:rsid w:val="003B545E"/>
    <w:rsid w:val="003B54AA"/>
    <w:rsid w:val="003B561B"/>
    <w:rsid w:val="003B573B"/>
    <w:rsid w:val="003B574D"/>
    <w:rsid w:val="003B5971"/>
    <w:rsid w:val="003B5B18"/>
    <w:rsid w:val="003B5E30"/>
    <w:rsid w:val="003B5E91"/>
    <w:rsid w:val="003B5F5D"/>
    <w:rsid w:val="003B5FFA"/>
    <w:rsid w:val="003B606E"/>
    <w:rsid w:val="003B635A"/>
    <w:rsid w:val="003B64EB"/>
    <w:rsid w:val="003B65BB"/>
    <w:rsid w:val="003B6BED"/>
    <w:rsid w:val="003B6C70"/>
    <w:rsid w:val="003B6D6C"/>
    <w:rsid w:val="003B6EA9"/>
    <w:rsid w:val="003B6FCF"/>
    <w:rsid w:val="003B7026"/>
    <w:rsid w:val="003B70A3"/>
    <w:rsid w:val="003B76C8"/>
    <w:rsid w:val="003B7844"/>
    <w:rsid w:val="003B7859"/>
    <w:rsid w:val="003B7C67"/>
    <w:rsid w:val="003B7D50"/>
    <w:rsid w:val="003B7DDB"/>
    <w:rsid w:val="003B7E52"/>
    <w:rsid w:val="003B7E9F"/>
    <w:rsid w:val="003C017E"/>
    <w:rsid w:val="003C06C4"/>
    <w:rsid w:val="003C082C"/>
    <w:rsid w:val="003C096D"/>
    <w:rsid w:val="003C09E5"/>
    <w:rsid w:val="003C09F5"/>
    <w:rsid w:val="003C101C"/>
    <w:rsid w:val="003C11C5"/>
    <w:rsid w:val="003C1208"/>
    <w:rsid w:val="003C1441"/>
    <w:rsid w:val="003C14F9"/>
    <w:rsid w:val="003C1B9D"/>
    <w:rsid w:val="003C1BBD"/>
    <w:rsid w:val="003C2003"/>
    <w:rsid w:val="003C2370"/>
    <w:rsid w:val="003C23B9"/>
    <w:rsid w:val="003C2520"/>
    <w:rsid w:val="003C25CD"/>
    <w:rsid w:val="003C292B"/>
    <w:rsid w:val="003C2DCA"/>
    <w:rsid w:val="003C3836"/>
    <w:rsid w:val="003C3B3F"/>
    <w:rsid w:val="003C42CD"/>
    <w:rsid w:val="003C44CC"/>
    <w:rsid w:val="003C4600"/>
    <w:rsid w:val="003C47CE"/>
    <w:rsid w:val="003C48A9"/>
    <w:rsid w:val="003C48AB"/>
    <w:rsid w:val="003C4A98"/>
    <w:rsid w:val="003C4BDA"/>
    <w:rsid w:val="003C4DED"/>
    <w:rsid w:val="003C4E2D"/>
    <w:rsid w:val="003C4EEE"/>
    <w:rsid w:val="003C547D"/>
    <w:rsid w:val="003C56AF"/>
    <w:rsid w:val="003C57FE"/>
    <w:rsid w:val="003C5803"/>
    <w:rsid w:val="003C69E7"/>
    <w:rsid w:val="003C6B1B"/>
    <w:rsid w:val="003C6D66"/>
    <w:rsid w:val="003C6FF7"/>
    <w:rsid w:val="003C741B"/>
    <w:rsid w:val="003C7722"/>
    <w:rsid w:val="003C7D1B"/>
    <w:rsid w:val="003D0918"/>
    <w:rsid w:val="003D097D"/>
    <w:rsid w:val="003D1233"/>
    <w:rsid w:val="003D1432"/>
    <w:rsid w:val="003D17D8"/>
    <w:rsid w:val="003D1848"/>
    <w:rsid w:val="003D1C2B"/>
    <w:rsid w:val="003D21BE"/>
    <w:rsid w:val="003D22C2"/>
    <w:rsid w:val="003D2311"/>
    <w:rsid w:val="003D25ED"/>
    <w:rsid w:val="003D2A7F"/>
    <w:rsid w:val="003D2CD5"/>
    <w:rsid w:val="003D2D9F"/>
    <w:rsid w:val="003D30AC"/>
    <w:rsid w:val="003D33F5"/>
    <w:rsid w:val="003D364B"/>
    <w:rsid w:val="003D3945"/>
    <w:rsid w:val="003D3C0A"/>
    <w:rsid w:val="003D3F63"/>
    <w:rsid w:val="003D421F"/>
    <w:rsid w:val="003D434D"/>
    <w:rsid w:val="003D4770"/>
    <w:rsid w:val="003D4993"/>
    <w:rsid w:val="003D4BFD"/>
    <w:rsid w:val="003D4FFD"/>
    <w:rsid w:val="003D52BE"/>
    <w:rsid w:val="003D52C2"/>
    <w:rsid w:val="003D560D"/>
    <w:rsid w:val="003D5AA5"/>
    <w:rsid w:val="003D5BA7"/>
    <w:rsid w:val="003D5CC3"/>
    <w:rsid w:val="003D615C"/>
    <w:rsid w:val="003D634A"/>
    <w:rsid w:val="003D64AC"/>
    <w:rsid w:val="003D6539"/>
    <w:rsid w:val="003D65F6"/>
    <w:rsid w:val="003D6953"/>
    <w:rsid w:val="003D6A3A"/>
    <w:rsid w:val="003D6ABA"/>
    <w:rsid w:val="003D6C84"/>
    <w:rsid w:val="003D6F1B"/>
    <w:rsid w:val="003D6F97"/>
    <w:rsid w:val="003D6FE0"/>
    <w:rsid w:val="003D7233"/>
    <w:rsid w:val="003D74ED"/>
    <w:rsid w:val="003D77A5"/>
    <w:rsid w:val="003D78BB"/>
    <w:rsid w:val="003D7AD3"/>
    <w:rsid w:val="003E05F3"/>
    <w:rsid w:val="003E06FC"/>
    <w:rsid w:val="003E14E7"/>
    <w:rsid w:val="003E1514"/>
    <w:rsid w:val="003E16A5"/>
    <w:rsid w:val="003E17A7"/>
    <w:rsid w:val="003E17C2"/>
    <w:rsid w:val="003E18FD"/>
    <w:rsid w:val="003E1BDD"/>
    <w:rsid w:val="003E1F8C"/>
    <w:rsid w:val="003E2081"/>
    <w:rsid w:val="003E2087"/>
    <w:rsid w:val="003E22BD"/>
    <w:rsid w:val="003E2BD1"/>
    <w:rsid w:val="003E3529"/>
    <w:rsid w:val="003E3688"/>
    <w:rsid w:val="003E399B"/>
    <w:rsid w:val="003E3B7C"/>
    <w:rsid w:val="003E3B8B"/>
    <w:rsid w:val="003E40B3"/>
    <w:rsid w:val="003E42DF"/>
    <w:rsid w:val="003E457C"/>
    <w:rsid w:val="003E477B"/>
    <w:rsid w:val="003E4A69"/>
    <w:rsid w:val="003E50B6"/>
    <w:rsid w:val="003E5238"/>
    <w:rsid w:val="003E5560"/>
    <w:rsid w:val="003E5695"/>
    <w:rsid w:val="003E584F"/>
    <w:rsid w:val="003E5B51"/>
    <w:rsid w:val="003E5D2A"/>
    <w:rsid w:val="003E5D7F"/>
    <w:rsid w:val="003E5E29"/>
    <w:rsid w:val="003E6098"/>
    <w:rsid w:val="003E6167"/>
    <w:rsid w:val="003E6417"/>
    <w:rsid w:val="003E6717"/>
    <w:rsid w:val="003E675A"/>
    <w:rsid w:val="003E689E"/>
    <w:rsid w:val="003E6B31"/>
    <w:rsid w:val="003E6E80"/>
    <w:rsid w:val="003E7369"/>
    <w:rsid w:val="003E7764"/>
    <w:rsid w:val="003E7F5A"/>
    <w:rsid w:val="003F068F"/>
    <w:rsid w:val="003F0B3C"/>
    <w:rsid w:val="003F0C5A"/>
    <w:rsid w:val="003F0D44"/>
    <w:rsid w:val="003F12A2"/>
    <w:rsid w:val="003F14CC"/>
    <w:rsid w:val="003F1748"/>
    <w:rsid w:val="003F1B38"/>
    <w:rsid w:val="003F1DD9"/>
    <w:rsid w:val="003F223B"/>
    <w:rsid w:val="003F22A7"/>
    <w:rsid w:val="003F22EA"/>
    <w:rsid w:val="003F25E0"/>
    <w:rsid w:val="003F27CA"/>
    <w:rsid w:val="003F2A8E"/>
    <w:rsid w:val="003F2DC8"/>
    <w:rsid w:val="003F361C"/>
    <w:rsid w:val="003F3AEF"/>
    <w:rsid w:val="003F3BE8"/>
    <w:rsid w:val="003F3C01"/>
    <w:rsid w:val="003F3C26"/>
    <w:rsid w:val="003F3CEC"/>
    <w:rsid w:val="003F3D11"/>
    <w:rsid w:val="003F3D77"/>
    <w:rsid w:val="003F3F99"/>
    <w:rsid w:val="003F4863"/>
    <w:rsid w:val="003F4893"/>
    <w:rsid w:val="003F49EB"/>
    <w:rsid w:val="003F4E7B"/>
    <w:rsid w:val="003F5231"/>
    <w:rsid w:val="003F53A1"/>
    <w:rsid w:val="003F53E7"/>
    <w:rsid w:val="003F5639"/>
    <w:rsid w:val="003F56A8"/>
    <w:rsid w:val="003F5E6C"/>
    <w:rsid w:val="003F601F"/>
    <w:rsid w:val="003F614A"/>
    <w:rsid w:val="003F617A"/>
    <w:rsid w:val="003F620B"/>
    <w:rsid w:val="003F6302"/>
    <w:rsid w:val="003F63A9"/>
    <w:rsid w:val="003F63EC"/>
    <w:rsid w:val="003F6511"/>
    <w:rsid w:val="003F682F"/>
    <w:rsid w:val="003F6ACA"/>
    <w:rsid w:val="003F6B5B"/>
    <w:rsid w:val="003F6BDC"/>
    <w:rsid w:val="003F6CD8"/>
    <w:rsid w:val="003F6D10"/>
    <w:rsid w:val="003F6D4B"/>
    <w:rsid w:val="003F734A"/>
    <w:rsid w:val="003F7809"/>
    <w:rsid w:val="003F7DC6"/>
    <w:rsid w:val="0040024A"/>
    <w:rsid w:val="004003B9"/>
    <w:rsid w:val="00400764"/>
    <w:rsid w:val="00400936"/>
    <w:rsid w:val="00400939"/>
    <w:rsid w:val="00400BDB"/>
    <w:rsid w:val="00400C57"/>
    <w:rsid w:val="00400E9B"/>
    <w:rsid w:val="00400F9C"/>
    <w:rsid w:val="0040101C"/>
    <w:rsid w:val="00401217"/>
    <w:rsid w:val="004012D2"/>
    <w:rsid w:val="00401933"/>
    <w:rsid w:val="00401A73"/>
    <w:rsid w:val="00401D27"/>
    <w:rsid w:val="00401ED6"/>
    <w:rsid w:val="00402141"/>
    <w:rsid w:val="00402420"/>
    <w:rsid w:val="004025BF"/>
    <w:rsid w:val="004027F2"/>
    <w:rsid w:val="00402935"/>
    <w:rsid w:val="00402936"/>
    <w:rsid w:val="00402C58"/>
    <w:rsid w:val="00403189"/>
    <w:rsid w:val="0040329B"/>
    <w:rsid w:val="004032AB"/>
    <w:rsid w:val="0040359C"/>
    <w:rsid w:val="004035CE"/>
    <w:rsid w:val="00403738"/>
    <w:rsid w:val="00403783"/>
    <w:rsid w:val="00403CC8"/>
    <w:rsid w:val="00403CE2"/>
    <w:rsid w:val="00404342"/>
    <w:rsid w:val="00404838"/>
    <w:rsid w:val="004048C7"/>
    <w:rsid w:val="00404B2C"/>
    <w:rsid w:val="00404BA0"/>
    <w:rsid w:val="00404D59"/>
    <w:rsid w:val="0040523B"/>
    <w:rsid w:val="004057E0"/>
    <w:rsid w:val="00405905"/>
    <w:rsid w:val="00405963"/>
    <w:rsid w:val="00405A4B"/>
    <w:rsid w:val="00405D4C"/>
    <w:rsid w:val="00405F48"/>
    <w:rsid w:val="004061F8"/>
    <w:rsid w:val="004063DE"/>
    <w:rsid w:val="004065D7"/>
    <w:rsid w:val="0040662C"/>
    <w:rsid w:val="0040672B"/>
    <w:rsid w:val="004069A7"/>
    <w:rsid w:val="00406A92"/>
    <w:rsid w:val="00406BFA"/>
    <w:rsid w:val="00406CA5"/>
    <w:rsid w:val="00406E02"/>
    <w:rsid w:val="00406F16"/>
    <w:rsid w:val="00406F3B"/>
    <w:rsid w:val="00406F3C"/>
    <w:rsid w:val="00407435"/>
    <w:rsid w:val="004075C7"/>
    <w:rsid w:val="004077BD"/>
    <w:rsid w:val="00407978"/>
    <w:rsid w:val="00407D29"/>
    <w:rsid w:val="00407EDC"/>
    <w:rsid w:val="004106ED"/>
    <w:rsid w:val="00410931"/>
    <w:rsid w:val="00410977"/>
    <w:rsid w:val="00410B07"/>
    <w:rsid w:val="00410BEC"/>
    <w:rsid w:val="0041103D"/>
    <w:rsid w:val="0041201D"/>
    <w:rsid w:val="004120EB"/>
    <w:rsid w:val="00412154"/>
    <w:rsid w:val="00412449"/>
    <w:rsid w:val="004124B7"/>
    <w:rsid w:val="00412A58"/>
    <w:rsid w:val="00412A73"/>
    <w:rsid w:val="004132A8"/>
    <w:rsid w:val="00413355"/>
    <w:rsid w:val="004133BF"/>
    <w:rsid w:val="004134A7"/>
    <w:rsid w:val="004135B3"/>
    <w:rsid w:val="00414009"/>
    <w:rsid w:val="0041414A"/>
    <w:rsid w:val="004142CC"/>
    <w:rsid w:val="004158A8"/>
    <w:rsid w:val="00415BF4"/>
    <w:rsid w:val="00415C52"/>
    <w:rsid w:val="00415DE2"/>
    <w:rsid w:val="0041602E"/>
    <w:rsid w:val="0041615B"/>
    <w:rsid w:val="004164AB"/>
    <w:rsid w:val="004166D8"/>
    <w:rsid w:val="00416739"/>
    <w:rsid w:val="0041679A"/>
    <w:rsid w:val="00416911"/>
    <w:rsid w:val="004169B9"/>
    <w:rsid w:val="00416A32"/>
    <w:rsid w:val="00416A9D"/>
    <w:rsid w:val="00417504"/>
    <w:rsid w:val="004175B6"/>
    <w:rsid w:val="00417714"/>
    <w:rsid w:val="004177D7"/>
    <w:rsid w:val="004179B1"/>
    <w:rsid w:val="00417BB4"/>
    <w:rsid w:val="00417C33"/>
    <w:rsid w:val="00417CC4"/>
    <w:rsid w:val="00417D16"/>
    <w:rsid w:val="00417E1D"/>
    <w:rsid w:val="00417E9F"/>
    <w:rsid w:val="00417ECD"/>
    <w:rsid w:val="00420050"/>
    <w:rsid w:val="0042033F"/>
    <w:rsid w:val="00420545"/>
    <w:rsid w:val="00420620"/>
    <w:rsid w:val="004206CC"/>
    <w:rsid w:val="00420946"/>
    <w:rsid w:val="00420AA9"/>
    <w:rsid w:val="00420CB5"/>
    <w:rsid w:val="00420F56"/>
    <w:rsid w:val="00420F97"/>
    <w:rsid w:val="00421232"/>
    <w:rsid w:val="004212F8"/>
    <w:rsid w:val="00421615"/>
    <w:rsid w:val="00421675"/>
    <w:rsid w:val="00421A7F"/>
    <w:rsid w:val="00421B69"/>
    <w:rsid w:val="00421D67"/>
    <w:rsid w:val="00421DCE"/>
    <w:rsid w:val="00421ED1"/>
    <w:rsid w:val="00422146"/>
    <w:rsid w:val="00422204"/>
    <w:rsid w:val="0042262B"/>
    <w:rsid w:val="00422630"/>
    <w:rsid w:val="004229CF"/>
    <w:rsid w:val="00422ED6"/>
    <w:rsid w:val="00422EED"/>
    <w:rsid w:val="00423484"/>
    <w:rsid w:val="00423673"/>
    <w:rsid w:val="004236AB"/>
    <w:rsid w:val="00423811"/>
    <w:rsid w:val="004239FF"/>
    <w:rsid w:val="00423A39"/>
    <w:rsid w:val="00423C08"/>
    <w:rsid w:val="004243F9"/>
    <w:rsid w:val="004244D4"/>
    <w:rsid w:val="00424636"/>
    <w:rsid w:val="00424647"/>
    <w:rsid w:val="00425437"/>
    <w:rsid w:val="00425724"/>
    <w:rsid w:val="004257D5"/>
    <w:rsid w:val="004257D9"/>
    <w:rsid w:val="00425AC0"/>
    <w:rsid w:val="00425AED"/>
    <w:rsid w:val="00425B02"/>
    <w:rsid w:val="00425BD6"/>
    <w:rsid w:val="00425DA0"/>
    <w:rsid w:val="00425E97"/>
    <w:rsid w:val="0042609B"/>
    <w:rsid w:val="00426210"/>
    <w:rsid w:val="00426293"/>
    <w:rsid w:val="004267C2"/>
    <w:rsid w:val="00426B1C"/>
    <w:rsid w:val="00426B82"/>
    <w:rsid w:val="00426E6B"/>
    <w:rsid w:val="00426F10"/>
    <w:rsid w:val="0042730F"/>
    <w:rsid w:val="004279B6"/>
    <w:rsid w:val="004279EA"/>
    <w:rsid w:val="00427B02"/>
    <w:rsid w:val="00427ED8"/>
    <w:rsid w:val="00427FF2"/>
    <w:rsid w:val="00430300"/>
    <w:rsid w:val="00430489"/>
    <w:rsid w:val="00430931"/>
    <w:rsid w:val="0043096F"/>
    <w:rsid w:val="004309C8"/>
    <w:rsid w:val="00430B6C"/>
    <w:rsid w:val="00430B7F"/>
    <w:rsid w:val="00430DDB"/>
    <w:rsid w:val="00430EA4"/>
    <w:rsid w:val="00430F36"/>
    <w:rsid w:val="00431596"/>
    <w:rsid w:val="00431975"/>
    <w:rsid w:val="00431E54"/>
    <w:rsid w:val="00431E9A"/>
    <w:rsid w:val="004320D3"/>
    <w:rsid w:val="004320E6"/>
    <w:rsid w:val="004323D0"/>
    <w:rsid w:val="004324A2"/>
    <w:rsid w:val="00432528"/>
    <w:rsid w:val="00432932"/>
    <w:rsid w:val="00432A85"/>
    <w:rsid w:val="00432A8E"/>
    <w:rsid w:val="00432B6E"/>
    <w:rsid w:val="00432E67"/>
    <w:rsid w:val="00432E68"/>
    <w:rsid w:val="00433863"/>
    <w:rsid w:val="00433B94"/>
    <w:rsid w:val="00434015"/>
    <w:rsid w:val="004342C5"/>
    <w:rsid w:val="00434325"/>
    <w:rsid w:val="0043456C"/>
    <w:rsid w:val="004348C5"/>
    <w:rsid w:val="00434932"/>
    <w:rsid w:val="004349F7"/>
    <w:rsid w:val="00434A21"/>
    <w:rsid w:val="00434CE4"/>
    <w:rsid w:val="00434D0D"/>
    <w:rsid w:val="004350BA"/>
    <w:rsid w:val="00435802"/>
    <w:rsid w:val="004358FA"/>
    <w:rsid w:val="00435A1B"/>
    <w:rsid w:val="00435D51"/>
    <w:rsid w:val="00435E9A"/>
    <w:rsid w:val="00436758"/>
    <w:rsid w:val="00436860"/>
    <w:rsid w:val="00436BBA"/>
    <w:rsid w:val="00436D25"/>
    <w:rsid w:val="00437253"/>
    <w:rsid w:val="004375A1"/>
    <w:rsid w:val="004375D1"/>
    <w:rsid w:val="004379D2"/>
    <w:rsid w:val="00437DB4"/>
    <w:rsid w:val="004404A2"/>
    <w:rsid w:val="0044082E"/>
    <w:rsid w:val="0044098D"/>
    <w:rsid w:val="00440A2D"/>
    <w:rsid w:val="00440C89"/>
    <w:rsid w:val="00440F98"/>
    <w:rsid w:val="004416A0"/>
    <w:rsid w:val="00441AF8"/>
    <w:rsid w:val="00441B06"/>
    <w:rsid w:val="004423DE"/>
    <w:rsid w:val="004424F6"/>
    <w:rsid w:val="004426FE"/>
    <w:rsid w:val="004429EF"/>
    <w:rsid w:val="00442A1A"/>
    <w:rsid w:val="00442C1F"/>
    <w:rsid w:val="00442DCC"/>
    <w:rsid w:val="00443806"/>
    <w:rsid w:val="00443AE4"/>
    <w:rsid w:val="00443AEA"/>
    <w:rsid w:val="00443EBB"/>
    <w:rsid w:val="0044408A"/>
    <w:rsid w:val="0044429F"/>
    <w:rsid w:val="004442BA"/>
    <w:rsid w:val="00444495"/>
    <w:rsid w:val="00444508"/>
    <w:rsid w:val="00444509"/>
    <w:rsid w:val="00444DBA"/>
    <w:rsid w:val="00445096"/>
    <w:rsid w:val="0044513D"/>
    <w:rsid w:val="0044536C"/>
    <w:rsid w:val="00445B5C"/>
    <w:rsid w:val="00445DEB"/>
    <w:rsid w:val="00445FBF"/>
    <w:rsid w:val="0044605D"/>
    <w:rsid w:val="004461DD"/>
    <w:rsid w:val="00446341"/>
    <w:rsid w:val="0044666B"/>
    <w:rsid w:val="004467B6"/>
    <w:rsid w:val="004467C6"/>
    <w:rsid w:val="0044694C"/>
    <w:rsid w:val="00446A13"/>
    <w:rsid w:val="00446AD8"/>
    <w:rsid w:val="00446DD3"/>
    <w:rsid w:val="004474D4"/>
    <w:rsid w:val="00447576"/>
    <w:rsid w:val="00447A29"/>
    <w:rsid w:val="00447EA3"/>
    <w:rsid w:val="0045009B"/>
    <w:rsid w:val="00450A3E"/>
    <w:rsid w:val="00450DD9"/>
    <w:rsid w:val="00450FD5"/>
    <w:rsid w:val="00451137"/>
    <w:rsid w:val="0045113B"/>
    <w:rsid w:val="0045113E"/>
    <w:rsid w:val="0045127B"/>
    <w:rsid w:val="004513FE"/>
    <w:rsid w:val="004514A2"/>
    <w:rsid w:val="00451928"/>
    <w:rsid w:val="00451D14"/>
    <w:rsid w:val="00451FAA"/>
    <w:rsid w:val="00452731"/>
    <w:rsid w:val="00452D69"/>
    <w:rsid w:val="00452E3B"/>
    <w:rsid w:val="00452E5E"/>
    <w:rsid w:val="00452F7A"/>
    <w:rsid w:val="00453222"/>
    <w:rsid w:val="004535F3"/>
    <w:rsid w:val="00453AA8"/>
    <w:rsid w:val="00453F23"/>
    <w:rsid w:val="004541FD"/>
    <w:rsid w:val="00454311"/>
    <w:rsid w:val="004544EF"/>
    <w:rsid w:val="0045489F"/>
    <w:rsid w:val="00454A7B"/>
    <w:rsid w:val="00454AF8"/>
    <w:rsid w:val="00454BAB"/>
    <w:rsid w:val="00454BC1"/>
    <w:rsid w:val="00454C5D"/>
    <w:rsid w:val="00454D1F"/>
    <w:rsid w:val="00454D7D"/>
    <w:rsid w:val="00454F83"/>
    <w:rsid w:val="00455414"/>
    <w:rsid w:val="00455540"/>
    <w:rsid w:val="0045558E"/>
    <w:rsid w:val="0045580C"/>
    <w:rsid w:val="004559EF"/>
    <w:rsid w:val="00455A1A"/>
    <w:rsid w:val="00455B62"/>
    <w:rsid w:val="00455EA4"/>
    <w:rsid w:val="004565F8"/>
    <w:rsid w:val="004567AC"/>
    <w:rsid w:val="00456900"/>
    <w:rsid w:val="00456A29"/>
    <w:rsid w:val="004570C4"/>
    <w:rsid w:val="00457534"/>
    <w:rsid w:val="00457730"/>
    <w:rsid w:val="0045799C"/>
    <w:rsid w:val="00457A73"/>
    <w:rsid w:val="00457ACC"/>
    <w:rsid w:val="004600F6"/>
    <w:rsid w:val="00460457"/>
    <w:rsid w:val="0046063F"/>
    <w:rsid w:val="00460B08"/>
    <w:rsid w:val="00460CE5"/>
    <w:rsid w:val="00460D19"/>
    <w:rsid w:val="00460F8C"/>
    <w:rsid w:val="00461421"/>
    <w:rsid w:val="004617BA"/>
    <w:rsid w:val="00461920"/>
    <w:rsid w:val="00461E39"/>
    <w:rsid w:val="00461F7F"/>
    <w:rsid w:val="00461FA6"/>
    <w:rsid w:val="0046221A"/>
    <w:rsid w:val="00462336"/>
    <w:rsid w:val="0046270F"/>
    <w:rsid w:val="0046283C"/>
    <w:rsid w:val="004628B2"/>
    <w:rsid w:val="0046299E"/>
    <w:rsid w:val="00462B13"/>
    <w:rsid w:val="00462C08"/>
    <w:rsid w:val="00462F69"/>
    <w:rsid w:val="00463017"/>
    <w:rsid w:val="004630A9"/>
    <w:rsid w:val="004638F8"/>
    <w:rsid w:val="004639FB"/>
    <w:rsid w:val="00463A4F"/>
    <w:rsid w:val="00464124"/>
    <w:rsid w:val="004643BC"/>
    <w:rsid w:val="00464426"/>
    <w:rsid w:val="0046475A"/>
    <w:rsid w:val="0046482D"/>
    <w:rsid w:val="00464EF5"/>
    <w:rsid w:val="00464F80"/>
    <w:rsid w:val="00464FF5"/>
    <w:rsid w:val="00464FFD"/>
    <w:rsid w:val="004651F3"/>
    <w:rsid w:val="004656C0"/>
    <w:rsid w:val="00465E44"/>
    <w:rsid w:val="00465E50"/>
    <w:rsid w:val="00465FDA"/>
    <w:rsid w:val="00466218"/>
    <w:rsid w:val="004664D0"/>
    <w:rsid w:val="00466BDF"/>
    <w:rsid w:val="00467305"/>
    <w:rsid w:val="004676F6"/>
    <w:rsid w:val="00467A80"/>
    <w:rsid w:val="00467ABC"/>
    <w:rsid w:val="00467E05"/>
    <w:rsid w:val="0047006B"/>
    <w:rsid w:val="0047052B"/>
    <w:rsid w:val="0047052C"/>
    <w:rsid w:val="00470611"/>
    <w:rsid w:val="00470642"/>
    <w:rsid w:val="0047080E"/>
    <w:rsid w:val="00470865"/>
    <w:rsid w:val="00470876"/>
    <w:rsid w:val="00470A44"/>
    <w:rsid w:val="00470B42"/>
    <w:rsid w:val="00470B67"/>
    <w:rsid w:val="00470E31"/>
    <w:rsid w:val="00470EB6"/>
    <w:rsid w:val="00470ECD"/>
    <w:rsid w:val="0047136E"/>
    <w:rsid w:val="004713E7"/>
    <w:rsid w:val="00471561"/>
    <w:rsid w:val="00471613"/>
    <w:rsid w:val="004719C9"/>
    <w:rsid w:val="00471A4D"/>
    <w:rsid w:val="00471AB2"/>
    <w:rsid w:val="00471E45"/>
    <w:rsid w:val="00471E6F"/>
    <w:rsid w:val="00472254"/>
    <w:rsid w:val="004723FC"/>
    <w:rsid w:val="0047242E"/>
    <w:rsid w:val="004725CA"/>
    <w:rsid w:val="004727E6"/>
    <w:rsid w:val="00472862"/>
    <w:rsid w:val="00472E10"/>
    <w:rsid w:val="00472E8B"/>
    <w:rsid w:val="004730F6"/>
    <w:rsid w:val="00473249"/>
    <w:rsid w:val="004732E0"/>
    <w:rsid w:val="004736F1"/>
    <w:rsid w:val="00473874"/>
    <w:rsid w:val="00474027"/>
    <w:rsid w:val="004742D9"/>
    <w:rsid w:val="00474822"/>
    <w:rsid w:val="004748AB"/>
    <w:rsid w:val="004748D5"/>
    <w:rsid w:val="00474A02"/>
    <w:rsid w:val="00474AF7"/>
    <w:rsid w:val="00474D30"/>
    <w:rsid w:val="00474E36"/>
    <w:rsid w:val="00474E52"/>
    <w:rsid w:val="004754ED"/>
    <w:rsid w:val="004756C6"/>
    <w:rsid w:val="00475715"/>
    <w:rsid w:val="00475838"/>
    <w:rsid w:val="00475B31"/>
    <w:rsid w:val="00475CE1"/>
    <w:rsid w:val="00476048"/>
    <w:rsid w:val="00476080"/>
    <w:rsid w:val="004760B5"/>
    <w:rsid w:val="0047614F"/>
    <w:rsid w:val="00476711"/>
    <w:rsid w:val="004768BA"/>
    <w:rsid w:val="00476AEB"/>
    <w:rsid w:val="00476BDE"/>
    <w:rsid w:val="00476C2A"/>
    <w:rsid w:val="00476E97"/>
    <w:rsid w:val="00477657"/>
    <w:rsid w:val="00477A5B"/>
    <w:rsid w:val="00480B2A"/>
    <w:rsid w:val="00480D93"/>
    <w:rsid w:val="00480DE1"/>
    <w:rsid w:val="00480FF9"/>
    <w:rsid w:val="004810CF"/>
    <w:rsid w:val="004812B0"/>
    <w:rsid w:val="00481340"/>
    <w:rsid w:val="004814B3"/>
    <w:rsid w:val="004815C2"/>
    <w:rsid w:val="004818A1"/>
    <w:rsid w:val="004818D5"/>
    <w:rsid w:val="00481F78"/>
    <w:rsid w:val="00482465"/>
    <w:rsid w:val="004826CF"/>
    <w:rsid w:val="00482737"/>
    <w:rsid w:val="004828B2"/>
    <w:rsid w:val="004828ED"/>
    <w:rsid w:val="00482B8F"/>
    <w:rsid w:val="00482C3D"/>
    <w:rsid w:val="00482DD6"/>
    <w:rsid w:val="00482DFE"/>
    <w:rsid w:val="00482F54"/>
    <w:rsid w:val="00482FFB"/>
    <w:rsid w:val="004830AA"/>
    <w:rsid w:val="004835A5"/>
    <w:rsid w:val="00483737"/>
    <w:rsid w:val="00483858"/>
    <w:rsid w:val="00483AF3"/>
    <w:rsid w:val="00483E9E"/>
    <w:rsid w:val="00483EA9"/>
    <w:rsid w:val="00484066"/>
    <w:rsid w:val="0048428E"/>
    <w:rsid w:val="00484A4E"/>
    <w:rsid w:val="00484A6A"/>
    <w:rsid w:val="00484ABB"/>
    <w:rsid w:val="00484DF8"/>
    <w:rsid w:val="00484F00"/>
    <w:rsid w:val="004850A6"/>
    <w:rsid w:val="00485189"/>
    <w:rsid w:val="00485453"/>
    <w:rsid w:val="0048546D"/>
    <w:rsid w:val="004859C1"/>
    <w:rsid w:val="00485A12"/>
    <w:rsid w:val="00485C0A"/>
    <w:rsid w:val="00485C19"/>
    <w:rsid w:val="00485CF8"/>
    <w:rsid w:val="0048614A"/>
    <w:rsid w:val="00486649"/>
    <w:rsid w:val="004867B9"/>
    <w:rsid w:val="00486B32"/>
    <w:rsid w:val="00486F36"/>
    <w:rsid w:val="004871AC"/>
    <w:rsid w:val="004871D6"/>
    <w:rsid w:val="0048763E"/>
    <w:rsid w:val="00487EDC"/>
    <w:rsid w:val="00487FFD"/>
    <w:rsid w:val="004903B1"/>
    <w:rsid w:val="00490A4A"/>
    <w:rsid w:val="00490BD2"/>
    <w:rsid w:val="00491400"/>
    <w:rsid w:val="0049192C"/>
    <w:rsid w:val="00491BE4"/>
    <w:rsid w:val="00491D4B"/>
    <w:rsid w:val="00491F82"/>
    <w:rsid w:val="00492044"/>
    <w:rsid w:val="0049220C"/>
    <w:rsid w:val="00492783"/>
    <w:rsid w:val="0049283C"/>
    <w:rsid w:val="00492FB0"/>
    <w:rsid w:val="00493157"/>
    <w:rsid w:val="00493428"/>
    <w:rsid w:val="00493451"/>
    <w:rsid w:val="0049365E"/>
    <w:rsid w:val="004936E8"/>
    <w:rsid w:val="004937E4"/>
    <w:rsid w:val="004939E0"/>
    <w:rsid w:val="00493A19"/>
    <w:rsid w:val="00493C5A"/>
    <w:rsid w:val="00493D0C"/>
    <w:rsid w:val="00493D86"/>
    <w:rsid w:val="00493FBF"/>
    <w:rsid w:val="004942B5"/>
    <w:rsid w:val="0049470F"/>
    <w:rsid w:val="0049474C"/>
    <w:rsid w:val="00494DAD"/>
    <w:rsid w:val="00495060"/>
    <w:rsid w:val="004950C9"/>
    <w:rsid w:val="00495493"/>
    <w:rsid w:val="0049579F"/>
    <w:rsid w:val="004959DC"/>
    <w:rsid w:val="00495A78"/>
    <w:rsid w:val="00495FFC"/>
    <w:rsid w:val="0049618F"/>
    <w:rsid w:val="0049623F"/>
    <w:rsid w:val="004964F6"/>
    <w:rsid w:val="0049652D"/>
    <w:rsid w:val="004967C5"/>
    <w:rsid w:val="00496D53"/>
    <w:rsid w:val="004973CB"/>
    <w:rsid w:val="004975D3"/>
    <w:rsid w:val="004A09F2"/>
    <w:rsid w:val="004A0BDF"/>
    <w:rsid w:val="004A0E1D"/>
    <w:rsid w:val="004A1196"/>
    <w:rsid w:val="004A13A5"/>
    <w:rsid w:val="004A14DA"/>
    <w:rsid w:val="004A16A1"/>
    <w:rsid w:val="004A16BC"/>
    <w:rsid w:val="004A1E2A"/>
    <w:rsid w:val="004A2072"/>
    <w:rsid w:val="004A211E"/>
    <w:rsid w:val="004A294B"/>
    <w:rsid w:val="004A294F"/>
    <w:rsid w:val="004A2E90"/>
    <w:rsid w:val="004A3338"/>
    <w:rsid w:val="004A382E"/>
    <w:rsid w:val="004A3B43"/>
    <w:rsid w:val="004A4236"/>
    <w:rsid w:val="004A446A"/>
    <w:rsid w:val="004A47C4"/>
    <w:rsid w:val="004A49DA"/>
    <w:rsid w:val="004A4AD2"/>
    <w:rsid w:val="004A5238"/>
    <w:rsid w:val="004A52D6"/>
    <w:rsid w:val="004A5940"/>
    <w:rsid w:val="004A5C6D"/>
    <w:rsid w:val="004A627E"/>
    <w:rsid w:val="004A6374"/>
    <w:rsid w:val="004A6626"/>
    <w:rsid w:val="004A6663"/>
    <w:rsid w:val="004A6853"/>
    <w:rsid w:val="004A68A5"/>
    <w:rsid w:val="004A69E2"/>
    <w:rsid w:val="004A6D0F"/>
    <w:rsid w:val="004A6FC8"/>
    <w:rsid w:val="004A753E"/>
    <w:rsid w:val="004A764F"/>
    <w:rsid w:val="004A78DA"/>
    <w:rsid w:val="004A7B47"/>
    <w:rsid w:val="004A7B8D"/>
    <w:rsid w:val="004A7DD7"/>
    <w:rsid w:val="004B022E"/>
    <w:rsid w:val="004B02F9"/>
    <w:rsid w:val="004B062D"/>
    <w:rsid w:val="004B06FF"/>
    <w:rsid w:val="004B07B8"/>
    <w:rsid w:val="004B07E8"/>
    <w:rsid w:val="004B09BF"/>
    <w:rsid w:val="004B0CFF"/>
    <w:rsid w:val="004B0EA3"/>
    <w:rsid w:val="004B111F"/>
    <w:rsid w:val="004B1335"/>
    <w:rsid w:val="004B1640"/>
    <w:rsid w:val="004B1AB5"/>
    <w:rsid w:val="004B1E23"/>
    <w:rsid w:val="004B2CA3"/>
    <w:rsid w:val="004B3513"/>
    <w:rsid w:val="004B35E9"/>
    <w:rsid w:val="004B36DA"/>
    <w:rsid w:val="004B371A"/>
    <w:rsid w:val="004B3A98"/>
    <w:rsid w:val="004B3BF8"/>
    <w:rsid w:val="004B3C8C"/>
    <w:rsid w:val="004B4635"/>
    <w:rsid w:val="004B4978"/>
    <w:rsid w:val="004B49EC"/>
    <w:rsid w:val="004B4CBB"/>
    <w:rsid w:val="004B5039"/>
    <w:rsid w:val="004B561B"/>
    <w:rsid w:val="004B56FB"/>
    <w:rsid w:val="004B5A8F"/>
    <w:rsid w:val="004B5FB2"/>
    <w:rsid w:val="004B5FCF"/>
    <w:rsid w:val="004B60B9"/>
    <w:rsid w:val="004B6153"/>
    <w:rsid w:val="004B6418"/>
    <w:rsid w:val="004B6549"/>
    <w:rsid w:val="004B6F69"/>
    <w:rsid w:val="004B6FB0"/>
    <w:rsid w:val="004B72C1"/>
    <w:rsid w:val="004B7989"/>
    <w:rsid w:val="004B7AED"/>
    <w:rsid w:val="004B7DCA"/>
    <w:rsid w:val="004B7EA2"/>
    <w:rsid w:val="004C0362"/>
    <w:rsid w:val="004C0458"/>
    <w:rsid w:val="004C0BCE"/>
    <w:rsid w:val="004C0C66"/>
    <w:rsid w:val="004C0D32"/>
    <w:rsid w:val="004C0D51"/>
    <w:rsid w:val="004C0F9B"/>
    <w:rsid w:val="004C1055"/>
    <w:rsid w:val="004C120F"/>
    <w:rsid w:val="004C1282"/>
    <w:rsid w:val="004C13AD"/>
    <w:rsid w:val="004C1A08"/>
    <w:rsid w:val="004C1AC5"/>
    <w:rsid w:val="004C1B74"/>
    <w:rsid w:val="004C1E20"/>
    <w:rsid w:val="004C1E26"/>
    <w:rsid w:val="004C1F2B"/>
    <w:rsid w:val="004C204F"/>
    <w:rsid w:val="004C2078"/>
    <w:rsid w:val="004C229A"/>
    <w:rsid w:val="004C23A0"/>
    <w:rsid w:val="004C2741"/>
    <w:rsid w:val="004C28FA"/>
    <w:rsid w:val="004C2C14"/>
    <w:rsid w:val="004C30CB"/>
    <w:rsid w:val="004C3215"/>
    <w:rsid w:val="004C359C"/>
    <w:rsid w:val="004C359F"/>
    <w:rsid w:val="004C3CD2"/>
    <w:rsid w:val="004C3D0C"/>
    <w:rsid w:val="004C3D63"/>
    <w:rsid w:val="004C3E12"/>
    <w:rsid w:val="004C3F05"/>
    <w:rsid w:val="004C412C"/>
    <w:rsid w:val="004C42BF"/>
    <w:rsid w:val="004C4446"/>
    <w:rsid w:val="004C4C21"/>
    <w:rsid w:val="004C50EA"/>
    <w:rsid w:val="004C525C"/>
    <w:rsid w:val="004C53D8"/>
    <w:rsid w:val="004C5631"/>
    <w:rsid w:val="004C5984"/>
    <w:rsid w:val="004C61A1"/>
    <w:rsid w:val="004C6254"/>
    <w:rsid w:val="004C6290"/>
    <w:rsid w:val="004C66C7"/>
    <w:rsid w:val="004C6DB4"/>
    <w:rsid w:val="004C6F2C"/>
    <w:rsid w:val="004C71AB"/>
    <w:rsid w:val="004C7541"/>
    <w:rsid w:val="004C75F5"/>
    <w:rsid w:val="004C77EE"/>
    <w:rsid w:val="004C7973"/>
    <w:rsid w:val="004C7ABD"/>
    <w:rsid w:val="004C7FB0"/>
    <w:rsid w:val="004D084F"/>
    <w:rsid w:val="004D0A7F"/>
    <w:rsid w:val="004D1173"/>
    <w:rsid w:val="004D11BC"/>
    <w:rsid w:val="004D11E2"/>
    <w:rsid w:val="004D1777"/>
    <w:rsid w:val="004D1AF0"/>
    <w:rsid w:val="004D1ED3"/>
    <w:rsid w:val="004D1F46"/>
    <w:rsid w:val="004D21F5"/>
    <w:rsid w:val="004D22C1"/>
    <w:rsid w:val="004D2648"/>
    <w:rsid w:val="004D273F"/>
    <w:rsid w:val="004D2796"/>
    <w:rsid w:val="004D291C"/>
    <w:rsid w:val="004D2BA0"/>
    <w:rsid w:val="004D33E7"/>
    <w:rsid w:val="004D34CA"/>
    <w:rsid w:val="004D3724"/>
    <w:rsid w:val="004D3F5B"/>
    <w:rsid w:val="004D4106"/>
    <w:rsid w:val="004D44D5"/>
    <w:rsid w:val="004D4529"/>
    <w:rsid w:val="004D4755"/>
    <w:rsid w:val="004D487E"/>
    <w:rsid w:val="004D49E9"/>
    <w:rsid w:val="004D4ACB"/>
    <w:rsid w:val="004D53BD"/>
    <w:rsid w:val="004D54C6"/>
    <w:rsid w:val="004D55F2"/>
    <w:rsid w:val="004D5867"/>
    <w:rsid w:val="004D587F"/>
    <w:rsid w:val="004D5BB2"/>
    <w:rsid w:val="004D5D1A"/>
    <w:rsid w:val="004D5D79"/>
    <w:rsid w:val="004D5E96"/>
    <w:rsid w:val="004D600D"/>
    <w:rsid w:val="004D6A6F"/>
    <w:rsid w:val="004D6AEA"/>
    <w:rsid w:val="004D745E"/>
    <w:rsid w:val="004D766D"/>
    <w:rsid w:val="004D79B1"/>
    <w:rsid w:val="004D7AEA"/>
    <w:rsid w:val="004D7D67"/>
    <w:rsid w:val="004D7ECE"/>
    <w:rsid w:val="004E0290"/>
    <w:rsid w:val="004E0357"/>
    <w:rsid w:val="004E04BF"/>
    <w:rsid w:val="004E0749"/>
    <w:rsid w:val="004E0770"/>
    <w:rsid w:val="004E0995"/>
    <w:rsid w:val="004E0A8C"/>
    <w:rsid w:val="004E0EA4"/>
    <w:rsid w:val="004E111C"/>
    <w:rsid w:val="004E1451"/>
    <w:rsid w:val="004E1867"/>
    <w:rsid w:val="004E18AB"/>
    <w:rsid w:val="004E1E5A"/>
    <w:rsid w:val="004E1F74"/>
    <w:rsid w:val="004E1FA3"/>
    <w:rsid w:val="004E24A1"/>
    <w:rsid w:val="004E276C"/>
    <w:rsid w:val="004E27A6"/>
    <w:rsid w:val="004E28F0"/>
    <w:rsid w:val="004E3690"/>
    <w:rsid w:val="004E3C60"/>
    <w:rsid w:val="004E427E"/>
    <w:rsid w:val="004E4484"/>
    <w:rsid w:val="004E4512"/>
    <w:rsid w:val="004E4626"/>
    <w:rsid w:val="004E464D"/>
    <w:rsid w:val="004E46F6"/>
    <w:rsid w:val="004E4733"/>
    <w:rsid w:val="004E4797"/>
    <w:rsid w:val="004E494A"/>
    <w:rsid w:val="004E49C7"/>
    <w:rsid w:val="004E50E3"/>
    <w:rsid w:val="004E520E"/>
    <w:rsid w:val="004E53E9"/>
    <w:rsid w:val="004E5438"/>
    <w:rsid w:val="004E5B05"/>
    <w:rsid w:val="004E5B47"/>
    <w:rsid w:val="004E5BE2"/>
    <w:rsid w:val="004E5CE0"/>
    <w:rsid w:val="004E5DBD"/>
    <w:rsid w:val="004E5FE2"/>
    <w:rsid w:val="004E61B1"/>
    <w:rsid w:val="004E6686"/>
    <w:rsid w:val="004E6C70"/>
    <w:rsid w:val="004E71BF"/>
    <w:rsid w:val="004E7405"/>
    <w:rsid w:val="004E7563"/>
    <w:rsid w:val="004E7996"/>
    <w:rsid w:val="004E7A1D"/>
    <w:rsid w:val="004E7DDD"/>
    <w:rsid w:val="004E7E80"/>
    <w:rsid w:val="004E7ED1"/>
    <w:rsid w:val="004F0195"/>
    <w:rsid w:val="004F023A"/>
    <w:rsid w:val="004F0402"/>
    <w:rsid w:val="004F0475"/>
    <w:rsid w:val="004F0EA3"/>
    <w:rsid w:val="004F0F5F"/>
    <w:rsid w:val="004F1036"/>
    <w:rsid w:val="004F12C6"/>
    <w:rsid w:val="004F13FA"/>
    <w:rsid w:val="004F1721"/>
    <w:rsid w:val="004F1952"/>
    <w:rsid w:val="004F1B8E"/>
    <w:rsid w:val="004F1E23"/>
    <w:rsid w:val="004F204A"/>
    <w:rsid w:val="004F2160"/>
    <w:rsid w:val="004F2293"/>
    <w:rsid w:val="004F236E"/>
    <w:rsid w:val="004F275E"/>
    <w:rsid w:val="004F296C"/>
    <w:rsid w:val="004F2DC7"/>
    <w:rsid w:val="004F2EEE"/>
    <w:rsid w:val="004F3958"/>
    <w:rsid w:val="004F44BE"/>
    <w:rsid w:val="004F44F5"/>
    <w:rsid w:val="004F4635"/>
    <w:rsid w:val="004F466B"/>
    <w:rsid w:val="004F47B9"/>
    <w:rsid w:val="004F48D3"/>
    <w:rsid w:val="004F4C5B"/>
    <w:rsid w:val="004F52EC"/>
    <w:rsid w:val="004F53E9"/>
    <w:rsid w:val="004F5506"/>
    <w:rsid w:val="004F5B9D"/>
    <w:rsid w:val="004F5DFE"/>
    <w:rsid w:val="004F5F3C"/>
    <w:rsid w:val="004F61B7"/>
    <w:rsid w:val="004F6307"/>
    <w:rsid w:val="004F6C1F"/>
    <w:rsid w:val="004F6CCC"/>
    <w:rsid w:val="004F6D60"/>
    <w:rsid w:val="004F6E58"/>
    <w:rsid w:val="004F6FE6"/>
    <w:rsid w:val="004F7063"/>
    <w:rsid w:val="004F7698"/>
    <w:rsid w:val="004F7981"/>
    <w:rsid w:val="004F7AF8"/>
    <w:rsid w:val="004F7E2E"/>
    <w:rsid w:val="0050005C"/>
    <w:rsid w:val="0050006D"/>
    <w:rsid w:val="00500159"/>
    <w:rsid w:val="00500993"/>
    <w:rsid w:val="005009E7"/>
    <w:rsid w:val="00500A9D"/>
    <w:rsid w:val="00500AED"/>
    <w:rsid w:val="00500BCA"/>
    <w:rsid w:val="00500CF0"/>
    <w:rsid w:val="00501278"/>
    <w:rsid w:val="00501559"/>
    <w:rsid w:val="005016C2"/>
    <w:rsid w:val="005017AA"/>
    <w:rsid w:val="005018C8"/>
    <w:rsid w:val="00501900"/>
    <w:rsid w:val="005019C1"/>
    <w:rsid w:val="005019CE"/>
    <w:rsid w:val="00501A5B"/>
    <w:rsid w:val="00501AC4"/>
    <w:rsid w:val="00501C42"/>
    <w:rsid w:val="00501D88"/>
    <w:rsid w:val="00501E02"/>
    <w:rsid w:val="00501FAE"/>
    <w:rsid w:val="00502520"/>
    <w:rsid w:val="005029EA"/>
    <w:rsid w:val="00502B83"/>
    <w:rsid w:val="00502B94"/>
    <w:rsid w:val="00502C39"/>
    <w:rsid w:val="00502CDC"/>
    <w:rsid w:val="0050352B"/>
    <w:rsid w:val="005035DB"/>
    <w:rsid w:val="0050362F"/>
    <w:rsid w:val="005044FD"/>
    <w:rsid w:val="005047FD"/>
    <w:rsid w:val="00504CBF"/>
    <w:rsid w:val="00504D52"/>
    <w:rsid w:val="00504E66"/>
    <w:rsid w:val="005052E6"/>
    <w:rsid w:val="005054CE"/>
    <w:rsid w:val="00505513"/>
    <w:rsid w:val="005055AD"/>
    <w:rsid w:val="005055E7"/>
    <w:rsid w:val="005056B9"/>
    <w:rsid w:val="00505A02"/>
    <w:rsid w:val="00505A25"/>
    <w:rsid w:val="00505ADA"/>
    <w:rsid w:val="00505B4F"/>
    <w:rsid w:val="00505C93"/>
    <w:rsid w:val="00506072"/>
    <w:rsid w:val="00506382"/>
    <w:rsid w:val="005069A4"/>
    <w:rsid w:val="00506B5A"/>
    <w:rsid w:val="00506C0D"/>
    <w:rsid w:val="00506C79"/>
    <w:rsid w:val="00507015"/>
    <w:rsid w:val="005071B5"/>
    <w:rsid w:val="00507492"/>
    <w:rsid w:val="0050766C"/>
    <w:rsid w:val="005078A9"/>
    <w:rsid w:val="005078D2"/>
    <w:rsid w:val="00507B2F"/>
    <w:rsid w:val="00507D67"/>
    <w:rsid w:val="00507E53"/>
    <w:rsid w:val="00507FE0"/>
    <w:rsid w:val="005100B9"/>
    <w:rsid w:val="005104E5"/>
    <w:rsid w:val="00510628"/>
    <w:rsid w:val="00510C33"/>
    <w:rsid w:val="00510E9E"/>
    <w:rsid w:val="005114B4"/>
    <w:rsid w:val="005115B0"/>
    <w:rsid w:val="005115E1"/>
    <w:rsid w:val="00511695"/>
    <w:rsid w:val="00511D35"/>
    <w:rsid w:val="00511D69"/>
    <w:rsid w:val="00512064"/>
    <w:rsid w:val="0051206F"/>
    <w:rsid w:val="0051213E"/>
    <w:rsid w:val="00512229"/>
    <w:rsid w:val="00512939"/>
    <w:rsid w:val="00512C1C"/>
    <w:rsid w:val="00512C7E"/>
    <w:rsid w:val="00512CAF"/>
    <w:rsid w:val="00512E73"/>
    <w:rsid w:val="005130D9"/>
    <w:rsid w:val="00513189"/>
    <w:rsid w:val="00513274"/>
    <w:rsid w:val="00513535"/>
    <w:rsid w:val="00513571"/>
    <w:rsid w:val="00513577"/>
    <w:rsid w:val="0051411A"/>
    <w:rsid w:val="005141D8"/>
    <w:rsid w:val="005144CB"/>
    <w:rsid w:val="005147EC"/>
    <w:rsid w:val="00514DE6"/>
    <w:rsid w:val="005157CB"/>
    <w:rsid w:val="00515AA5"/>
    <w:rsid w:val="00515FDC"/>
    <w:rsid w:val="005160A7"/>
    <w:rsid w:val="00516615"/>
    <w:rsid w:val="00516959"/>
    <w:rsid w:val="005169FE"/>
    <w:rsid w:val="00516EEC"/>
    <w:rsid w:val="00517372"/>
    <w:rsid w:val="005177D9"/>
    <w:rsid w:val="00520094"/>
    <w:rsid w:val="005200D1"/>
    <w:rsid w:val="005203BD"/>
    <w:rsid w:val="00520551"/>
    <w:rsid w:val="005206AD"/>
    <w:rsid w:val="005207C3"/>
    <w:rsid w:val="00520D81"/>
    <w:rsid w:val="00520EA3"/>
    <w:rsid w:val="00521000"/>
    <w:rsid w:val="00521384"/>
    <w:rsid w:val="00521472"/>
    <w:rsid w:val="00521782"/>
    <w:rsid w:val="00521AA6"/>
    <w:rsid w:val="00521C29"/>
    <w:rsid w:val="0052214D"/>
    <w:rsid w:val="005226FB"/>
    <w:rsid w:val="00522A6E"/>
    <w:rsid w:val="00522C59"/>
    <w:rsid w:val="00522E13"/>
    <w:rsid w:val="0052319B"/>
    <w:rsid w:val="005234E8"/>
    <w:rsid w:val="005235A4"/>
    <w:rsid w:val="0052375D"/>
    <w:rsid w:val="0052427A"/>
    <w:rsid w:val="005243CA"/>
    <w:rsid w:val="0052472C"/>
    <w:rsid w:val="00524751"/>
    <w:rsid w:val="00524881"/>
    <w:rsid w:val="00524EF6"/>
    <w:rsid w:val="0052550B"/>
    <w:rsid w:val="00525F9A"/>
    <w:rsid w:val="00525FC3"/>
    <w:rsid w:val="00526219"/>
    <w:rsid w:val="00526407"/>
    <w:rsid w:val="0052642A"/>
    <w:rsid w:val="005264A6"/>
    <w:rsid w:val="005266AC"/>
    <w:rsid w:val="005267FF"/>
    <w:rsid w:val="00526ACD"/>
    <w:rsid w:val="00526DCA"/>
    <w:rsid w:val="00527709"/>
    <w:rsid w:val="00527A51"/>
    <w:rsid w:val="00527A76"/>
    <w:rsid w:val="00527D95"/>
    <w:rsid w:val="00530159"/>
    <w:rsid w:val="005301CF"/>
    <w:rsid w:val="0053040B"/>
    <w:rsid w:val="0053046D"/>
    <w:rsid w:val="0053049D"/>
    <w:rsid w:val="0053075E"/>
    <w:rsid w:val="005309D5"/>
    <w:rsid w:val="00530E63"/>
    <w:rsid w:val="00530F11"/>
    <w:rsid w:val="00531036"/>
    <w:rsid w:val="0053181C"/>
    <w:rsid w:val="00531B2A"/>
    <w:rsid w:val="00531E86"/>
    <w:rsid w:val="00531E8E"/>
    <w:rsid w:val="00531EE1"/>
    <w:rsid w:val="0053248E"/>
    <w:rsid w:val="0053256F"/>
    <w:rsid w:val="00532982"/>
    <w:rsid w:val="00532C0D"/>
    <w:rsid w:val="00532DE3"/>
    <w:rsid w:val="0053314D"/>
    <w:rsid w:val="00533494"/>
    <w:rsid w:val="005335A3"/>
    <w:rsid w:val="005337BB"/>
    <w:rsid w:val="005339F1"/>
    <w:rsid w:val="00533F2D"/>
    <w:rsid w:val="00533F71"/>
    <w:rsid w:val="00533FC9"/>
    <w:rsid w:val="0053425B"/>
    <w:rsid w:val="00534409"/>
    <w:rsid w:val="005346DF"/>
    <w:rsid w:val="00534755"/>
    <w:rsid w:val="005347E5"/>
    <w:rsid w:val="00534B54"/>
    <w:rsid w:val="00534C88"/>
    <w:rsid w:val="0053524F"/>
    <w:rsid w:val="0053543D"/>
    <w:rsid w:val="005359C9"/>
    <w:rsid w:val="00535A7E"/>
    <w:rsid w:val="00535C5F"/>
    <w:rsid w:val="00535D75"/>
    <w:rsid w:val="00535D87"/>
    <w:rsid w:val="00536101"/>
    <w:rsid w:val="00536135"/>
    <w:rsid w:val="005362EC"/>
    <w:rsid w:val="00536602"/>
    <w:rsid w:val="00536812"/>
    <w:rsid w:val="00536978"/>
    <w:rsid w:val="00537009"/>
    <w:rsid w:val="005370CE"/>
    <w:rsid w:val="0053731C"/>
    <w:rsid w:val="0053731D"/>
    <w:rsid w:val="00537340"/>
    <w:rsid w:val="00537574"/>
    <w:rsid w:val="005376BD"/>
    <w:rsid w:val="00537993"/>
    <w:rsid w:val="00537B6E"/>
    <w:rsid w:val="00537BEB"/>
    <w:rsid w:val="00537FAB"/>
    <w:rsid w:val="00540326"/>
    <w:rsid w:val="0054037E"/>
    <w:rsid w:val="00540397"/>
    <w:rsid w:val="005408C2"/>
    <w:rsid w:val="00540B14"/>
    <w:rsid w:val="00541120"/>
    <w:rsid w:val="00541190"/>
    <w:rsid w:val="0054190B"/>
    <w:rsid w:val="00541995"/>
    <w:rsid w:val="00541C8C"/>
    <w:rsid w:val="00541EE6"/>
    <w:rsid w:val="00542A12"/>
    <w:rsid w:val="00542C96"/>
    <w:rsid w:val="00542D7D"/>
    <w:rsid w:val="00543162"/>
    <w:rsid w:val="00543451"/>
    <w:rsid w:val="00543577"/>
    <w:rsid w:val="005436DD"/>
    <w:rsid w:val="00543A13"/>
    <w:rsid w:val="00543A24"/>
    <w:rsid w:val="00543A6E"/>
    <w:rsid w:val="00543CFF"/>
    <w:rsid w:val="00543ED7"/>
    <w:rsid w:val="005445B1"/>
    <w:rsid w:val="005445FE"/>
    <w:rsid w:val="0054464D"/>
    <w:rsid w:val="0054476C"/>
    <w:rsid w:val="00544853"/>
    <w:rsid w:val="00544C51"/>
    <w:rsid w:val="005453D3"/>
    <w:rsid w:val="0054553E"/>
    <w:rsid w:val="005455AE"/>
    <w:rsid w:val="00545DA7"/>
    <w:rsid w:val="00545FB1"/>
    <w:rsid w:val="00546070"/>
    <w:rsid w:val="005460F4"/>
    <w:rsid w:val="005462CD"/>
    <w:rsid w:val="00546304"/>
    <w:rsid w:val="00546656"/>
    <w:rsid w:val="005466E7"/>
    <w:rsid w:val="005468A8"/>
    <w:rsid w:val="00546BF4"/>
    <w:rsid w:val="00546C96"/>
    <w:rsid w:val="00546D8B"/>
    <w:rsid w:val="00547374"/>
    <w:rsid w:val="00547429"/>
    <w:rsid w:val="00547486"/>
    <w:rsid w:val="00547531"/>
    <w:rsid w:val="00547629"/>
    <w:rsid w:val="0054762D"/>
    <w:rsid w:val="00547660"/>
    <w:rsid w:val="0054790A"/>
    <w:rsid w:val="00547A24"/>
    <w:rsid w:val="00547BE3"/>
    <w:rsid w:val="00547CA8"/>
    <w:rsid w:val="00547CC6"/>
    <w:rsid w:val="00547D44"/>
    <w:rsid w:val="00547E66"/>
    <w:rsid w:val="00547E9F"/>
    <w:rsid w:val="00550236"/>
    <w:rsid w:val="0055059F"/>
    <w:rsid w:val="0055072E"/>
    <w:rsid w:val="00550F05"/>
    <w:rsid w:val="0055144F"/>
    <w:rsid w:val="005514CC"/>
    <w:rsid w:val="005518A0"/>
    <w:rsid w:val="00551954"/>
    <w:rsid w:val="00551AAC"/>
    <w:rsid w:val="0055270E"/>
    <w:rsid w:val="00552B50"/>
    <w:rsid w:val="00552FB7"/>
    <w:rsid w:val="005531E1"/>
    <w:rsid w:val="00553781"/>
    <w:rsid w:val="005539F0"/>
    <w:rsid w:val="00553C86"/>
    <w:rsid w:val="00553F6E"/>
    <w:rsid w:val="00553F99"/>
    <w:rsid w:val="005540C9"/>
    <w:rsid w:val="00554496"/>
    <w:rsid w:val="005544F8"/>
    <w:rsid w:val="00554C9E"/>
    <w:rsid w:val="00554F10"/>
    <w:rsid w:val="005556C6"/>
    <w:rsid w:val="00555747"/>
    <w:rsid w:val="00555853"/>
    <w:rsid w:val="005559F5"/>
    <w:rsid w:val="00555BF9"/>
    <w:rsid w:val="00555C1D"/>
    <w:rsid w:val="00555EF9"/>
    <w:rsid w:val="0055610F"/>
    <w:rsid w:val="005561B1"/>
    <w:rsid w:val="00556490"/>
    <w:rsid w:val="00556628"/>
    <w:rsid w:val="005567B7"/>
    <w:rsid w:val="00556C0B"/>
    <w:rsid w:val="00556E69"/>
    <w:rsid w:val="0055730B"/>
    <w:rsid w:val="005574A0"/>
    <w:rsid w:val="00557931"/>
    <w:rsid w:val="00557C08"/>
    <w:rsid w:val="00557C0C"/>
    <w:rsid w:val="00557CC0"/>
    <w:rsid w:val="00557CC8"/>
    <w:rsid w:val="00557F53"/>
    <w:rsid w:val="00557FAD"/>
    <w:rsid w:val="0056000A"/>
    <w:rsid w:val="005601CC"/>
    <w:rsid w:val="005607E7"/>
    <w:rsid w:val="00560863"/>
    <w:rsid w:val="00560A0B"/>
    <w:rsid w:val="00560A8F"/>
    <w:rsid w:val="00560CE7"/>
    <w:rsid w:val="00560D34"/>
    <w:rsid w:val="00561417"/>
    <w:rsid w:val="005614DB"/>
    <w:rsid w:val="00562072"/>
    <w:rsid w:val="005622DB"/>
    <w:rsid w:val="0056237B"/>
    <w:rsid w:val="00563071"/>
    <w:rsid w:val="0056309F"/>
    <w:rsid w:val="00563139"/>
    <w:rsid w:val="00563272"/>
    <w:rsid w:val="00563469"/>
    <w:rsid w:val="00563557"/>
    <w:rsid w:val="005637CE"/>
    <w:rsid w:val="005639EE"/>
    <w:rsid w:val="00563A79"/>
    <w:rsid w:val="00563C1C"/>
    <w:rsid w:val="00563D5A"/>
    <w:rsid w:val="00563D88"/>
    <w:rsid w:val="00563FDC"/>
    <w:rsid w:val="005645C7"/>
    <w:rsid w:val="0056464C"/>
    <w:rsid w:val="005648AC"/>
    <w:rsid w:val="00564E6B"/>
    <w:rsid w:val="00565339"/>
    <w:rsid w:val="005654C9"/>
    <w:rsid w:val="0056555F"/>
    <w:rsid w:val="00565ACF"/>
    <w:rsid w:val="00565CA7"/>
    <w:rsid w:val="00565EE7"/>
    <w:rsid w:val="005661E3"/>
    <w:rsid w:val="0056632A"/>
    <w:rsid w:val="00566573"/>
    <w:rsid w:val="00566A50"/>
    <w:rsid w:val="00566DFE"/>
    <w:rsid w:val="005675A6"/>
    <w:rsid w:val="005675C6"/>
    <w:rsid w:val="0056782D"/>
    <w:rsid w:val="00567948"/>
    <w:rsid w:val="005679BA"/>
    <w:rsid w:val="00567E6E"/>
    <w:rsid w:val="00567F2B"/>
    <w:rsid w:val="00570020"/>
    <w:rsid w:val="005701C2"/>
    <w:rsid w:val="00570318"/>
    <w:rsid w:val="005704F0"/>
    <w:rsid w:val="00570C7E"/>
    <w:rsid w:val="00570D80"/>
    <w:rsid w:val="00570DD2"/>
    <w:rsid w:val="0057105E"/>
    <w:rsid w:val="00571122"/>
    <w:rsid w:val="00571242"/>
    <w:rsid w:val="0057162B"/>
    <w:rsid w:val="005716D4"/>
    <w:rsid w:val="00571D96"/>
    <w:rsid w:val="00571DBF"/>
    <w:rsid w:val="00571F42"/>
    <w:rsid w:val="00571F4E"/>
    <w:rsid w:val="005722C7"/>
    <w:rsid w:val="00572550"/>
    <w:rsid w:val="0057292F"/>
    <w:rsid w:val="00572A47"/>
    <w:rsid w:val="00572D62"/>
    <w:rsid w:val="00572D8B"/>
    <w:rsid w:val="00572E69"/>
    <w:rsid w:val="00572EA3"/>
    <w:rsid w:val="00573016"/>
    <w:rsid w:val="0057323D"/>
    <w:rsid w:val="00573475"/>
    <w:rsid w:val="00573B61"/>
    <w:rsid w:val="00573BAC"/>
    <w:rsid w:val="00573E5F"/>
    <w:rsid w:val="00573EA9"/>
    <w:rsid w:val="00573F4E"/>
    <w:rsid w:val="00573F76"/>
    <w:rsid w:val="00574441"/>
    <w:rsid w:val="0057454F"/>
    <w:rsid w:val="00574636"/>
    <w:rsid w:val="00574AB0"/>
    <w:rsid w:val="00574C3C"/>
    <w:rsid w:val="00574C85"/>
    <w:rsid w:val="00574CFF"/>
    <w:rsid w:val="00575711"/>
    <w:rsid w:val="005757A4"/>
    <w:rsid w:val="00575956"/>
    <w:rsid w:val="00575AF1"/>
    <w:rsid w:val="00575FA3"/>
    <w:rsid w:val="0057611D"/>
    <w:rsid w:val="00576354"/>
    <w:rsid w:val="00576826"/>
    <w:rsid w:val="00576895"/>
    <w:rsid w:val="00576910"/>
    <w:rsid w:val="00576A7D"/>
    <w:rsid w:val="005771E7"/>
    <w:rsid w:val="005774D1"/>
    <w:rsid w:val="00577659"/>
    <w:rsid w:val="005779B1"/>
    <w:rsid w:val="00577B7D"/>
    <w:rsid w:val="005800AF"/>
    <w:rsid w:val="005801FE"/>
    <w:rsid w:val="00580656"/>
    <w:rsid w:val="00580E0C"/>
    <w:rsid w:val="00581010"/>
    <w:rsid w:val="005811FA"/>
    <w:rsid w:val="00581337"/>
    <w:rsid w:val="0058168E"/>
    <w:rsid w:val="005816B9"/>
    <w:rsid w:val="005816BC"/>
    <w:rsid w:val="00581858"/>
    <w:rsid w:val="0058195D"/>
    <w:rsid w:val="00581D38"/>
    <w:rsid w:val="00581DB5"/>
    <w:rsid w:val="00581F34"/>
    <w:rsid w:val="0058203B"/>
    <w:rsid w:val="00582346"/>
    <w:rsid w:val="00582646"/>
    <w:rsid w:val="00582764"/>
    <w:rsid w:val="00582769"/>
    <w:rsid w:val="00582805"/>
    <w:rsid w:val="00582F91"/>
    <w:rsid w:val="005830D0"/>
    <w:rsid w:val="00583169"/>
    <w:rsid w:val="00583190"/>
    <w:rsid w:val="0058320D"/>
    <w:rsid w:val="0058349D"/>
    <w:rsid w:val="005838F8"/>
    <w:rsid w:val="00583C20"/>
    <w:rsid w:val="00583DA9"/>
    <w:rsid w:val="00583EED"/>
    <w:rsid w:val="00584391"/>
    <w:rsid w:val="00584585"/>
    <w:rsid w:val="005847FD"/>
    <w:rsid w:val="00584DDE"/>
    <w:rsid w:val="0058509F"/>
    <w:rsid w:val="005853DA"/>
    <w:rsid w:val="0058555F"/>
    <w:rsid w:val="0058559D"/>
    <w:rsid w:val="0058563D"/>
    <w:rsid w:val="00585B3C"/>
    <w:rsid w:val="00585E65"/>
    <w:rsid w:val="00585FB4"/>
    <w:rsid w:val="005864CF"/>
    <w:rsid w:val="00586C8D"/>
    <w:rsid w:val="00586ED6"/>
    <w:rsid w:val="0058705F"/>
    <w:rsid w:val="00587264"/>
    <w:rsid w:val="0058796B"/>
    <w:rsid w:val="00587A4F"/>
    <w:rsid w:val="00587AB0"/>
    <w:rsid w:val="00587BB0"/>
    <w:rsid w:val="00587CCF"/>
    <w:rsid w:val="0059033A"/>
    <w:rsid w:val="0059059B"/>
    <w:rsid w:val="005905D1"/>
    <w:rsid w:val="005905E0"/>
    <w:rsid w:val="005908DD"/>
    <w:rsid w:val="00590D57"/>
    <w:rsid w:val="00590E9F"/>
    <w:rsid w:val="00591818"/>
    <w:rsid w:val="005919C0"/>
    <w:rsid w:val="00591F6E"/>
    <w:rsid w:val="00591F9B"/>
    <w:rsid w:val="00592110"/>
    <w:rsid w:val="00592224"/>
    <w:rsid w:val="005923EC"/>
    <w:rsid w:val="0059275C"/>
    <w:rsid w:val="00592801"/>
    <w:rsid w:val="00592CBA"/>
    <w:rsid w:val="005931A3"/>
    <w:rsid w:val="005933C1"/>
    <w:rsid w:val="00593731"/>
    <w:rsid w:val="00593AFE"/>
    <w:rsid w:val="00593C33"/>
    <w:rsid w:val="00593F10"/>
    <w:rsid w:val="005942FC"/>
    <w:rsid w:val="0059435E"/>
    <w:rsid w:val="005948D3"/>
    <w:rsid w:val="00594AA5"/>
    <w:rsid w:val="00594B0B"/>
    <w:rsid w:val="00594BBC"/>
    <w:rsid w:val="00594BC6"/>
    <w:rsid w:val="00595312"/>
    <w:rsid w:val="005957BD"/>
    <w:rsid w:val="0059589C"/>
    <w:rsid w:val="00595A23"/>
    <w:rsid w:val="00595EC9"/>
    <w:rsid w:val="00596364"/>
    <w:rsid w:val="005963B4"/>
    <w:rsid w:val="00596464"/>
    <w:rsid w:val="005969AA"/>
    <w:rsid w:val="005969D8"/>
    <w:rsid w:val="00596A67"/>
    <w:rsid w:val="00596E06"/>
    <w:rsid w:val="00597045"/>
    <w:rsid w:val="005974A1"/>
    <w:rsid w:val="00597D1D"/>
    <w:rsid w:val="00597D4C"/>
    <w:rsid w:val="00597F7B"/>
    <w:rsid w:val="005A0025"/>
    <w:rsid w:val="005A023F"/>
    <w:rsid w:val="005A08EA"/>
    <w:rsid w:val="005A0B88"/>
    <w:rsid w:val="005A0E39"/>
    <w:rsid w:val="005A0F92"/>
    <w:rsid w:val="005A10C9"/>
    <w:rsid w:val="005A11ED"/>
    <w:rsid w:val="005A1375"/>
    <w:rsid w:val="005A1483"/>
    <w:rsid w:val="005A14B6"/>
    <w:rsid w:val="005A15F0"/>
    <w:rsid w:val="005A178E"/>
    <w:rsid w:val="005A1C99"/>
    <w:rsid w:val="005A1DFE"/>
    <w:rsid w:val="005A22C7"/>
    <w:rsid w:val="005A2CBF"/>
    <w:rsid w:val="005A2EFE"/>
    <w:rsid w:val="005A32A8"/>
    <w:rsid w:val="005A3318"/>
    <w:rsid w:val="005A3340"/>
    <w:rsid w:val="005A36A9"/>
    <w:rsid w:val="005A3A7B"/>
    <w:rsid w:val="005A3C94"/>
    <w:rsid w:val="005A3F31"/>
    <w:rsid w:val="005A41B6"/>
    <w:rsid w:val="005A4647"/>
    <w:rsid w:val="005A4D17"/>
    <w:rsid w:val="005A537B"/>
    <w:rsid w:val="005A5553"/>
    <w:rsid w:val="005A5701"/>
    <w:rsid w:val="005A5759"/>
    <w:rsid w:val="005A5C9A"/>
    <w:rsid w:val="005A5E3B"/>
    <w:rsid w:val="005A60A0"/>
    <w:rsid w:val="005A6164"/>
    <w:rsid w:val="005A6943"/>
    <w:rsid w:val="005A6A4A"/>
    <w:rsid w:val="005A6F96"/>
    <w:rsid w:val="005A6FAB"/>
    <w:rsid w:val="005A73AC"/>
    <w:rsid w:val="005A74BA"/>
    <w:rsid w:val="005A7610"/>
    <w:rsid w:val="005A766C"/>
    <w:rsid w:val="005A7678"/>
    <w:rsid w:val="005A77E4"/>
    <w:rsid w:val="005A7BFA"/>
    <w:rsid w:val="005A7C24"/>
    <w:rsid w:val="005A7FD1"/>
    <w:rsid w:val="005B0144"/>
    <w:rsid w:val="005B0508"/>
    <w:rsid w:val="005B0566"/>
    <w:rsid w:val="005B057D"/>
    <w:rsid w:val="005B07BD"/>
    <w:rsid w:val="005B09DA"/>
    <w:rsid w:val="005B0B69"/>
    <w:rsid w:val="005B110A"/>
    <w:rsid w:val="005B1B06"/>
    <w:rsid w:val="005B1B68"/>
    <w:rsid w:val="005B1E57"/>
    <w:rsid w:val="005B1EEB"/>
    <w:rsid w:val="005B2129"/>
    <w:rsid w:val="005B25A9"/>
    <w:rsid w:val="005B26D6"/>
    <w:rsid w:val="005B2968"/>
    <w:rsid w:val="005B2990"/>
    <w:rsid w:val="005B2DE4"/>
    <w:rsid w:val="005B3189"/>
    <w:rsid w:val="005B31E3"/>
    <w:rsid w:val="005B3FDB"/>
    <w:rsid w:val="005B4008"/>
    <w:rsid w:val="005B42EB"/>
    <w:rsid w:val="005B4515"/>
    <w:rsid w:val="005B469C"/>
    <w:rsid w:val="005B488A"/>
    <w:rsid w:val="005B48CD"/>
    <w:rsid w:val="005B4932"/>
    <w:rsid w:val="005B4B35"/>
    <w:rsid w:val="005B4EE2"/>
    <w:rsid w:val="005B5222"/>
    <w:rsid w:val="005B548A"/>
    <w:rsid w:val="005B5731"/>
    <w:rsid w:val="005B5A68"/>
    <w:rsid w:val="005B5B2F"/>
    <w:rsid w:val="005B5E13"/>
    <w:rsid w:val="005B62D5"/>
    <w:rsid w:val="005B6849"/>
    <w:rsid w:val="005B6C06"/>
    <w:rsid w:val="005B6D99"/>
    <w:rsid w:val="005B70EE"/>
    <w:rsid w:val="005B71F5"/>
    <w:rsid w:val="005B7489"/>
    <w:rsid w:val="005B79E3"/>
    <w:rsid w:val="005B7DBB"/>
    <w:rsid w:val="005B7FC3"/>
    <w:rsid w:val="005C0409"/>
    <w:rsid w:val="005C0587"/>
    <w:rsid w:val="005C07A8"/>
    <w:rsid w:val="005C0E0C"/>
    <w:rsid w:val="005C1126"/>
    <w:rsid w:val="005C112F"/>
    <w:rsid w:val="005C1602"/>
    <w:rsid w:val="005C193F"/>
    <w:rsid w:val="005C1C27"/>
    <w:rsid w:val="005C1FA8"/>
    <w:rsid w:val="005C1FB8"/>
    <w:rsid w:val="005C2014"/>
    <w:rsid w:val="005C2749"/>
    <w:rsid w:val="005C2955"/>
    <w:rsid w:val="005C2A35"/>
    <w:rsid w:val="005C2CC3"/>
    <w:rsid w:val="005C2D2B"/>
    <w:rsid w:val="005C312A"/>
    <w:rsid w:val="005C3378"/>
    <w:rsid w:val="005C343A"/>
    <w:rsid w:val="005C3863"/>
    <w:rsid w:val="005C396B"/>
    <w:rsid w:val="005C3F34"/>
    <w:rsid w:val="005C3FDB"/>
    <w:rsid w:val="005C46FB"/>
    <w:rsid w:val="005C4C09"/>
    <w:rsid w:val="005C4C98"/>
    <w:rsid w:val="005C506B"/>
    <w:rsid w:val="005C53BC"/>
    <w:rsid w:val="005C54E7"/>
    <w:rsid w:val="005C54E9"/>
    <w:rsid w:val="005C55C4"/>
    <w:rsid w:val="005C55E1"/>
    <w:rsid w:val="005C5751"/>
    <w:rsid w:val="005C5BD1"/>
    <w:rsid w:val="005C5C12"/>
    <w:rsid w:val="005C5F25"/>
    <w:rsid w:val="005C5F2C"/>
    <w:rsid w:val="005C5F5D"/>
    <w:rsid w:val="005C60B1"/>
    <w:rsid w:val="005C621D"/>
    <w:rsid w:val="005C656B"/>
    <w:rsid w:val="005C68D8"/>
    <w:rsid w:val="005C6CCD"/>
    <w:rsid w:val="005C6DAD"/>
    <w:rsid w:val="005C6F64"/>
    <w:rsid w:val="005C71BC"/>
    <w:rsid w:val="005C71FC"/>
    <w:rsid w:val="005C72B4"/>
    <w:rsid w:val="005C734F"/>
    <w:rsid w:val="005C75E1"/>
    <w:rsid w:val="005C7C1A"/>
    <w:rsid w:val="005D060F"/>
    <w:rsid w:val="005D06C7"/>
    <w:rsid w:val="005D0910"/>
    <w:rsid w:val="005D0970"/>
    <w:rsid w:val="005D1014"/>
    <w:rsid w:val="005D1077"/>
    <w:rsid w:val="005D1145"/>
    <w:rsid w:val="005D11EF"/>
    <w:rsid w:val="005D1252"/>
    <w:rsid w:val="005D1313"/>
    <w:rsid w:val="005D132E"/>
    <w:rsid w:val="005D13BF"/>
    <w:rsid w:val="005D1A79"/>
    <w:rsid w:val="005D1A98"/>
    <w:rsid w:val="005D1B7A"/>
    <w:rsid w:val="005D1B84"/>
    <w:rsid w:val="005D1EC9"/>
    <w:rsid w:val="005D2232"/>
    <w:rsid w:val="005D2496"/>
    <w:rsid w:val="005D2525"/>
    <w:rsid w:val="005D26B6"/>
    <w:rsid w:val="005D2A4D"/>
    <w:rsid w:val="005D2E8F"/>
    <w:rsid w:val="005D30AD"/>
    <w:rsid w:val="005D3301"/>
    <w:rsid w:val="005D36E2"/>
    <w:rsid w:val="005D3FD1"/>
    <w:rsid w:val="005D4053"/>
    <w:rsid w:val="005D4188"/>
    <w:rsid w:val="005D4478"/>
    <w:rsid w:val="005D44D5"/>
    <w:rsid w:val="005D4893"/>
    <w:rsid w:val="005D48D7"/>
    <w:rsid w:val="005D4A5A"/>
    <w:rsid w:val="005D4BBE"/>
    <w:rsid w:val="005D4DDA"/>
    <w:rsid w:val="005D4F94"/>
    <w:rsid w:val="005D5731"/>
    <w:rsid w:val="005D57C0"/>
    <w:rsid w:val="005D5828"/>
    <w:rsid w:val="005D5957"/>
    <w:rsid w:val="005D5B3C"/>
    <w:rsid w:val="005D5BCF"/>
    <w:rsid w:val="005D5F98"/>
    <w:rsid w:val="005D6409"/>
    <w:rsid w:val="005D64E1"/>
    <w:rsid w:val="005D64F4"/>
    <w:rsid w:val="005D688F"/>
    <w:rsid w:val="005D689C"/>
    <w:rsid w:val="005D6BBA"/>
    <w:rsid w:val="005D7056"/>
    <w:rsid w:val="005D712C"/>
    <w:rsid w:val="005D71F3"/>
    <w:rsid w:val="005D73B5"/>
    <w:rsid w:val="005D7644"/>
    <w:rsid w:val="005D7646"/>
    <w:rsid w:val="005D7699"/>
    <w:rsid w:val="005D7A28"/>
    <w:rsid w:val="005D7BC9"/>
    <w:rsid w:val="005D7C11"/>
    <w:rsid w:val="005D7DB8"/>
    <w:rsid w:val="005D7EC0"/>
    <w:rsid w:val="005E005F"/>
    <w:rsid w:val="005E02E4"/>
    <w:rsid w:val="005E0350"/>
    <w:rsid w:val="005E06D1"/>
    <w:rsid w:val="005E148F"/>
    <w:rsid w:val="005E15F6"/>
    <w:rsid w:val="005E16DE"/>
    <w:rsid w:val="005E19AD"/>
    <w:rsid w:val="005E19AF"/>
    <w:rsid w:val="005E1D39"/>
    <w:rsid w:val="005E1F66"/>
    <w:rsid w:val="005E2261"/>
    <w:rsid w:val="005E230A"/>
    <w:rsid w:val="005E2863"/>
    <w:rsid w:val="005E2D34"/>
    <w:rsid w:val="005E2DD5"/>
    <w:rsid w:val="005E30AB"/>
    <w:rsid w:val="005E32E5"/>
    <w:rsid w:val="005E3537"/>
    <w:rsid w:val="005E355F"/>
    <w:rsid w:val="005E36E1"/>
    <w:rsid w:val="005E371D"/>
    <w:rsid w:val="005E3787"/>
    <w:rsid w:val="005E3C5A"/>
    <w:rsid w:val="005E45FC"/>
    <w:rsid w:val="005E46BE"/>
    <w:rsid w:val="005E4857"/>
    <w:rsid w:val="005E493E"/>
    <w:rsid w:val="005E4A7D"/>
    <w:rsid w:val="005E4A8B"/>
    <w:rsid w:val="005E4B5F"/>
    <w:rsid w:val="005E4BBF"/>
    <w:rsid w:val="005E4E17"/>
    <w:rsid w:val="005E4E56"/>
    <w:rsid w:val="005E51E7"/>
    <w:rsid w:val="005E5399"/>
    <w:rsid w:val="005E5BC9"/>
    <w:rsid w:val="005E5E4C"/>
    <w:rsid w:val="005E601A"/>
    <w:rsid w:val="005E6635"/>
    <w:rsid w:val="005E675A"/>
    <w:rsid w:val="005E6DA2"/>
    <w:rsid w:val="005E6EBB"/>
    <w:rsid w:val="005E71EB"/>
    <w:rsid w:val="005E7A42"/>
    <w:rsid w:val="005E7DD7"/>
    <w:rsid w:val="005F0188"/>
    <w:rsid w:val="005F06D7"/>
    <w:rsid w:val="005F0759"/>
    <w:rsid w:val="005F095B"/>
    <w:rsid w:val="005F098F"/>
    <w:rsid w:val="005F0A50"/>
    <w:rsid w:val="005F0CCF"/>
    <w:rsid w:val="005F0EE9"/>
    <w:rsid w:val="005F106A"/>
    <w:rsid w:val="005F108C"/>
    <w:rsid w:val="005F1784"/>
    <w:rsid w:val="005F1862"/>
    <w:rsid w:val="005F191C"/>
    <w:rsid w:val="005F1A18"/>
    <w:rsid w:val="005F1ADE"/>
    <w:rsid w:val="005F1EA5"/>
    <w:rsid w:val="005F24DF"/>
    <w:rsid w:val="005F24EB"/>
    <w:rsid w:val="005F2942"/>
    <w:rsid w:val="005F29EE"/>
    <w:rsid w:val="005F2BB0"/>
    <w:rsid w:val="005F30A7"/>
    <w:rsid w:val="005F35D0"/>
    <w:rsid w:val="005F36FB"/>
    <w:rsid w:val="005F3F16"/>
    <w:rsid w:val="005F4065"/>
    <w:rsid w:val="005F45F2"/>
    <w:rsid w:val="005F4825"/>
    <w:rsid w:val="005F4885"/>
    <w:rsid w:val="005F4AA8"/>
    <w:rsid w:val="005F4C1D"/>
    <w:rsid w:val="005F4E22"/>
    <w:rsid w:val="005F4E3A"/>
    <w:rsid w:val="005F508E"/>
    <w:rsid w:val="005F51CE"/>
    <w:rsid w:val="005F5450"/>
    <w:rsid w:val="005F5559"/>
    <w:rsid w:val="005F57E6"/>
    <w:rsid w:val="005F5915"/>
    <w:rsid w:val="005F59C3"/>
    <w:rsid w:val="005F59EC"/>
    <w:rsid w:val="005F5D0B"/>
    <w:rsid w:val="005F5E88"/>
    <w:rsid w:val="005F5EA8"/>
    <w:rsid w:val="005F62C8"/>
    <w:rsid w:val="005F690F"/>
    <w:rsid w:val="005F6B06"/>
    <w:rsid w:val="005F6DC4"/>
    <w:rsid w:val="005F7279"/>
    <w:rsid w:val="005F730E"/>
    <w:rsid w:val="005F7821"/>
    <w:rsid w:val="005F7A00"/>
    <w:rsid w:val="005F7C4B"/>
    <w:rsid w:val="005F7CCD"/>
    <w:rsid w:val="006000E4"/>
    <w:rsid w:val="0060014F"/>
    <w:rsid w:val="006001D0"/>
    <w:rsid w:val="00600291"/>
    <w:rsid w:val="00600636"/>
    <w:rsid w:val="00600895"/>
    <w:rsid w:val="00600913"/>
    <w:rsid w:val="00600959"/>
    <w:rsid w:val="00600AC7"/>
    <w:rsid w:val="00600CDA"/>
    <w:rsid w:val="00600D05"/>
    <w:rsid w:val="00600D91"/>
    <w:rsid w:val="00601018"/>
    <w:rsid w:val="006014B9"/>
    <w:rsid w:val="00601954"/>
    <w:rsid w:val="00601BD6"/>
    <w:rsid w:val="00601C56"/>
    <w:rsid w:val="00601CD4"/>
    <w:rsid w:val="00601E0F"/>
    <w:rsid w:val="0060218A"/>
    <w:rsid w:val="006022CC"/>
    <w:rsid w:val="0060265A"/>
    <w:rsid w:val="00602A02"/>
    <w:rsid w:val="00602BAC"/>
    <w:rsid w:val="00602C3C"/>
    <w:rsid w:val="00602D93"/>
    <w:rsid w:val="0060337D"/>
    <w:rsid w:val="006033D1"/>
    <w:rsid w:val="0060350B"/>
    <w:rsid w:val="0060367A"/>
    <w:rsid w:val="00603728"/>
    <w:rsid w:val="006038A7"/>
    <w:rsid w:val="006039A3"/>
    <w:rsid w:val="00603AD6"/>
    <w:rsid w:val="00603C58"/>
    <w:rsid w:val="00603C72"/>
    <w:rsid w:val="00603C8A"/>
    <w:rsid w:val="00603CEC"/>
    <w:rsid w:val="00604488"/>
    <w:rsid w:val="0060458B"/>
    <w:rsid w:val="0060485B"/>
    <w:rsid w:val="0060494A"/>
    <w:rsid w:val="00604A07"/>
    <w:rsid w:val="00604AE2"/>
    <w:rsid w:val="00604B99"/>
    <w:rsid w:val="00604C2B"/>
    <w:rsid w:val="00605103"/>
    <w:rsid w:val="00605831"/>
    <w:rsid w:val="006060DB"/>
    <w:rsid w:val="00606366"/>
    <w:rsid w:val="0060684F"/>
    <w:rsid w:val="00606892"/>
    <w:rsid w:val="00606941"/>
    <w:rsid w:val="00607015"/>
    <w:rsid w:val="00607291"/>
    <w:rsid w:val="006073FC"/>
    <w:rsid w:val="0060788F"/>
    <w:rsid w:val="00607A72"/>
    <w:rsid w:val="00607B4B"/>
    <w:rsid w:val="00607B86"/>
    <w:rsid w:val="00607EFD"/>
    <w:rsid w:val="006101F0"/>
    <w:rsid w:val="0061043C"/>
    <w:rsid w:val="006106BD"/>
    <w:rsid w:val="00610762"/>
    <w:rsid w:val="0061099F"/>
    <w:rsid w:val="00610B4E"/>
    <w:rsid w:val="00610C0E"/>
    <w:rsid w:val="00610C29"/>
    <w:rsid w:val="00610D3C"/>
    <w:rsid w:val="00611373"/>
    <w:rsid w:val="006115EB"/>
    <w:rsid w:val="00611909"/>
    <w:rsid w:val="00611920"/>
    <w:rsid w:val="00611D83"/>
    <w:rsid w:val="00611FCD"/>
    <w:rsid w:val="00612BC0"/>
    <w:rsid w:val="00612C6B"/>
    <w:rsid w:val="00612FAB"/>
    <w:rsid w:val="00613211"/>
    <w:rsid w:val="006133E6"/>
    <w:rsid w:val="006137C7"/>
    <w:rsid w:val="00613926"/>
    <w:rsid w:val="00613E8C"/>
    <w:rsid w:val="00614442"/>
    <w:rsid w:val="0061454D"/>
    <w:rsid w:val="00614782"/>
    <w:rsid w:val="00614ABD"/>
    <w:rsid w:val="00614BDC"/>
    <w:rsid w:val="00614C23"/>
    <w:rsid w:val="00614CAA"/>
    <w:rsid w:val="00614E13"/>
    <w:rsid w:val="00615390"/>
    <w:rsid w:val="006153C1"/>
    <w:rsid w:val="0061551E"/>
    <w:rsid w:val="00616178"/>
    <w:rsid w:val="0061640F"/>
    <w:rsid w:val="006166A7"/>
    <w:rsid w:val="006166D3"/>
    <w:rsid w:val="006169B4"/>
    <w:rsid w:val="00617022"/>
    <w:rsid w:val="00617183"/>
    <w:rsid w:val="0061731F"/>
    <w:rsid w:val="00617366"/>
    <w:rsid w:val="006174DB"/>
    <w:rsid w:val="00617671"/>
    <w:rsid w:val="00617726"/>
    <w:rsid w:val="00617785"/>
    <w:rsid w:val="006177F6"/>
    <w:rsid w:val="00617A2A"/>
    <w:rsid w:val="00617CE5"/>
    <w:rsid w:val="00617EA4"/>
    <w:rsid w:val="00617EFF"/>
    <w:rsid w:val="00620233"/>
    <w:rsid w:val="006202FD"/>
    <w:rsid w:val="006203BA"/>
    <w:rsid w:val="00620899"/>
    <w:rsid w:val="00620BE8"/>
    <w:rsid w:val="00620E26"/>
    <w:rsid w:val="00620E54"/>
    <w:rsid w:val="00620EE5"/>
    <w:rsid w:val="00621257"/>
    <w:rsid w:val="0062130B"/>
    <w:rsid w:val="0062160C"/>
    <w:rsid w:val="006217A7"/>
    <w:rsid w:val="00621835"/>
    <w:rsid w:val="006218A7"/>
    <w:rsid w:val="00621C3A"/>
    <w:rsid w:val="006222A2"/>
    <w:rsid w:val="00622700"/>
    <w:rsid w:val="00622721"/>
    <w:rsid w:val="00622D1B"/>
    <w:rsid w:val="00622E2C"/>
    <w:rsid w:val="00622ED6"/>
    <w:rsid w:val="006234BD"/>
    <w:rsid w:val="00623584"/>
    <w:rsid w:val="00623676"/>
    <w:rsid w:val="00623B19"/>
    <w:rsid w:val="00623D6B"/>
    <w:rsid w:val="00623E20"/>
    <w:rsid w:val="006242E9"/>
    <w:rsid w:val="006246D7"/>
    <w:rsid w:val="00624B0B"/>
    <w:rsid w:val="00624BEC"/>
    <w:rsid w:val="00624DFE"/>
    <w:rsid w:val="00624E09"/>
    <w:rsid w:val="00625144"/>
    <w:rsid w:val="00625608"/>
    <w:rsid w:val="00625693"/>
    <w:rsid w:val="0062588E"/>
    <w:rsid w:val="00625B62"/>
    <w:rsid w:val="00625CD3"/>
    <w:rsid w:val="00626001"/>
    <w:rsid w:val="0062644B"/>
    <w:rsid w:val="00626576"/>
    <w:rsid w:val="0062698B"/>
    <w:rsid w:val="00626AAE"/>
    <w:rsid w:val="00626B95"/>
    <w:rsid w:val="00626C53"/>
    <w:rsid w:val="00626CC5"/>
    <w:rsid w:val="006272BF"/>
    <w:rsid w:val="00627403"/>
    <w:rsid w:val="00627662"/>
    <w:rsid w:val="00627936"/>
    <w:rsid w:val="00627DCC"/>
    <w:rsid w:val="00627F0A"/>
    <w:rsid w:val="00630122"/>
    <w:rsid w:val="00630129"/>
    <w:rsid w:val="00630242"/>
    <w:rsid w:val="00630289"/>
    <w:rsid w:val="006305B6"/>
    <w:rsid w:val="00630ABA"/>
    <w:rsid w:val="006312AC"/>
    <w:rsid w:val="006316EC"/>
    <w:rsid w:val="006318DC"/>
    <w:rsid w:val="00631F9F"/>
    <w:rsid w:val="006320C0"/>
    <w:rsid w:val="00632187"/>
    <w:rsid w:val="006321A3"/>
    <w:rsid w:val="0063222F"/>
    <w:rsid w:val="00632261"/>
    <w:rsid w:val="006325F8"/>
    <w:rsid w:val="00632785"/>
    <w:rsid w:val="00632C3C"/>
    <w:rsid w:val="00633101"/>
    <w:rsid w:val="0063317A"/>
    <w:rsid w:val="00633302"/>
    <w:rsid w:val="0063331B"/>
    <w:rsid w:val="00633463"/>
    <w:rsid w:val="00633C81"/>
    <w:rsid w:val="006344FA"/>
    <w:rsid w:val="00634765"/>
    <w:rsid w:val="00634A85"/>
    <w:rsid w:val="00634D42"/>
    <w:rsid w:val="006353F1"/>
    <w:rsid w:val="0063556B"/>
    <w:rsid w:val="0063590C"/>
    <w:rsid w:val="00635ACA"/>
    <w:rsid w:val="00635B21"/>
    <w:rsid w:val="00635C6A"/>
    <w:rsid w:val="00635E3F"/>
    <w:rsid w:val="00636140"/>
    <w:rsid w:val="006361C1"/>
    <w:rsid w:val="0063658E"/>
    <w:rsid w:val="00636802"/>
    <w:rsid w:val="0063691E"/>
    <w:rsid w:val="00636B8B"/>
    <w:rsid w:val="00636BAF"/>
    <w:rsid w:val="00636D7F"/>
    <w:rsid w:val="006377B6"/>
    <w:rsid w:val="006379AD"/>
    <w:rsid w:val="00637D45"/>
    <w:rsid w:val="00637FAC"/>
    <w:rsid w:val="006404E3"/>
    <w:rsid w:val="00640DAB"/>
    <w:rsid w:val="0064106B"/>
    <w:rsid w:val="006417B1"/>
    <w:rsid w:val="00641FBB"/>
    <w:rsid w:val="00642219"/>
    <w:rsid w:val="00642256"/>
    <w:rsid w:val="006423FD"/>
    <w:rsid w:val="00642915"/>
    <w:rsid w:val="00642D0C"/>
    <w:rsid w:val="00642DF1"/>
    <w:rsid w:val="006430A2"/>
    <w:rsid w:val="00643520"/>
    <w:rsid w:val="00643C20"/>
    <w:rsid w:val="00643D43"/>
    <w:rsid w:val="006443FC"/>
    <w:rsid w:val="006446F6"/>
    <w:rsid w:val="006448AE"/>
    <w:rsid w:val="006448B6"/>
    <w:rsid w:val="00644975"/>
    <w:rsid w:val="00644CE0"/>
    <w:rsid w:val="00644E81"/>
    <w:rsid w:val="00644F5A"/>
    <w:rsid w:val="00645811"/>
    <w:rsid w:val="006458F4"/>
    <w:rsid w:val="00646836"/>
    <w:rsid w:val="00646914"/>
    <w:rsid w:val="00646DF3"/>
    <w:rsid w:val="00646FBB"/>
    <w:rsid w:val="006472BD"/>
    <w:rsid w:val="00647448"/>
    <w:rsid w:val="00647498"/>
    <w:rsid w:val="00647523"/>
    <w:rsid w:val="00647558"/>
    <w:rsid w:val="0064782C"/>
    <w:rsid w:val="00647DF2"/>
    <w:rsid w:val="00647ED2"/>
    <w:rsid w:val="0065006D"/>
    <w:rsid w:val="00650159"/>
    <w:rsid w:val="0065044A"/>
    <w:rsid w:val="00650A10"/>
    <w:rsid w:val="00650AE3"/>
    <w:rsid w:val="00650CB5"/>
    <w:rsid w:val="00650D5F"/>
    <w:rsid w:val="00651564"/>
    <w:rsid w:val="0065175B"/>
    <w:rsid w:val="00651773"/>
    <w:rsid w:val="006519D5"/>
    <w:rsid w:val="00651D79"/>
    <w:rsid w:val="00652056"/>
    <w:rsid w:val="0065224C"/>
    <w:rsid w:val="00652520"/>
    <w:rsid w:val="006527BB"/>
    <w:rsid w:val="00652B29"/>
    <w:rsid w:val="00652C6C"/>
    <w:rsid w:val="006536B1"/>
    <w:rsid w:val="00653718"/>
    <w:rsid w:val="00653BA1"/>
    <w:rsid w:val="00653F80"/>
    <w:rsid w:val="00653FA3"/>
    <w:rsid w:val="00653FF2"/>
    <w:rsid w:val="00654083"/>
    <w:rsid w:val="006540C3"/>
    <w:rsid w:val="00654534"/>
    <w:rsid w:val="0065453A"/>
    <w:rsid w:val="00654954"/>
    <w:rsid w:val="00654AA3"/>
    <w:rsid w:val="00654B25"/>
    <w:rsid w:val="00654BC4"/>
    <w:rsid w:val="00654E13"/>
    <w:rsid w:val="00654EE1"/>
    <w:rsid w:val="006552BA"/>
    <w:rsid w:val="00655370"/>
    <w:rsid w:val="006556B5"/>
    <w:rsid w:val="00655C54"/>
    <w:rsid w:val="00655CA1"/>
    <w:rsid w:val="00655CE8"/>
    <w:rsid w:val="00655E22"/>
    <w:rsid w:val="00655E93"/>
    <w:rsid w:val="00655F70"/>
    <w:rsid w:val="006562F4"/>
    <w:rsid w:val="0065632D"/>
    <w:rsid w:val="006563BC"/>
    <w:rsid w:val="006563EC"/>
    <w:rsid w:val="00656714"/>
    <w:rsid w:val="006567F3"/>
    <w:rsid w:val="0065696F"/>
    <w:rsid w:val="006569B7"/>
    <w:rsid w:val="006570B9"/>
    <w:rsid w:val="006571B6"/>
    <w:rsid w:val="0065764C"/>
    <w:rsid w:val="0065780E"/>
    <w:rsid w:val="0065794F"/>
    <w:rsid w:val="00660477"/>
    <w:rsid w:val="0066087F"/>
    <w:rsid w:val="006608F9"/>
    <w:rsid w:val="00660BD3"/>
    <w:rsid w:val="00661005"/>
    <w:rsid w:val="006612EB"/>
    <w:rsid w:val="0066164E"/>
    <w:rsid w:val="00661663"/>
    <w:rsid w:val="0066198F"/>
    <w:rsid w:val="006619D1"/>
    <w:rsid w:val="00661D5B"/>
    <w:rsid w:val="00661FBD"/>
    <w:rsid w:val="00662195"/>
    <w:rsid w:val="0066241F"/>
    <w:rsid w:val="006629BE"/>
    <w:rsid w:val="00662CB0"/>
    <w:rsid w:val="00662CEB"/>
    <w:rsid w:val="006630CF"/>
    <w:rsid w:val="0066334A"/>
    <w:rsid w:val="006634A5"/>
    <w:rsid w:val="00663612"/>
    <w:rsid w:val="006636D8"/>
    <w:rsid w:val="00663C65"/>
    <w:rsid w:val="00663FB4"/>
    <w:rsid w:val="00664035"/>
    <w:rsid w:val="00664229"/>
    <w:rsid w:val="00664A6E"/>
    <w:rsid w:val="00664D05"/>
    <w:rsid w:val="00664F1A"/>
    <w:rsid w:val="006652E6"/>
    <w:rsid w:val="006653E3"/>
    <w:rsid w:val="006655F5"/>
    <w:rsid w:val="00665662"/>
    <w:rsid w:val="00665995"/>
    <w:rsid w:val="00665A05"/>
    <w:rsid w:val="00665EDD"/>
    <w:rsid w:val="00665F2F"/>
    <w:rsid w:val="0066612C"/>
    <w:rsid w:val="0066621A"/>
    <w:rsid w:val="00666490"/>
    <w:rsid w:val="006664BF"/>
    <w:rsid w:val="00666576"/>
    <w:rsid w:val="0066677D"/>
    <w:rsid w:val="006668E9"/>
    <w:rsid w:val="00666974"/>
    <w:rsid w:val="00666D84"/>
    <w:rsid w:val="00666D8F"/>
    <w:rsid w:val="00666DAA"/>
    <w:rsid w:val="006670F1"/>
    <w:rsid w:val="006672AD"/>
    <w:rsid w:val="00667485"/>
    <w:rsid w:val="006675E5"/>
    <w:rsid w:val="00667837"/>
    <w:rsid w:val="00667AEF"/>
    <w:rsid w:val="00667B96"/>
    <w:rsid w:val="00667CC3"/>
    <w:rsid w:val="00667D0E"/>
    <w:rsid w:val="00667E02"/>
    <w:rsid w:val="00670338"/>
    <w:rsid w:val="00670787"/>
    <w:rsid w:val="00670B97"/>
    <w:rsid w:val="00670CFF"/>
    <w:rsid w:val="006710B7"/>
    <w:rsid w:val="006710F8"/>
    <w:rsid w:val="00671281"/>
    <w:rsid w:val="0067157A"/>
    <w:rsid w:val="00671A8E"/>
    <w:rsid w:val="00671B79"/>
    <w:rsid w:val="00671B8A"/>
    <w:rsid w:val="0067206D"/>
    <w:rsid w:val="006722B8"/>
    <w:rsid w:val="00672397"/>
    <w:rsid w:val="00672975"/>
    <w:rsid w:val="00672B02"/>
    <w:rsid w:val="00673203"/>
    <w:rsid w:val="00673AA4"/>
    <w:rsid w:val="00673B4E"/>
    <w:rsid w:val="00673C33"/>
    <w:rsid w:val="00673E27"/>
    <w:rsid w:val="00673EDA"/>
    <w:rsid w:val="00674272"/>
    <w:rsid w:val="006744F2"/>
    <w:rsid w:val="006746DD"/>
    <w:rsid w:val="006748BB"/>
    <w:rsid w:val="00674A7F"/>
    <w:rsid w:val="00674C13"/>
    <w:rsid w:val="00674C87"/>
    <w:rsid w:val="00674E3E"/>
    <w:rsid w:val="006750E1"/>
    <w:rsid w:val="006756C6"/>
    <w:rsid w:val="00675852"/>
    <w:rsid w:val="00675943"/>
    <w:rsid w:val="00675A6F"/>
    <w:rsid w:val="00676067"/>
    <w:rsid w:val="00676A30"/>
    <w:rsid w:val="00676ACF"/>
    <w:rsid w:val="00676B77"/>
    <w:rsid w:val="00676E00"/>
    <w:rsid w:val="00676F19"/>
    <w:rsid w:val="006770AC"/>
    <w:rsid w:val="00677365"/>
    <w:rsid w:val="00677B9D"/>
    <w:rsid w:val="00677E0B"/>
    <w:rsid w:val="00680252"/>
    <w:rsid w:val="00680393"/>
    <w:rsid w:val="00680918"/>
    <w:rsid w:val="00680BA7"/>
    <w:rsid w:val="00680FBC"/>
    <w:rsid w:val="00681185"/>
    <w:rsid w:val="00681755"/>
    <w:rsid w:val="00681794"/>
    <w:rsid w:val="006817BA"/>
    <w:rsid w:val="00681971"/>
    <w:rsid w:val="006819D4"/>
    <w:rsid w:val="00681B40"/>
    <w:rsid w:val="00681CD5"/>
    <w:rsid w:val="00681DFE"/>
    <w:rsid w:val="00681EF8"/>
    <w:rsid w:val="00681F10"/>
    <w:rsid w:val="00682035"/>
    <w:rsid w:val="006821EA"/>
    <w:rsid w:val="0068227A"/>
    <w:rsid w:val="006830A3"/>
    <w:rsid w:val="00683452"/>
    <w:rsid w:val="00683482"/>
    <w:rsid w:val="006836FC"/>
    <w:rsid w:val="00683793"/>
    <w:rsid w:val="00683AF3"/>
    <w:rsid w:val="00683FA6"/>
    <w:rsid w:val="0068400B"/>
    <w:rsid w:val="0068411F"/>
    <w:rsid w:val="006842A8"/>
    <w:rsid w:val="00684318"/>
    <w:rsid w:val="0068437D"/>
    <w:rsid w:val="006849BB"/>
    <w:rsid w:val="00684A0F"/>
    <w:rsid w:val="00684DB0"/>
    <w:rsid w:val="00684FBF"/>
    <w:rsid w:val="006851DD"/>
    <w:rsid w:val="00685288"/>
    <w:rsid w:val="0068550B"/>
    <w:rsid w:val="00685858"/>
    <w:rsid w:val="00685950"/>
    <w:rsid w:val="00685BF8"/>
    <w:rsid w:val="00685CC7"/>
    <w:rsid w:val="0068616E"/>
    <w:rsid w:val="006862A6"/>
    <w:rsid w:val="0068651E"/>
    <w:rsid w:val="006867EE"/>
    <w:rsid w:val="00686A19"/>
    <w:rsid w:val="006871B1"/>
    <w:rsid w:val="00687942"/>
    <w:rsid w:val="00687C22"/>
    <w:rsid w:val="00687C3D"/>
    <w:rsid w:val="00690105"/>
    <w:rsid w:val="0069022B"/>
    <w:rsid w:val="00690365"/>
    <w:rsid w:val="00690755"/>
    <w:rsid w:val="00690829"/>
    <w:rsid w:val="00690DF3"/>
    <w:rsid w:val="006912B3"/>
    <w:rsid w:val="006914D2"/>
    <w:rsid w:val="00691523"/>
    <w:rsid w:val="00691A16"/>
    <w:rsid w:val="00691B02"/>
    <w:rsid w:val="00691C36"/>
    <w:rsid w:val="00691CA2"/>
    <w:rsid w:val="00691D58"/>
    <w:rsid w:val="00691D7A"/>
    <w:rsid w:val="00691F2D"/>
    <w:rsid w:val="00692183"/>
    <w:rsid w:val="006926CA"/>
    <w:rsid w:val="0069278C"/>
    <w:rsid w:val="00692F07"/>
    <w:rsid w:val="00693314"/>
    <w:rsid w:val="00693594"/>
    <w:rsid w:val="00693982"/>
    <w:rsid w:val="006939EC"/>
    <w:rsid w:val="00693C50"/>
    <w:rsid w:val="00693D04"/>
    <w:rsid w:val="00693E33"/>
    <w:rsid w:val="00693E86"/>
    <w:rsid w:val="0069402A"/>
    <w:rsid w:val="00694386"/>
    <w:rsid w:val="0069458F"/>
    <w:rsid w:val="00694804"/>
    <w:rsid w:val="006949F6"/>
    <w:rsid w:val="00694EC6"/>
    <w:rsid w:val="00694F8F"/>
    <w:rsid w:val="0069517B"/>
    <w:rsid w:val="00695181"/>
    <w:rsid w:val="00695918"/>
    <w:rsid w:val="00695937"/>
    <w:rsid w:val="0069597C"/>
    <w:rsid w:val="00695994"/>
    <w:rsid w:val="00695D95"/>
    <w:rsid w:val="006960B9"/>
    <w:rsid w:val="00696151"/>
    <w:rsid w:val="00696258"/>
    <w:rsid w:val="00696326"/>
    <w:rsid w:val="00696736"/>
    <w:rsid w:val="00696760"/>
    <w:rsid w:val="006970D5"/>
    <w:rsid w:val="00697118"/>
    <w:rsid w:val="0069739D"/>
    <w:rsid w:val="0069768B"/>
    <w:rsid w:val="0069772F"/>
    <w:rsid w:val="00697CDE"/>
    <w:rsid w:val="006A0293"/>
    <w:rsid w:val="006A0560"/>
    <w:rsid w:val="006A06C6"/>
    <w:rsid w:val="006A08C1"/>
    <w:rsid w:val="006A0BE2"/>
    <w:rsid w:val="006A0D51"/>
    <w:rsid w:val="006A0DCB"/>
    <w:rsid w:val="006A1186"/>
    <w:rsid w:val="006A1E83"/>
    <w:rsid w:val="006A1EE1"/>
    <w:rsid w:val="006A1F2C"/>
    <w:rsid w:val="006A1F71"/>
    <w:rsid w:val="006A2159"/>
    <w:rsid w:val="006A249B"/>
    <w:rsid w:val="006A2C28"/>
    <w:rsid w:val="006A2DE9"/>
    <w:rsid w:val="006A354E"/>
    <w:rsid w:val="006A3795"/>
    <w:rsid w:val="006A3897"/>
    <w:rsid w:val="006A38F6"/>
    <w:rsid w:val="006A4211"/>
    <w:rsid w:val="006A4561"/>
    <w:rsid w:val="006A4AE2"/>
    <w:rsid w:val="006A4D8A"/>
    <w:rsid w:val="006A4D99"/>
    <w:rsid w:val="006A4F99"/>
    <w:rsid w:val="006A5014"/>
    <w:rsid w:val="006A50C8"/>
    <w:rsid w:val="006A50F0"/>
    <w:rsid w:val="006A5265"/>
    <w:rsid w:val="006A569A"/>
    <w:rsid w:val="006A5EE5"/>
    <w:rsid w:val="006A625E"/>
    <w:rsid w:val="006A64A9"/>
    <w:rsid w:val="006A65EE"/>
    <w:rsid w:val="006A661F"/>
    <w:rsid w:val="006A6AF9"/>
    <w:rsid w:val="006A6B52"/>
    <w:rsid w:val="006A7218"/>
    <w:rsid w:val="006A724B"/>
    <w:rsid w:val="006A7AD0"/>
    <w:rsid w:val="006A7B33"/>
    <w:rsid w:val="006A7D66"/>
    <w:rsid w:val="006A7DFF"/>
    <w:rsid w:val="006B0384"/>
    <w:rsid w:val="006B0469"/>
    <w:rsid w:val="006B08D8"/>
    <w:rsid w:val="006B0925"/>
    <w:rsid w:val="006B0973"/>
    <w:rsid w:val="006B1231"/>
    <w:rsid w:val="006B19D8"/>
    <w:rsid w:val="006B1AD4"/>
    <w:rsid w:val="006B1C0B"/>
    <w:rsid w:val="006B1C87"/>
    <w:rsid w:val="006B21AA"/>
    <w:rsid w:val="006B23AB"/>
    <w:rsid w:val="006B24E1"/>
    <w:rsid w:val="006B2648"/>
    <w:rsid w:val="006B277A"/>
    <w:rsid w:val="006B27FD"/>
    <w:rsid w:val="006B2C28"/>
    <w:rsid w:val="006B311C"/>
    <w:rsid w:val="006B32C9"/>
    <w:rsid w:val="006B34BE"/>
    <w:rsid w:val="006B38A8"/>
    <w:rsid w:val="006B3B09"/>
    <w:rsid w:val="006B3B18"/>
    <w:rsid w:val="006B3F25"/>
    <w:rsid w:val="006B3F5D"/>
    <w:rsid w:val="006B40B0"/>
    <w:rsid w:val="006B445E"/>
    <w:rsid w:val="006B4785"/>
    <w:rsid w:val="006B4949"/>
    <w:rsid w:val="006B4C57"/>
    <w:rsid w:val="006B4E1E"/>
    <w:rsid w:val="006B52D9"/>
    <w:rsid w:val="006B556C"/>
    <w:rsid w:val="006B5662"/>
    <w:rsid w:val="006B56EC"/>
    <w:rsid w:val="006B5722"/>
    <w:rsid w:val="006B5A06"/>
    <w:rsid w:val="006B5ADB"/>
    <w:rsid w:val="006B5DCE"/>
    <w:rsid w:val="006B6588"/>
    <w:rsid w:val="006B69D2"/>
    <w:rsid w:val="006B6B5B"/>
    <w:rsid w:val="006B6CB4"/>
    <w:rsid w:val="006B73B9"/>
    <w:rsid w:val="006B741B"/>
    <w:rsid w:val="006B7642"/>
    <w:rsid w:val="006B7EFE"/>
    <w:rsid w:val="006C0522"/>
    <w:rsid w:val="006C06D7"/>
    <w:rsid w:val="006C0CF3"/>
    <w:rsid w:val="006C0D7B"/>
    <w:rsid w:val="006C0DBD"/>
    <w:rsid w:val="006C1014"/>
    <w:rsid w:val="006C1021"/>
    <w:rsid w:val="006C13C3"/>
    <w:rsid w:val="006C13CB"/>
    <w:rsid w:val="006C145B"/>
    <w:rsid w:val="006C167A"/>
    <w:rsid w:val="006C1A1F"/>
    <w:rsid w:val="006C25F1"/>
    <w:rsid w:val="006C2626"/>
    <w:rsid w:val="006C2966"/>
    <w:rsid w:val="006C2C29"/>
    <w:rsid w:val="006C2E0A"/>
    <w:rsid w:val="006C2EF3"/>
    <w:rsid w:val="006C2F67"/>
    <w:rsid w:val="006C355C"/>
    <w:rsid w:val="006C3918"/>
    <w:rsid w:val="006C3E91"/>
    <w:rsid w:val="006C421F"/>
    <w:rsid w:val="006C44CD"/>
    <w:rsid w:val="006C47FC"/>
    <w:rsid w:val="006C4FD2"/>
    <w:rsid w:val="006C51BC"/>
    <w:rsid w:val="006C5448"/>
    <w:rsid w:val="006C567D"/>
    <w:rsid w:val="006C56B8"/>
    <w:rsid w:val="006C5828"/>
    <w:rsid w:val="006C599F"/>
    <w:rsid w:val="006C5A94"/>
    <w:rsid w:val="006C6223"/>
    <w:rsid w:val="006C63FD"/>
    <w:rsid w:val="006C6FE4"/>
    <w:rsid w:val="006C742F"/>
    <w:rsid w:val="006C746C"/>
    <w:rsid w:val="006C758D"/>
    <w:rsid w:val="006C7693"/>
    <w:rsid w:val="006C7BC0"/>
    <w:rsid w:val="006C7CAB"/>
    <w:rsid w:val="006D02F3"/>
    <w:rsid w:val="006D0648"/>
    <w:rsid w:val="006D0922"/>
    <w:rsid w:val="006D0DAD"/>
    <w:rsid w:val="006D0DB2"/>
    <w:rsid w:val="006D103A"/>
    <w:rsid w:val="006D160E"/>
    <w:rsid w:val="006D1DE1"/>
    <w:rsid w:val="006D202E"/>
    <w:rsid w:val="006D2317"/>
    <w:rsid w:val="006D266D"/>
    <w:rsid w:val="006D2C7E"/>
    <w:rsid w:val="006D2E0D"/>
    <w:rsid w:val="006D2E14"/>
    <w:rsid w:val="006D2F68"/>
    <w:rsid w:val="006D3140"/>
    <w:rsid w:val="006D31EC"/>
    <w:rsid w:val="006D321D"/>
    <w:rsid w:val="006D32CD"/>
    <w:rsid w:val="006D367A"/>
    <w:rsid w:val="006D3749"/>
    <w:rsid w:val="006D37B0"/>
    <w:rsid w:val="006D3A92"/>
    <w:rsid w:val="006D3E24"/>
    <w:rsid w:val="006D4551"/>
    <w:rsid w:val="006D4850"/>
    <w:rsid w:val="006D489D"/>
    <w:rsid w:val="006D4AE0"/>
    <w:rsid w:val="006D4BE0"/>
    <w:rsid w:val="006D4D7F"/>
    <w:rsid w:val="006D4DF3"/>
    <w:rsid w:val="006D4FD3"/>
    <w:rsid w:val="006D51B1"/>
    <w:rsid w:val="006D57BC"/>
    <w:rsid w:val="006D5A15"/>
    <w:rsid w:val="006D5A97"/>
    <w:rsid w:val="006D5D6C"/>
    <w:rsid w:val="006D5D7E"/>
    <w:rsid w:val="006D5FF2"/>
    <w:rsid w:val="006D6048"/>
    <w:rsid w:val="006D61A2"/>
    <w:rsid w:val="006D65CA"/>
    <w:rsid w:val="006D66C8"/>
    <w:rsid w:val="006D6C3A"/>
    <w:rsid w:val="006D6F55"/>
    <w:rsid w:val="006D6F58"/>
    <w:rsid w:val="006D72A5"/>
    <w:rsid w:val="006D73BB"/>
    <w:rsid w:val="006D73CC"/>
    <w:rsid w:val="006D76B9"/>
    <w:rsid w:val="006D7870"/>
    <w:rsid w:val="006D78F8"/>
    <w:rsid w:val="006D7FD1"/>
    <w:rsid w:val="006E0448"/>
    <w:rsid w:val="006E06EE"/>
    <w:rsid w:val="006E09DE"/>
    <w:rsid w:val="006E0CC6"/>
    <w:rsid w:val="006E0E9C"/>
    <w:rsid w:val="006E0F08"/>
    <w:rsid w:val="006E117D"/>
    <w:rsid w:val="006E11AD"/>
    <w:rsid w:val="006E12B0"/>
    <w:rsid w:val="006E1377"/>
    <w:rsid w:val="006E143C"/>
    <w:rsid w:val="006E145D"/>
    <w:rsid w:val="006E1582"/>
    <w:rsid w:val="006E165D"/>
    <w:rsid w:val="006E174E"/>
    <w:rsid w:val="006E189A"/>
    <w:rsid w:val="006E1938"/>
    <w:rsid w:val="006E1970"/>
    <w:rsid w:val="006E1B20"/>
    <w:rsid w:val="006E1D21"/>
    <w:rsid w:val="006E1DDE"/>
    <w:rsid w:val="006E2136"/>
    <w:rsid w:val="006E2191"/>
    <w:rsid w:val="006E2329"/>
    <w:rsid w:val="006E24B2"/>
    <w:rsid w:val="006E250F"/>
    <w:rsid w:val="006E2816"/>
    <w:rsid w:val="006E282A"/>
    <w:rsid w:val="006E2A26"/>
    <w:rsid w:val="006E2AF2"/>
    <w:rsid w:val="006E2AF5"/>
    <w:rsid w:val="006E2EA8"/>
    <w:rsid w:val="006E3280"/>
    <w:rsid w:val="006E33DF"/>
    <w:rsid w:val="006E39FC"/>
    <w:rsid w:val="006E42FD"/>
    <w:rsid w:val="006E432A"/>
    <w:rsid w:val="006E44D9"/>
    <w:rsid w:val="006E47C7"/>
    <w:rsid w:val="006E4C13"/>
    <w:rsid w:val="006E4F7F"/>
    <w:rsid w:val="006E4FC2"/>
    <w:rsid w:val="006E50A3"/>
    <w:rsid w:val="006E532D"/>
    <w:rsid w:val="006E53B4"/>
    <w:rsid w:val="006E53F3"/>
    <w:rsid w:val="006E5E48"/>
    <w:rsid w:val="006E6220"/>
    <w:rsid w:val="006E62EB"/>
    <w:rsid w:val="006E64C8"/>
    <w:rsid w:val="006E6529"/>
    <w:rsid w:val="006E6607"/>
    <w:rsid w:val="006E69A9"/>
    <w:rsid w:val="006E6A23"/>
    <w:rsid w:val="006E6CFE"/>
    <w:rsid w:val="006E6D83"/>
    <w:rsid w:val="006E6E11"/>
    <w:rsid w:val="006E71C1"/>
    <w:rsid w:val="006E71F3"/>
    <w:rsid w:val="006E7410"/>
    <w:rsid w:val="006E7675"/>
    <w:rsid w:val="006E778C"/>
    <w:rsid w:val="006E7AC2"/>
    <w:rsid w:val="006E7B4F"/>
    <w:rsid w:val="006F00FD"/>
    <w:rsid w:val="006F0854"/>
    <w:rsid w:val="006F0C20"/>
    <w:rsid w:val="006F0D0D"/>
    <w:rsid w:val="006F0DD9"/>
    <w:rsid w:val="006F0E79"/>
    <w:rsid w:val="006F117F"/>
    <w:rsid w:val="006F13A7"/>
    <w:rsid w:val="006F144F"/>
    <w:rsid w:val="006F155C"/>
    <w:rsid w:val="006F1A01"/>
    <w:rsid w:val="006F1CA5"/>
    <w:rsid w:val="006F2133"/>
    <w:rsid w:val="006F2505"/>
    <w:rsid w:val="006F2800"/>
    <w:rsid w:val="006F28B2"/>
    <w:rsid w:val="006F30D2"/>
    <w:rsid w:val="006F3104"/>
    <w:rsid w:val="006F32CD"/>
    <w:rsid w:val="006F3306"/>
    <w:rsid w:val="006F36C4"/>
    <w:rsid w:val="006F37AF"/>
    <w:rsid w:val="006F39E0"/>
    <w:rsid w:val="006F3A65"/>
    <w:rsid w:val="006F3DA0"/>
    <w:rsid w:val="006F4061"/>
    <w:rsid w:val="006F41AC"/>
    <w:rsid w:val="006F43CD"/>
    <w:rsid w:val="006F446E"/>
    <w:rsid w:val="006F46D2"/>
    <w:rsid w:val="006F513C"/>
    <w:rsid w:val="006F54E8"/>
    <w:rsid w:val="006F571F"/>
    <w:rsid w:val="006F5C7D"/>
    <w:rsid w:val="006F5E2D"/>
    <w:rsid w:val="006F5E70"/>
    <w:rsid w:val="006F6118"/>
    <w:rsid w:val="006F61F8"/>
    <w:rsid w:val="006F6789"/>
    <w:rsid w:val="006F68F6"/>
    <w:rsid w:val="006F70DB"/>
    <w:rsid w:val="006F74EA"/>
    <w:rsid w:val="006F77E7"/>
    <w:rsid w:val="006F7D2B"/>
    <w:rsid w:val="006F7F2A"/>
    <w:rsid w:val="00700017"/>
    <w:rsid w:val="007004C2"/>
    <w:rsid w:val="007007E6"/>
    <w:rsid w:val="007009F7"/>
    <w:rsid w:val="00700A01"/>
    <w:rsid w:val="00701027"/>
    <w:rsid w:val="007012C0"/>
    <w:rsid w:val="007016AF"/>
    <w:rsid w:val="00701A74"/>
    <w:rsid w:val="00701BF9"/>
    <w:rsid w:val="00701EFA"/>
    <w:rsid w:val="00701F0C"/>
    <w:rsid w:val="00701F3E"/>
    <w:rsid w:val="00702372"/>
    <w:rsid w:val="007023B6"/>
    <w:rsid w:val="00702577"/>
    <w:rsid w:val="0070283F"/>
    <w:rsid w:val="00702C5B"/>
    <w:rsid w:val="00702D4D"/>
    <w:rsid w:val="00702E7F"/>
    <w:rsid w:val="00702FA2"/>
    <w:rsid w:val="00703056"/>
    <w:rsid w:val="00703459"/>
    <w:rsid w:val="0070369E"/>
    <w:rsid w:val="00703820"/>
    <w:rsid w:val="00703BB5"/>
    <w:rsid w:val="00703C0D"/>
    <w:rsid w:val="00703E31"/>
    <w:rsid w:val="007043F8"/>
    <w:rsid w:val="00704676"/>
    <w:rsid w:val="007047E3"/>
    <w:rsid w:val="00704935"/>
    <w:rsid w:val="00704A9A"/>
    <w:rsid w:val="00704C38"/>
    <w:rsid w:val="00704CB9"/>
    <w:rsid w:val="00704CBD"/>
    <w:rsid w:val="0070517C"/>
    <w:rsid w:val="00705188"/>
    <w:rsid w:val="00705322"/>
    <w:rsid w:val="00705C74"/>
    <w:rsid w:val="00706012"/>
    <w:rsid w:val="00706065"/>
    <w:rsid w:val="0070635D"/>
    <w:rsid w:val="00706390"/>
    <w:rsid w:val="0070646C"/>
    <w:rsid w:val="007067A8"/>
    <w:rsid w:val="007069D6"/>
    <w:rsid w:val="00706A36"/>
    <w:rsid w:val="00706C4B"/>
    <w:rsid w:val="00706E83"/>
    <w:rsid w:val="00707489"/>
    <w:rsid w:val="007075CD"/>
    <w:rsid w:val="00707882"/>
    <w:rsid w:val="007078B4"/>
    <w:rsid w:val="007078C7"/>
    <w:rsid w:val="007079E1"/>
    <w:rsid w:val="00707AAA"/>
    <w:rsid w:val="00707B1D"/>
    <w:rsid w:val="00707B2B"/>
    <w:rsid w:val="00707CC9"/>
    <w:rsid w:val="00707DCB"/>
    <w:rsid w:val="00707DF7"/>
    <w:rsid w:val="00707EE3"/>
    <w:rsid w:val="00710065"/>
    <w:rsid w:val="00710107"/>
    <w:rsid w:val="007101EF"/>
    <w:rsid w:val="00710291"/>
    <w:rsid w:val="0071048F"/>
    <w:rsid w:val="007105D2"/>
    <w:rsid w:val="0071073E"/>
    <w:rsid w:val="00710855"/>
    <w:rsid w:val="00710AB2"/>
    <w:rsid w:val="00710B37"/>
    <w:rsid w:val="00710DC2"/>
    <w:rsid w:val="00710F27"/>
    <w:rsid w:val="007112C8"/>
    <w:rsid w:val="007113AF"/>
    <w:rsid w:val="00711462"/>
    <w:rsid w:val="007114D6"/>
    <w:rsid w:val="0071152F"/>
    <w:rsid w:val="00711875"/>
    <w:rsid w:val="00711CB6"/>
    <w:rsid w:val="00711FD1"/>
    <w:rsid w:val="00712148"/>
    <w:rsid w:val="007121F2"/>
    <w:rsid w:val="00712434"/>
    <w:rsid w:val="00712FE6"/>
    <w:rsid w:val="00713096"/>
    <w:rsid w:val="00713110"/>
    <w:rsid w:val="00713317"/>
    <w:rsid w:val="007134AA"/>
    <w:rsid w:val="00713516"/>
    <w:rsid w:val="007139D0"/>
    <w:rsid w:val="00713B7F"/>
    <w:rsid w:val="00713D54"/>
    <w:rsid w:val="00713EEF"/>
    <w:rsid w:val="00714433"/>
    <w:rsid w:val="00714FEA"/>
    <w:rsid w:val="007159E3"/>
    <w:rsid w:val="00715B06"/>
    <w:rsid w:val="00715CED"/>
    <w:rsid w:val="00715D3E"/>
    <w:rsid w:val="00715DA9"/>
    <w:rsid w:val="00715DED"/>
    <w:rsid w:val="00716263"/>
    <w:rsid w:val="00716313"/>
    <w:rsid w:val="0071687A"/>
    <w:rsid w:val="00716ADF"/>
    <w:rsid w:val="00716D12"/>
    <w:rsid w:val="00716D22"/>
    <w:rsid w:val="00716E53"/>
    <w:rsid w:val="0071722C"/>
    <w:rsid w:val="00717501"/>
    <w:rsid w:val="00717881"/>
    <w:rsid w:val="00717F0E"/>
    <w:rsid w:val="007201E4"/>
    <w:rsid w:val="00720335"/>
    <w:rsid w:val="00720913"/>
    <w:rsid w:val="00720B78"/>
    <w:rsid w:val="00720DE0"/>
    <w:rsid w:val="00720F78"/>
    <w:rsid w:val="007210FB"/>
    <w:rsid w:val="00721627"/>
    <w:rsid w:val="00721C37"/>
    <w:rsid w:val="00722509"/>
    <w:rsid w:val="007227FE"/>
    <w:rsid w:val="00722834"/>
    <w:rsid w:val="00722986"/>
    <w:rsid w:val="0072298E"/>
    <w:rsid w:val="00722D13"/>
    <w:rsid w:val="00722E20"/>
    <w:rsid w:val="00722F98"/>
    <w:rsid w:val="007232BF"/>
    <w:rsid w:val="007236C8"/>
    <w:rsid w:val="00723718"/>
    <w:rsid w:val="00723918"/>
    <w:rsid w:val="00723961"/>
    <w:rsid w:val="00723E17"/>
    <w:rsid w:val="00723F24"/>
    <w:rsid w:val="00724035"/>
    <w:rsid w:val="00724305"/>
    <w:rsid w:val="0072437F"/>
    <w:rsid w:val="00724530"/>
    <w:rsid w:val="00724552"/>
    <w:rsid w:val="007245EF"/>
    <w:rsid w:val="007247D2"/>
    <w:rsid w:val="00724C89"/>
    <w:rsid w:val="00724DF1"/>
    <w:rsid w:val="00724F70"/>
    <w:rsid w:val="007251C7"/>
    <w:rsid w:val="00725838"/>
    <w:rsid w:val="007258F9"/>
    <w:rsid w:val="00725E74"/>
    <w:rsid w:val="00725F15"/>
    <w:rsid w:val="00725F82"/>
    <w:rsid w:val="00725FB8"/>
    <w:rsid w:val="0072617E"/>
    <w:rsid w:val="00726577"/>
    <w:rsid w:val="00726714"/>
    <w:rsid w:val="00726A3B"/>
    <w:rsid w:val="00726B71"/>
    <w:rsid w:val="00726C33"/>
    <w:rsid w:val="00727974"/>
    <w:rsid w:val="00727D68"/>
    <w:rsid w:val="00730058"/>
    <w:rsid w:val="00730387"/>
    <w:rsid w:val="007304C7"/>
    <w:rsid w:val="0073050E"/>
    <w:rsid w:val="00730824"/>
    <w:rsid w:val="007309FE"/>
    <w:rsid w:val="00730CE8"/>
    <w:rsid w:val="00731071"/>
    <w:rsid w:val="00731273"/>
    <w:rsid w:val="0073150E"/>
    <w:rsid w:val="007315C2"/>
    <w:rsid w:val="007315FD"/>
    <w:rsid w:val="007316EF"/>
    <w:rsid w:val="007319E0"/>
    <w:rsid w:val="00731A34"/>
    <w:rsid w:val="00731CFE"/>
    <w:rsid w:val="00731E22"/>
    <w:rsid w:val="00731EE5"/>
    <w:rsid w:val="00732307"/>
    <w:rsid w:val="00732999"/>
    <w:rsid w:val="00732E97"/>
    <w:rsid w:val="007331D3"/>
    <w:rsid w:val="0073345F"/>
    <w:rsid w:val="007334F9"/>
    <w:rsid w:val="0073358D"/>
    <w:rsid w:val="0073369D"/>
    <w:rsid w:val="00733973"/>
    <w:rsid w:val="00733E1A"/>
    <w:rsid w:val="007343B2"/>
    <w:rsid w:val="0073441B"/>
    <w:rsid w:val="007346A0"/>
    <w:rsid w:val="007348EF"/>
    <w:rsid w:val="007349B0"/>
    <w:rsid w:val="007350D1"/>
    <w:rsid w:val="00735462"/>
    <w:rsid w:val="007355C9"/>
    <w:rsid w:val="007356E3"/>
    <w:rsid w:val="007358D2"/>
    <w:rsid w:val="00735CCB"/>
    <w:rsid w:val="00736202"/>
    <w:rsid w:val="007368F9"/>
    <w:rsid w:val="00736BF9"/>
    <w:rsid w:val="00736F63"/>
    <w:rsid w:val="00736FF6"/>
    <w:rsid w:val="007370A6"/>
    <w:rsid w:val="007371A5"/>
    <w:rsid w:val="0073757F"/>
    <w:rsid w:val="00737A30"/>
    <w:rsid w:val="00737C75"/>
    <w:rsid w:val="0074018D"/>
    <w:rsid w:val="0074039D"/>
    <w:rsid w:val="00740689"/>
    <w:rsid w:val="00740AA1"/>
    <w:rsid w:val="00740C35"/>
    <w:rsid w:val="00741413"/>
    <w:rsid w:val="007419BE"/>
    <w:rsid w:val="00741B9E"/>
    <w:rsid w:val="00741BCC"/>
    <w:rsid w:val="0074295A"/>
    <w:rsid w:val="00742B99"/>
    <w:rsid w:val="00742C38"/>
    <w:rsid w:val="00742DA3"/>
    <w:rsid w:val="0074315D"/>
    <w:rsid w:val="00743B5C"/>
    <w:rsid w:val="00743FFB"/>
    <w:rsid w:val="007444BC"/>
    <w:rsid w:val="00744645"/>
    <w:rsid w:val="00744701"/>
    <w:rsid w:val="007448E2"/>
    <w:rsid w:val="00744F0A"/>
    <w:rsid w:val="007451C7"/>
    <w:rsid w:val="0074537E"/>
    <w:rsid w:val="0074547C"/>
    <w:rsid w:val="00745967"/>
    <w:rsid w:val="00745C35"/>
    <w:rsid w:val="00745D09"/>
    <w:rsid w:val="00746346"/>
    <w:rsid w:val="00746716"/>
    <w:rsid w:val="00746BD8"/>
    <w:rsid w:val="0074710C"/>
    <w:rsid w:val="0074771B"/>
    <w:rsid w:val="00747C06"/>
    <w:rsid w:val="00747E1B"/>
    <w:rsid w:val="00747F49"/>
    <w:rsid w:val="00750D86"/>
    <w:rsid w:val="00750DD0"/>
    <w:rsid w:val="00750F05"/>
    <w:rsid w:val="00750FB7"/>
    <w:rsid w:val="0075126E"/>
    <w:rsid w:val="00751707"/>
    <w:rsid w:val="00751752"/>
    <w:rsid w:val="007517EE"/>
    <w:rsid w:val="00751A30"/>
    <w:rsid w:val="0075201C"/>
    <w:rsid w:val="007520EF"/>
    <w:rsid w:val="0075218A"/>
    <w:rsid w:val="00752254"/>
    <w:rsid w:val="007522C7"/>
    <w:rsid w:val="00752460"/>
    <w:rsid w:val="007524EC"/>
    <w:rsid w:val="00752D88"/>
    <w:rsid w:val="00752E7A"/>
    <w:rsid w:val="00753027"/>
    <w:rsid w:val="007531BC"/>
    <w:rsid w:val="007536B2"/>
    <w:rsid w:val="0075387C"/>
    <w:rsid w:val="00753B12"/>
    <w:rsid w:val="00753B8D"/>
    <w:rsid w:val="00753EE0"/>
    <w:rsid w:val="007546DC"/>
    <w:rsid w:val="00754993"/>
    <w:rsid w:val="00754A78"/>
    <w:rsid w:val="00754D82"/>
    <w:rsid w:val="00754DE8"/>
    <w:rsid w:val="00755022"/>
    <w:rsid w:val="00755432"/>
    <w:rsid w:val="007556FD"/>
    <w:rsid w:val="0075581F"/>
    <w:rsid w:val="00755C06"/>
    <w:rsid w:val="00755DB0"/>
    <w:rsid w:val="00755E57"/>
    <w:rsid w:val="00755F88"/>
    <w:rsid w:val="00756116"/>
    <w:rsid w:val="00756458"/>
    <w:rsid w:val="00756547"/>
    <w:rsid w:val="0075691A"/>
    <w:rsid w:val="00756B09"/>
    <w:rsid w:val="00756CE6"/>
    <w:rsid w:val="00756F01"/>
    <w:rsid w:val="00756F1A"/>
    <w:rsid w:val="007571EA"/>
    <w:rsid w:val="007571FF"/>
    <w:rsid w:val="00757678"/>
    <w:rsid w:val="0075772A"/>
    <w:rsid w:val="00757CB8"/>
    <w:rsid w:val="00757D5A"/>
    <w:rsid w:val="007600F8"/>
    <w:rsid w:val="0076010A"/>
    <w:rsid w:val="0076020B"/>
    <w:rsid w:val="00760B48"/>
    <w:rsid w:val="00760BF5"/>
    <w:rsid w:val="00760C7B"/>
    <w:rsid w:val="00760F46"/>
    <w:rsid w:val="007611B5"/>
    <w:rsid w:val="007613B7"/>
    <w:rsid w:val="00761810"/>
    <w:rsid w:val="007619D0"/>
    <w:rsid w:val="00761CD9"/>
    <w:rsid w:val="00761ED3"/>
    <w:rsid w:val="00761EDE"/>
    <w:rsid w:val="00762164"/>
    <w:rsid w:val="0076233F"/>
    <w:rsid w:val="00762442"/>
    <w:rsid w:val="0076249D"/>
    <w:rsid w:val="00762A98"/>
    <w:rsid w:val="00762BE7"/>
    <w:rsid w:val="00762C45"/>
    <w:rsid w:val="00762D7E"/>
    <w:rsid w:val="00762D9F"/>
    <w:rsid w:val="00762DD4"/>
    <w:rsid w:val="00762FA0"/>
    <w:rsid w:val="00762FE0"/>
    <w:rsid w:val="007631AF"/>
    <w:rsid w:val="0076339A"/>
    <w:rsid w:val="00763873"/>
    <w:rsid w:val="0076399F"/>
    <w:rsid w:val="00763A93"/>
    <w:rsid w:val="00763EA4"/>
    <w:rsid w:val="00763EB2"/>
    <w:rsid w:val="00764036"/>
    <w:rsid w:val="00764450"/>
    <w:rsid w:val="0076494C"/>
    <w:rsid w:val="00764AA1"/>
    <w:rsid w:val="00764B63"/>
    <w:rsid w:val="0076545E"/>
    <w:rsid w:val="0076565B"/>
    <w:rsid w:val="007657DD"/>
    <w:rsid w:val="0076582A"/>
    <w:rsid w:val="00765BCF"/>
    <w:rsid w:val="0076609F"/>
    <w:rsid w:val="007662E3"/>
    <w:rsid w:val="007663A0"/>
    <w:rsid w:val="00766497"/>
    <w:rsid w:val="0076664B"/>
    <w:rsid w:val="0076679E"/>
    <w:rsid w:val="007668BE"/>
    <w:rsid w:val="00766AF8"/>
    <w:rsid w:val="00766FA4"/>
    <w:rsid w:val="00767031"/>
    <w:rsid w:val="007670C3"/>
    <w:rsid w:val="00767202"/>
    <w:rsid w:val="00767655"/>
    <w:rsid w:val="007676BC"/>
    <w:rsid w:val="007705ED"/>
    <w:rsid w:val="00770A1C"/>
    <w:rsid w:val="00770B20"/>
    <w:rsid w:val="00771A7F"/>
    <w:rsid w:val="00771B1C"/>
    <w:rsid w:val="00771B52"/>
    <w:rsid w:val="00771C84"/>
    <w:rsid w:val="007720BA"/>
    <w:rsid w:val="00772377"/>
    <w:rsid w:val="007724F9"/>
    <w:rsid w:val="00772522"/>
    <w:rsid w:val="00772561"/>
    <w:rsid w:val="007728CD"/>
    <w:rsid w:val="00772A18"/>
    <w:rsid w:val="00772D72"/>
    <w:rsid w:val="00772E18"/>
    <w:rsid w:val="00773314"/>
    <w:rsid w:val="00773C18"/>
    <w:rsid w:val="00773DD3"/>
    <w:rsid w:val="007742AC"/>
    <w:rsid w:val="007742B8"/>
    <w:rsid w:val="00774D4C"/>
    <w:rsid w:val="00774DF7"/>
    <w:rsid w:val="00775138"/>
    <w:rsid w:val="007753F3"/>
    <w:rsid w:val="00775433"/>
    <w:rsid w:val="007754F7"/>
    <w:rsid w:val="0077553B"/>
    <w:rsid w:val="00775ECA"/>
    <w:rsid w:val="00775EE5"/>
    <w:rsid w:val="00776B01"/>
    <w:rsid w:val="00777086"/>
    <w:rsid w:val="007771A1"/>
    <w:rsid w:val="007771A2"/>
    <w:rsid w:val="007772F5"/>
    <w:rsid w:val="00777463"/>
    <w:rsid w:val="007775D7"/>
    <w:rsid w:val="00777A4E"/>
    <w:rsid w:val="00777C70"/>
    <w:rsid w:val="00777D4F"/>
    <w:rsid w:val="007801AC"/>
    <w:rsid w:val="007801C1"/>
    <w:rsid w:val="00780218"/>
    <w:rsid w:val="00780314"/>
    <w:rsid w:val="0078044D"/>
    <w:rsid w:val="007806A7"/>
    <w:rsid w:val="00780761"/>
    <w:rsid w:val="007807F7"/>
    <w:rsid w:val="00780938"/>
    <w:rsid w:val="00780BA7"/>
    <w:rsid w:val="00780CA2"/>
    <w:rsid w:val="00780F91"/>
    <w:rsid w:val="00781240"/>
    <w:rsid w:val="0078144F"/>
    <w:rsid w:val="00781598"/>
    <w:rsid w:val="007815EF"/>
    <w:rsid w:val="0078170C"/>
    <w:rsid w:val="0078173E"/>
    <w:rsid w:val="0078173F"/>
    <w:rsid w:val="007817A4"/>
    <w:rsid w:val="00781AC4"/>
    <w:rsid w:val="00781CFE"/>
    <w:rsid w:val="007821FF"/>
    <w:rsid w:val="007823F9"/>
    <w:rsid w:val="007824AA"/>
    <w:rsid w:val="007824C2"/>
    <w:rsid w:val="007825C1"/>
    <w:rsid w:val="007826EF"/>
    <w:rsid w:val="00782743"/>
    <w:rsid w:val="007827A0"/>
    <w:rsid w:val="00782875"/>
    <w:rsid w:val="00782A52"/>
    <w:rsid w:val="00782A64"/>
    <w:rsid w:val="00782B0E"/>
    <w:rsid w:val="00782BB1"/>
    <w:rsid w:val="00782CD5"/>
    <w:rsid w:val="00782FF0"/>
    <w:rsid w:val="007832CE"/>
    <w:rsid w:val="00783331"/>
    <w:rsid w:val="00783366"/>
    <w:rsid w:val="0078349C"/>
    <w:rsid w:val="00783554"/>
    <w:rsid w:val="0078366B"/>
    <w:rsid w:val="007837D7"/>
    <w:rsid w:val="00783D4D"/>
    <w:rsid w:val="00783DFE"/>
    <w:rsid w:val="00784638"/>
    <w:rsid w:val="0078468E"/>
    <w:rsid w:val="00784BB6"/>
    <w:rsid w:val="00784C71"/>
    <w:rsid w:val="00785194"/>
    <w:rsid w:val="0078558E"/>
    <w:rsid w:val="007855CC"/>
    <w:rsid w:val="0078584B"/>
    <w:rsid w:val="00785A3D"/>
    <w:rsid w:val="00785C47"/>
    <w:rsid w:val="00786545"/>
    <w:rsid w:val="007865C5"/>
    <w:rsid w:val="0078689A"/>
    <w:rsid w:val="00786E0E"/>
    <w:rsid w:val="00787294"/>
    <w:rsid w:val="00790436"/>
    <w:rsid w:val="0079058A"/>
    <w:rsid w:val="00790754"/>
    <w:rsid w:val="00790B72"/>
    <w:rsid w:val="00790E3B"/>
    <w:rsid w:val="00790EBE"/>
    <w:rsid w:val="00791223"/>
    <w:rsid w:val="007913B5"/>
    <w:rsid w:val="00791504"/>
    <w:rsid w:val="00791923"/>
    <w:rsid w:val="00791C30"/>
    <w:rsid w:val="00791E17"/>
    <w:rsid w:val="007920C3"/>
    <w:rsid w:val="007926C4"/>
    <w:rsid w:val="0079288F"/>
    <w:rsid w:val="007928C8"/>
    <w:rsid w:val="007928D6"/>
    <w:rsid w:val="00793099"/>
    <w:rsid w:val="007932A5"/>
    <w:rsid w:val="0079370D"/>
    <w:rsid w:val="00793877"/>
    <w:rsid w:val="007939D9"/>
    <w:rsid w:val="00793A50"/>
    <w:rsid w:val="00793BF4"/>
    <w:rsid w:val="00793D17"/>
    <w:rsid w:val="007948F1"/>
    <w:rsid w:val="00794A31"/>
    <w:rsid w:val="00794B7C"/>
    <w:rsid w:val="00794BEE"/>
    <w:rsid w:val="00794D6C"/>
    <w:rsid w:val="00794EE0"/>
    <w:rsid w:val="007950D2"/>
    <w:rsid w:val="007951C7"/>
    <w:rsid w:val="007951E7"/>
    <w:rsid w:val="007951F5"/>
    <w:rsid w:val="007954DA"/>
    <w:rsid w:val="00795726"/>
    <w:rsid w:val="00795768"/>
    <w:rsid w:val="00795C62"/>
    <w:rsid w:val="00796150"/>
    <w:rsid w:val="00796678"/>
    <w:rsid w:val="0079690E"/>
    <w:rsid w:val="00796923"/>
    <w:rsid w:val="00796A2B"/>
    <w:rsid w:val="00796CBF"/>
    <w:rsid w:val="00796E22"/>
    <w:rsid w:val="00796EB0"/>
    <w:rsid w:val="007970A8"/>
    <w:rsid w:val="00797220"/>
    <w:rsid w:val="00797285"/>
    <w:rsid w:val="00797485"/>
    <w:rsid w:val="00797567"/>
    <w:rsid w:val="00797972"/>
    <w:rsid w:val="00797A6C"/>
    <w:rsid w:val="00797E00"/>
    <w:rsid w:val="007A00ED"/>
    <w:rsid w:val="007A0111"/>
    <w:rsid w:val="007A0269"/>
    <w:rsid w:val="007A0531"/>
    <w:rsid w:val="007A0581"/>
    <w:rsid w:val="007A05CB"/>
    <w:rsid w:val="007A06FB"/>
    <w:rsid w:val="007A077F"/>
    <w:rsid w:val="007A081A"/>
    <w:rsid w:val="007A0CBD"/>
    <w:rsid w:val="007A0CED"/>
    <w:rsid w:val="007A0E94"/>
    <w:rsid w:val="007A0FDA"/>
    <w:rsid w:val="007A1246"/>
    <w:rsid w:val="007A128B"/>
    <w:rsid w:val="007A181C"/>
    <w:rsid w:val="007A1ADA"/>
    <w:rsid w:val="007A1C7A"/>
    <w:rsid w:val="007A1D64"/>
    <w:rsid w:val="007A1F9C"/>
    <w:rsid w:val="007A205C"/>
    <w:rsid w:val="007A2260"/>
    <w:rsid w:val="007A2384"/>
    <w:rsid w:val="007A25ED"/>
    <w:rsid w:val="007A285F"/>
    <w:rsid w:val="007A2A7A"/>
    <w:rsid w:val="007A2A8D"/>
    <w:rsid w:val="007A2AA3"/>
    <w:rsid w:val="007A2C69"/>
    <w:rsid w:val="007A2CF4"/>
    <w:rsid w:val="007A2EEE"/>
    <w:rsid w:val="007A302B"/>
    <w:rsid w:val="007A3104"/>
    <w:rsid w:val="007A31B1"/>
    <w:rsid w:val="007A31C0"/>
    <w:rsid w:val="007A31F5"/>
    <w:rsid w:val="007A351A"/>
    <w:rsid w:val="007A35CF"/>
    <w:rsid w:val="007A36DF"/>
    <w:rsid w:val="007A3796"/>
    <w:rsid w:val="007A3D3B"/>
    <w:rsid w:val="007A4119"/>
    <w:rsid w:val="007A417B"/>
    <w:rsid w:val="007A4380"/>
    <w:rsid w:val="007A4382"/>
    <w:rsid w:val="007A4A1D"/>
    <w:rsid w:val="007A4A95"/>
    <w:rsid w:val="007A4C63"/>
    <w:rsid w:val="007A4FD8"/>
    <w:rsid w:val="007A5281"/>
    <w:rsid w:val="007A537B"/>
    <w:rsid w:val="007A55DB"/>
    <w:rsid w:val="007A5AD6"/>
    <w:rsid w:val="007A5B07"/>
    <w:rsid w:val="007A5B19"/>
    <w:rsid w:val="007A5D16"/>
    <w:rsid w:val="007A62C1"/>
    <w:rsid w:val="007A667E"/>
    <w:rsid w:val="007A6864"/>
    <w:rsid w:val="007A6893"/>
    <w:rsid w:val="007A6993"/>
    <w:rsid w:val="007A6B65"/>
    <w:rsid w:val="007A6FE7"/>
    <w:rsid w:val="007A7172"/>
    <w:rsid w:val="007A71DC"/>
    <w:rsid w:val="007A738A"/>
    <w:rsid w:val="007A77DA"/>
    <w:rsid w:val="007A7B26"/>
    <w:rsid w:val="007A7CC0"/>
    <w:rsid w:val="007A7DCF"/>
    <w:rsid w:val="007B03EB"/>
    <w:rsid w:val="007B0515"/>
    <w:rsid w:val="007B07D4"/>
    <w:rsid w:val="007B0A1A"/>
    <w:rsid w:val="007B0A8F"/>
    <w:rsid w:val="007B11E2"/>
    <w:rsid w:val="007B1355"/>
    <w:rsid w:val="007B136F"/>
    <w:rsid w:val="007B137E"/>
    <w:rsid w:val="007B1592"/>
    <w:rsid w:val="007B17AA"/>
    <w:rsid w:val="007B1A4E"/>
    <w:rsid w:val="007B1CAD"/>
    <w:rsid w:val="007B1D51"/>
    <w:rsid w:val="007B1F60"/>
    <w:rsid w:val="007B23C8"/>
    <w:rsid w:val="007B2527"/>
    <w:rsid w:val="007B26CA"/>
    <w:rsid w:val="007B26FA"/>
    <w:rsid w:val="007B276A"/>
    <w:rsid w:val="007B27AB"/>
    <w:rsid w:val="007B2890"/>
    <w:rsid w:val="007B2898"/>
    <w:rsid w:val="007B2D58"/>
    <w:rsid w:val="007B30C4"/>
    <w:rsid w:val="007B30F3"/>
    <w:rsid w:val="007B310E"/>
    <w:rsid w:val="007B34E8"/>
    <w:rsid w:val="007B37B2"/>
    <w:rsid w:val="007B3B88"/>
    <w:rsid w:val="007B3F43"/>
    <w:rsid w:val="007B415B"/>
    <w:rsid w:val="007B4161"/>
    <w:rsid w:val="007B4189"/>
    <w:rsid w:val="007B42A6"/>
    <w:rsid w:val="007B440E"/>
    <w:rsid w:val="007B45AC"/>
    <w:rsid w:val="007B5129"/>
    <w:rsid w:val="007B57C6"/>
    <w:rsid w:val="007B5968"/>
    <w:rsid w:val="007B607D"/>
    <w:rsid w:val="007B620A"/>
    <w:rsid w:val="007B666C"/>
    <w:rsid w:val="007B6717"/>
    <w:rsid w:val="007B687E"/>
    <w:rsid w:val="007B6A7C"/>
    <w:rsid w:val="007B6A99"/>
    <w:rsid w:val="007B6CD0"/>
    <w:rsid w:val="007B6CF6"/>
    <w:rsid w:val="007B6FBD"/>
    <w:rsid w:val="007B7001"/>
    <w:rsid w:val="007B73A2"/>
    <w:rsid w:val="007B755C"/>
    <w:rsid w:val="007B768B"/>
    <w:rsid w:val="007B7860"/>
    <w:rsid w:val="007B79AE"/>
    <w:rsid w:val="007B7C64"/>
    <w:rsid w:val="007B7D7F"/>
    <w:rsid w:val="007B7E81"/>
    <w:rsid w:val="007C0026"/>
    <w:rsid w:val="007C0425"/>
    <w:rsid w:val="007C052D"/>
    <w:rsid w:val="007C05E6"/>
    <w:rsid w:val="007C0730"/>
    <w:rsid w:val="007C096A"/>
    <w:rsid w:val="007C1068"/>
    <w:rsid w:val="007C1905"/>
    <w:rsid w:val="007C190F"/>
    <w:rsid w:val="007C1B9A"/>
    <w:rsid w:val="007C1D0F"/>
    <w:rsid w:val="007C1E2B"/>
    <w:rsid w:val="007C295A"/>
    <w:rsid w:val="007C29C9"/>
    <w:rsid w:val="007C2A55"/>
    <w:rsid w:val="007C3234"/>
    <w:rsid w:val="007C335F"/>
    <w:rsid w:val="007C3BAE"/>
    <w:rsid w:val="007C3D5E"/>
    <w:rsid w:val="007C3D9B"/>
    <w:rsid w:val="007C43C9"/>
    <w:rsid w:val="007C4597"/>
    <w:rsid w:val="007C4751"/>
    <w:rsid w:val="007C48B4"/>
    <w:rsid w:val="007C4CD1"/>
    <w:rsid w:val="007C51A5"/>
    <w:rsid w:val="007C58A8"/>
    <w:rsid w:val="007C5BFE"/>
    <w:rsid w:val="007C5E69"/>
    <w:rsid w:val="007C5EE2"/>
    <w:rsid w:val="007C62BF"/>
    <w:rsid w:val="007C62DB"/>
    <w:rsid w:val="007C65AA"/>
    <w:rsid w:val="007C751A"/>
    <w:rsid w:val="007C75ED"/>
    <w:rsid w:val="007C7AC5"/>
    <w:rsid w:val="007C7BB0"/>
    <w:rsid w:val="007C7C7A"/>
    <w:rsid w:val="007C7E35"/>
    <w:rsid w:val="007C7E63"/>
    <w:rsid w:val="007C7F81"/>
    <w:rsid w:val="007D00A7"/>
    <w:rsid w:val="007D01EE"/>
    <w:rsid w:val="007D0D63"/>
    <w:rsid w:val="007D100F"/>
    <w:rsid w:val="007D1164"/>
    <w:rsid w:val="007D13D5"/>
    <w:rsid w:val="007D174D"/>
    <w:rsid w:val="007D1B09"/>
    <w:rsid w:val="007D1B4F"/>
    <w:rsid w:val="007D1CF3"/>
    <w:rsid w:val="007D1E1D"/>
    <w:rsid w:val="007D20CA"/>
    <w:rsid w:val="007D210C"/>
    <w:rsid w:val="007D24A4"/>
    <w:rsid w:val="007D26A3"/>
    <w:rsid w:val="007D282C"/>
    <w:rsid w:val="007D2D00"/>
    <w:rsid w:val="007D2FC1"/>
    <w:rsid w:val="007D3019"/>
    <w:rsid w:val="007D302F"/>
    <w:rsid w:val="007D30D8"/>
    <w:rsid w:val="007D34E9"/>
    <w:rsid w:val="007D3547"/>
    <w:rsid w:val="007D358F"/>
    <w:rsid w:val="007D359D"/>
    <w:rsid w:val="007D36F2"/>
    <w:rsid w:val="007D45D6"/>
    <w:rsid w:val="007D525C"/>
    <w:rsid w:val="007D5381"/>
    <w:rsid w:val="007D53D5"/>
    <w:rsid w:val="007D552F"/>
    <w:rsid w:val="007D56E5"/>
    <w:rsid w:val="007D575E"/>
    <w:rsid w:val="007D58AA"/>
    <w:rsid w:val="007D595D"/>
    <w:rsid w:val="007D59B1"/>
    <w:rsid w:val="007D59D7"/>
    <w:rsid w:val="007D5B21"/>
    <w:rsid w:val="007D5DB7"/>
    <w:rsid w:val="007D5F07"/>
    <w:rsid w:val="007D63E1"/>
    <w:rsid w:val="007D643E"/>
    <w:rsid w:val="007D6623"/>
    <w:rsid w:val="007D66AF"/>
    <w:rsid w:val="007D6721"/>
    <w:rsid w:val="007D67C3"/>
    <w:rsid w:val="007D68F6"/>
    <w:rsid w:val="007D6E3E"/>
    <w:rsid w:val="007D6F5E"/>
    <w:rsid w:val="007D70A1"/>
    <w:rsid w:val="007D7540"/>
    <w:rsid w:val="007D7590"/>
    <w:rsid w:val="007D772B"/>
    <w:rsid w:val="007D7997"/>
    <w:rsid w:val="007D7A5B"/>
    <w:rsid w:val="007D7BFB"/>
    <w:rsid w:val="007E0048"/>
    <w:rsid w:val="007E01C8"/>
    <w:rsid w:val="007E03D4"/>
    <w:rsid w:val="007E05D3"/>
    <w:rsid w:val="007E07EC"/>
    <w:rsid w:val="007E09B4"/>
    <w:rsid w:val="007E16A2"/>
    <w:rsid w:val="007E1A7F"/>
    <w:rsid w:val="007E1B21"/>
    <w:rsid w:val="007E28B5"/>
    <w:rsid w:val="007E2AB7"/>
    <w:rsid w:val="007E2E84"/>
    <w:rsid w:val="007E3776"/>
    <w:rsid w:val="007E3896"/>
    <w:rsid w:val="007E395A"/>
    <w:rsid w:val="007E3B5F"/>
    <w:rsid w:val="007E3D1B"/>
    <w:rsid w:val="007E3E14"/>
    <w:rsid w:val="007E3FED"/>
    <w:rsid w:val="007E417B"/>
    <w:rsid w:val="007E45E1"/>
    <w:rsid w:val="007E479C"/>
    <w:rsid w:val="007E4D23"/>
    <w:rsid w:val="007E4F11"/>
    <w:rsid w:val="007E5228"/>
    <w:rsid w:val="007E5235"/>
    <w:rsid w:val="007E5326"/>
    <w:rsid w:val="007E53F4"/>
    <w:rsid w:val="007E55F6"/>
    <w:rsid w:val="007E5759"/>
    <w:rsid w:val="007E57BC"/>
    <w:rsid w:val="007E58DA"/>
    <w:rsid w:val="007E58EA"/>
    <w:rsid w:val="007E5AA7"/>
    <w:rsid w:val="007E5AD0"/>
    <w:rsid w:val="007E5C21"/>
    <w:rsid w:val="007E5C5A"/>
    <w:rsid w:val="007E5DFD"/>
    <w:rsid w:val="007E5E8D"/>
    <w:rsid w:val="007E5EC8"/>
    <w:rsid w:val="007E6B2A"/>
    <w:rsid w:val="007E6C53"/>
    <w:rsid w:val="007E70D2"/>
    <w:rsid w:val="007E7321"/>
    <w:rsid w:val="007E7329"/>
    <w:rsid w:val="007E751D"/>
    <w:rsid w:val="007E771A"/>
    <w:rsid w:val="007E7ABA"/>
    <w:rsid w:val="007E7CD6"/>
    <w:rsid w:val="007E7EB1"/>
    <w:rsid w:val="007E7FBB"/>
    <w:rsid w:val="007F0233"/>
    <w:rsid w:val="007F09C3"/>
    <w:rsid w:val="007F0B26"/>
    <w:rsid w:val="007F0CA4"/>
    <w:rsid w:val="007F0E42"/>
    <w:rsid w:val="007F10FE"/>
    <w:rsid w:val="007F15DC"/>
    <w:rsid w:val="007F177E"/>
    <w:rsid w:val="007F189B"/>
    <w:rsid w:val="007F1B42"/>
    <w:rsid w:val="007F1CD1"/>
    <w:rsid w:val="007F24E3"/>
    <w:rsid w:val="007F25ED"/>
    <w:rsid w:val="007F2816"/>
    <w:rsid w:val="007F28F6"/>
    <w:rsid w:val="007F2A61"/>
    <w:rsid w:val="007F2C5C"/>
    <w:rsid w:val="007F2CAD"/>
    <w:rsid w:val="007F2CF0"/>
    <w:rsid w:val="007F343A"/>
    <w:rsid w:val="007F34E6"/>
    <w:rsid w:val="007F3564"/>
    <w:rsid w:val="007F3764"/>
    <w:rsid w:val="007F38E1"/>
    <w:rsid w:val="007F3BE7"/>
    <w:rsid w:val="007F3CD8"/>
    <w:rsid w:val="007F3F5A"/>
    <w:rsid w:val="007F40F2"/>
    <w:rsid w:val="007F4590"/>
    <w:rsid w:val="007F4F0C"/>
    <w:rsid w:val="007F50F0"/>
    <w:rsid w:val="007F544E"/>
    <w:rsid w:val="007F5539"/>
    <w:rsid w:val="007F5573"/>
    <w:rsid w:val="007F55FE"/>
    <w:rsid w:val="007F56BC"/>
    <w:rsid w:val="007F58F4"/>
    <w:rsid w:val="007F5B9A"/>
    <w:rsid w:val="007F5D3A"/>
    <w:rsid w:val="007F5D44"/>
    <w:rsid w:val="007F6477"/>
    <w:rsid w:val="007F6661"/>
    <w:rsid w:val="007F69E3"/>
    <w:rsid w:val="007F6AE1"/>
    <w:rsid w:val="007F723D"/>
    <w:rsid w:val="007F7371"/>
    <w:rsid w:val="007F7644"/>
    <w:rsid w:val="007F76F8"/>
    <w:rsid w:val="007F7F94"/>
    <w:rsid w:val="0080079C"/>
    <w:rsid w:val="00800810"/>
    <w:rsid w:val="0080081C"/>
    <w:rsid w:val="008008FC"/>
    <w:rsid w:val="00800B49"/>
    <w:rsid w:val="00800F33"/>
    <w:rsid w:val="0080141C"/>
    <w:rsid w:val="008014EA"/>
    <w:rsid w:val="008014ED"/>
    <w:rsid w:val="00801608"/>
    <w:rsid w:val="0080179F"/>
    <w:rsid w:val="008017F2"/>
    <w:rsid w:val="00801D98"/>
    <w:rsid w:val="00802752"/>
    <w:rsid w:val="008028CC"/>
    <w:rsid w:val="00802A80"/>
    <w:rsid w:val="00802C86"/>
    <w:rsid w:val="00802E93"/>
    <w:rsid w:val="008030E7"/>
    <w:rsid w:val="0080328F"/>
    <w:rsid w:val="00803329"/>
    <w:rsid w:val="00803C83"/>
    <w:rsid w:val="00803DC4"/>
    <w:rsid w:val="00803DCB"/>
    <w:rsid w:val="00803E8C"/>
    <w:rsid w:val="00803F43"/>
    <w:rsid w:val="008040F6"/>
    <w:rsid w:val="00804242"/>
    <w:rsid w:val="008042C6"/>
    <w:rsid w:val="008043E4"/>
    <w:rsid w:val="00804487"/>
    <w:rsid w:val="00804AEF"/>
    <w:rsid w:val="00804CAB"/>
    <w:rsid w:val="00804EEF"/>
    <w:rsid w:val="0080577D"/>
    <w:rsid w:val="008060E8"/>
    <w:rsid w:val="00806291"/>
    <w:rsid w:val="008062CA"/>
    <w:rsid w:val="008062EF"/>
    <w:rsid w:val="008064F3"/>
    <w:rsid w:val="008065DF"/>
    <w:rsid w:val="008068C2"/>
    <w:rsid w:val="00806BEC"/>
    <w:rsid w:val="00807133"/>
    <w:rsid w:val="00807170"/>
    <w:rsid w:val="0080778B"/>
    <w:rsid w:val="00807A27"/>
    <w:rsid w:val="00807CC3"/>
    <w:rsid w:val="00807E8F"/>
    <w:rsid w:val="00807F2F"/>
    <w:rsid w:val="00810093"/>
    <w:rsid w:val="00810120"/>
    <w:rsid w:val="00810151"/>
    <w:rsid w:val="0081054C"/>
    <w:rsid w:val="00810933"/>
    <w:rsid w:val="00810A52"/>
    <w:rsid w:val="00810B92"/>
    <w:rsid w:val="00810C38"/>
    <w:rsid w:val="00810CF1"/>
    <w:rsid w:val="0081107D"/>
    <w:rsid w:val="0081117E"/>
    <w:rsid w:val="00811265"/>
    <w:rsid w:val="0081163A"/>
    <w:rsid w:val="00811BAF"/>
    <w:rsid w:val="008120AA"/>
    <w:rsid w:val="0081217E"/>
    <w:rsid w:val="008121FF"/>
    <w:rsid w:val="008126AB"/>
    <w:rsid w:val="00812766"/>
    <w:rsid w:val="008128E6"/>
    <w:rsid w:val="00812A7A"/>
    <w:rsid w:val="00812DE5"/>
    <w:rsid w:val="00812F7A"/>
    <w:rsid w:val="00813461"/>
    <w:rsid w:val="008135CC"/>
    <w:rsid w:val="0081402E"/>
    <w:rsid w:val="0081423A"/>
    <w:rsid w:val="00814313"/>
    <w:rsid w:val="008147A3"/>
    <w:rsid w:val="008147EC"/>
    <w:rsid w:val="00814C2B"/>
    <w:rsid w:val="00814D60"/>
    <w:rsid w:val="00814D64"/>
    <w:rsid w:val="008152AC"/>
    <w:rsid w:val="008154D4"/>
    <w:rsid w:val="00815713"/>
    <w:rsid w:val="008158DF"/>
    <w:rsid w:val="00815933"/>
    <w:rsid w:val="00815AD3"/>
    <w:rsid w:val="0081687A"/>
    <w:rsid w:val="00816AB7"/>
    <w:rsid w:val="00816D59"/>
    <w:rsid w:val="00817002"/>
    <w:rsid w:val="00817414"/>
    <w:rsid w:val="00817744"/>
    <w:rsid w:val="0082006A"/>
    <w:rsid w:val="0082014E"/>
    <w:rsid w:val="0082016E"/>
    <w:rsid w:val="0082055E"/>
    <w:rsid w:val="008205EF"/>
    <w:rsid w:val="00820973"/>
    <w:rsid w:val="008209E8"/>
    <w:rsid w:val="00820BAB"/>
    <w:rsid w:val="00820CEF"/>
    <w:rsid w:val="00820E55"/>
    <w:rsid w:val="00820F19"/>
    <w:rsid w:val="00820FFE"/>
    <w:rsid w:val="008211DE"/>
    <w:rsid w:val="00821408"/>
    <w:rsid w:val="00821972"/>
    <w:rsid w:val="00821A29"/>
    <w:rsid w:val="00821CC6"/>
    <w:rsid w:val="00821DC8"/>
    <w:rsid w:val="00821F62"/>
    <w:rsid w:val="00822071"/>
    <w:rsid w:val="008221F9"/>
    <w:rsid w:val="0082228B"/>
    <w:rsid w:val="00822D5A"/>
    <w:rsid w:val="008238D8"/>
    <w:rsid w:val="00823F27"/>
    <w:rsid w:val="0082412B"/>
    <w:rsid w:val="0082424A"/>
    <w:rsid w:val="008242B6"/>
    <w:rsid w:val="008243F6"/>
    <w:rsid w:val="00824926"/>
    <w:rsid w:val="00824D17"/>
    <w:rsid w:val="00824F90"/>
    <w:rsid w:val="00825303"/>
    <w:rsid w:val="008259B7"/>
    <w:rsid w:val="008259FE"/>
    <w:rsid w:val="00825ACA"/>
    <w:rsid w:val="00825E9A"/>
    <w:rsid w:val="00825F59"/>
    <w:rsid w:val="00826056"/>
    <w:rsid w:val="00826161"/>
    <w:rsid w:val="00826218"/>
    <w:rsid w:val="00826B7A"/>
    <w:rsid w:val="00826BF3"/>
    <w:rsid w:val="00826C2D"/>
    <w:rsid w:val="00826F9A"/>
    <w:rsid w:val="00827005"/>
    <w:rsid w:val="00827A05"/>
    <w:rsid w:val="008302EC"/>
    <w:rsid w:val="00830337"/>
    <w:rsid w:val="0083034E"/>
    <w:rsid w:val="00830526"/>
    <w:rsid w:val="008305F8"/>
    <w:rsid w:val="00830979"/>
    <w:rsid w:val="00830B95"/>
    <w:rsid w:val="00830D58"/>
    <w:rsid w:val="0083121B"/>
    <w:rsid w:val="0083155A"/>
    <w:rsid w:val="00831788"/>
    <w:rsid w:val="00831807"/>
    <w:rsid w:val="00831BD1"/>
    <w:rsid w:val="00831C72"/>
    <w:rsid w:val="00831CE0"/>
    <w:rsid w:val="00831E15"/>
    <w:rsid w:val="00831E59"/>
    <w:rsid w:val="00831F78"/>
    <w:rsid w:val="00832366"/>
    <w:rsid w:val="008323FF"/>
    <w:rsid w:val="00832652"/>
    <w:rsid w:val="00832FF9"/>
    <w:rsid w:val="00833311"/>
    <w:rsid w:val="00833396"/>
    <w:rsid w:val="00833680"/>
    <w:rsid w:val="008336E8"/>
    <w:rsid w:val="00833962"/>
    <w:rsid w:val="00833A77"/>
    <w:rsid w:val="00833CA6"/>
    <w:rsid w:val="00833F65"/>
    <w:rsid w:val="008341EB"/>
    <w:rsid w:val="008342CD"/>
    <w:rsid w:val="00834467"/>
    <w:rsid w:val="008344A3"/>
    <w:rsid w:val="008348A4"/>
    <w:rsid w:val="008349CC"/>
    <w:rsid w:val="00834A50"/>
    <w:rsid w:val="00834DFE"/>
    <w:rsid w:val="00834FB3"/>
    <w:rsid w:val="00835095"/>
    <w:rsid w:val="0083511B"/>
    <w:rsid w:val="008353D5"/>
    <w:rsid w:val="0083577B"/>
    <w:rsid w:val="008364A3"/>
    <w:rsid w:val="0083678C"/>
    <w:rsid w:val="00836812"/>
    <w:rsid w:val="008368BB"/>
    <w:rsid w:val="00836B42"/>
    <w:rsid w:val="00837462"/>
    <w:rsid w:val="00837477"/>
    <w:rsid w:val="0083771B"/>
    <w:rsid w:val="00837A8D"/>
    <w:rsid w:val="00837B10"/>
    <w:rsid w:val="00837CD0"/>
    <w:rsid w:val="0084004E"/>
    <w:rsid w:val="0084034D"/>
    <w:rsid w:val="0084063B"/>
    <w:rsid w:val="008406A4"/>
    <w:rsid w:val="008407A2"/>
    <w:rsid w:val="008409BC"/>
    <w:rsid w:val="008409FF"/>
    <w:rsid w:val="00840F84"/>
    <w:rsid w:val="00840FCD"/>
    <w:rsid w:val="0084125E"/>
    <w:rsid w:val="00841349"/>
    <w:rsid w:val="008413E7"/>
    <w:rsid w:val="008415C9"/>
    <w:rsid w:val="00841979"/>
    <w:rsid w:val="00841C9A"/>
    <w:rsid w:val="00842168"/>
    <w:rsid w:val="008422CD"/>
    <w:rsid w:val="00842390"/>
    <w:rsid w:val="00842413"/>
    <w:rsid w:val="0084275E"/>
    <w:rsid w:val="0084276E"/>
    <w:rsid w:val="0084280C"/>
    <w:rsid w:val="00842869"/>
    <w:rsid w:val="00842F58"/>
    <w:rsid w:val="008437DF"/>
    <w:rsid w:val="00843874"/>
    <w:rsid w:val="00843B06"/>
    <w:rsid w:val="00843BEA"/>
    <w:rsid w:val="00844165"/>
    <w:rsid w:val="00844390"/>
    <w:rsid w:val="00844498"/>
    <w:rsid w:val="00844A96"/>
    <w:rsid w:val="00844DE4"/>
    <w:rsid w:val="00844FA0"/>
    <w:rsid w:val="00845117"/>
    <w:rsid w:val="008459B4"/>
    <w:rsid w:val="008459DC"/>
    <w:rsid w:val="00845A4B"/>
    <w:rsid w:val="00845C59"/>
    <w:rsid w:val="00845CF7"/>
    <w:rsid w:val="00845FE8"/>
    <w:rsid w:val="008460F6"/>
    <w:rsid w:val="008461E0"/>
    <w:rsid w:val="008463DD"/>
    <w:rsid w:val="008464B2"/>
    <w:rsid w:val="008464CA"/>
    <w:rsid w:val="008465CE"/>
    <w:rsid w:val="00847063"/>
    <w:rsid w:val="00847074"/>
    <w:rsid w:val="008473BD"/>
    <w:rsid w:val="008476DC"/>
    <w:rsid w:val="00847791"/>
    <w:rsid w:val="008479FB"/>
    <w:rsid w:val="00847D3D"/>
    <w:rsid w:val="00847DBF"/>
    <w:rsid w:val="00847E69"/>
    <w:rsid w:val="00850148"/>
    <w:rsid w:val="008501F3"/>
    <w:rsid w:val="008502F6"/>
    <w:rsid w:val="00850458"/>
    <w:rsid w:val="00850839"/>
    <w:rsid w:val="00850A76"/>
    <w:rsid w:val="00850C40"/>
    <w:rsid w:val="00850E01"/>
    <w:rsid w:val="00850EAC"/>
    <w:rsid w:val="0085133B"/>
    <w:rsid w:val="008513DD"/>
    <w:rsid w:val="008514A2"/>
    <w:rsid w:val="008516B7"/>
    <w:rsid w:val="008517CF"/>
    <w:rsid w:val="0085190E"/>
    <w:rsid w:val="0085198C"/>
    <w:rsid w:val="00851B2E"/>
    <w:rsid w:val="00851BE8"/>
    <w:rsid w:val="00851C71"/>
    <w:rsid w:val="008520F5"/>
    <w:rsid w:val="00852214"/>
    <w:rsid w:val="00852344"/>
    <w:rsid w:val="0085281F"/>
    <w:rsid w:val="00852944"/>
    <w:rsid w:val="00852B35"/>
    <w:rsid w:val="00852BFD"/>
    <w:rsid w:val="00852CA3"/>
    <w:rsid w:val="00852D96"/>
    <w:rsid w:val="00852DD4"/>
    <w:rsid w:val="00852E18"/>
    <w:rsid w:val="0085315F"/>
    <w:rsid w:val="00853373"/>
    <w:rsid w:val="008533C3"/>
    <w:rsid w:val="00853640"/>
    <w:rsid w:val="0085386E"/>
    <w:rsid w:val="00853B35"/>
    <w:rsid w:val="00853C4B"/>
    <w:rsid w:val="00853C83"/>
    <w:rsid w:val="00853C96"/>
    <w:rsid w:val="00853D0B"/>
    <w:rsid w:val="008547B0"/>
    <w:rsid w:val="00854913"/>
    <w:rsid w:val="00854B57"/>
    <w:rsid w:val="00854BB8"/>
    <w:rsid w:val="00854DB2"/>
    <w:rsid w:val="00855A60"/>
    <w:rsid w:val="00855DAB"/>
    <w:rsid w:val="00855E2E"/>
    <w:rsid w:val="00855E9A"/>
    <w:rsid w:val="00855F97"/>
    <w:rsid w:val="00856167"/>
    <w:rsid w:val="008563A7"/>
    <w:rsid w:val="008563D4"/>
    <w:rsid w:val="008567D4"/>
    <w:rsid w:val="0085692D"/>
    <w:rsid w:val="00856A0D"/>
    <w:rsid w:val="00856D72"/>
    <w:rsid w:val="00856F3F"/>
    <w:rsid w:val="00857024"/>
    <w:rsid w:val="0085782F"/>
    <w:rsid w:val="00857995"/>
    <w:rsid w:val="008579C3"/>
    <w:rsid w:val="00857AD4"/>
    <w:rsid w:val="0086011A"/>
    <w:rsid w:val="008606B0"/>
    <w:rsid w:val="008607B6"/>
    <w:rsid w:val="00860A1C"/>
    <w:rsid w:val="00860A42"/>
    <w:rsid w:val="00860BE9"/>
    <w:rsid w:val="00860C5C"/>
    <w:rsid w:val="0086106E"/>
    <w:rsid w:val="008611EC"/>
    <w:rsid w:val="00861289"/>
    <w:rsid w:val="00861744"/>
    <w:rsid w:val="00861765"/>
    <w:rsid w:val="00861AA5"/>
    <w:rsid w:val="00861B1E"/>
    <w:rsid w:val="00861BB8"/>
    <w:rsid w:val="00861CAC"/>
    <w:rsid w:val="00861E55"/>
    <w:rsid w:val="00862146"/>
    <w:rsid w:val="00862246"/>
    <w:rsid w:val="00862423"/>
    <w:rsid w:val="0086266C"/>
    <w:rsid w:val="008628D7"/>
    <w:rsid w:val="00862A0B"/>
    <w:rsid w:val="00862B75"/>
    <w:rsid w:val="00862BF6"/>
    <w:rsid w:val="00862C0B"/>
    <w:rsid w:val="00862F14"/>
    <w:rsid w:val="008632DA"/>
    <w:rsid w:val="008634B1"/>
    <w:rsid w:val="008634C3"/>
    <w:rsid w:val="00863517"/>
    <w:rsid w:val="008638C2"/>
    <w:rsid w:val="00863992"/>
    <w:rsid w:val="00863BA8"/>
    <w:rsid w:val="00863E43"/>
    <w:rsid w:val="00863E77"/>
    <w:rsid w:val="00863E9C"/>
    <w:rsid w:val="008641F8"/>
    <w:rsid w:val="008644AF"/>
    <w:rsid w:val="00864827"/>
    <w:rsid w:val="00864908"/>
    <w:rsid w:val="00864910"/>
    <w:rsid w:val="00864BE9"/>
    <w:rsid w:val="00864C70"/>
    <w:rsid w:val="00865052"/>
    <w:rsid w:val="00865594"/>
    <w:rsid w:val="00865A4D"/>
    <w:rsid w:val="00865C3A"/>
    <w:rsid w:val="00865CF8"/>
    <w:rsid w:val="00866077"/>
    <w:rsid w:val="00866462"/>
    <w:rsid w:val="00866A01"/>
    <w:rsid w:val="00867360"/>
    <w:rsid w:val="0086747C"/>
    <w:rsid w:val="008675D9"/>
    <w:rsid w:val="008677C6"/>
    <w:rsid w:val="00867AB4"/>
    <w:rsid w:val="00867B5B"/>
    <w:rsid w:val="00867DEB"/>
    <w:rsid w:val="00867EA2"/>
    <w:rsid w:val="00870202"/>
    <w:rsid w:val="00870346"/>
    <w:rsid w:val="00870598"/>
    <w:rsid w:val="0087081C"/>
    <w:rsid w:val="00870A39"/>
    <w:rsid w:val="00870C1D"/>
    <w:rsid w:val="00870DEA"/>
    <w:rsid w:val="0087116E"/>
    <w:rsid w:val="00871220"/>
    <w:rsid w:val="008715B5"/>
    <w:rsid w:val="0087173D"/>
    <w:rsid w:val="00871763"/>
    <w:rsid w:val="00871C2E"/>
    <w:rsid w:val="008720CB"/>
    <w:rsid w:val="00872330"/>
    <w:rsid w:val="008723CD"/>
    <w:rsid w:val="008723F8"/>
    <w:rsid w:val="00872659"/>
    <w:rsid w:val="008726CC"/>
    <w:rsid w:val="0087313E"/>
    <w:rsid w:val="00873478"/>
    <w:rsid w:val="008736F2"/>
    <w:rsid w:val="00873D60"/>
    <w:rsid w:val="00873EFF"/>
    <w:rsid w:val="00874331"/>
    <w:rsid w:val="00874438"/>
    <w:rsid w:val="008747F6"/>
    <w:rsid w:val="00874BDC"/>
    <w:rsid w:val="00874C04"/>
    <w:rsid w:val="00874E49"/>
    <w:rsid w:val="00874F65"/>
    <w:rsid w:val="00875158"/>
    <w:rsid w:val="008752D8"/>
    <w:rsid w:val="00875397"/>
    <w:rsid w:val="00875714"/>
    <w:rsid w:val="00875A48"/>
    <w:rsid w:val="00875AA7"/>
    <w:rsid w:val="00875BC5"/>
    <w:rsid w:val="00875DBE"/>
    <w:rsid w:val="00875E74"/>
    <w:rsid w:val="00875F00"/>
    <w:rsid w:val="00876250"/>
    <w:rsid w:val="008762FE"/>
    <w:rsid w:val="0087678F"/>
    <w:rsid w:val="00876E6A"/>
    <w:rsid w:val="008771C1"/>
    <w:rsid w:val="00877313"/>
    <w:rsid w:val="008774DE"/>
    <w:rsid w:val="00877B1A"/>
    <w:rsid w:val="00880262"/>
    <w:rsid w:val="00880270"/>
    <w:rsid w:val="00880300"/>
    <w:rsid w:val="008805CA"/>
    <w:rsid w:val="00880763"/>
    <w:rsid w:val="0088111D"/>
    <w:rsid w:val="008812C6"/>
    <w:rsid w:val="008816AF"/>
    <w:rsid w:val="00881D29"/>
    <w:rsid w:val="008822CA"/>
    <w:rsid w:val="008822D0"/>
    <w:rsid w:val="008822FA"/>
    <w:rsid w:val="00882334"/>
    <w:rsid w:val="00882726"/>
    <w:rsid w:val="008829BA"/>
    <w:rsid w:val="00882FC9"/>
    <w:rsid w:val="008837ED"/>
    <w:rsid w:val="008837F1"/>
    <w:rsid w:val="00883849"/>
    <w:rsid w:val="00883B6D"/>
    <w:rsid w:val="00883B8F"/>
    <w:rsid w:val="00883F9F"/>
    <w:rsid w:val="0088435E"/>
    <w:rsid w:val="008843DF"/>
    <w:rsid w:val="0088475F"/>
    <w:rsid w:val="00884E33"/>
    <w:rsid w:val="008851A5"/>
    <w:rsid w:val="00885284"/>
    <w:rsid w:val="0088534B"/>
    <w:rsid w:val="00885377"/>
    <w:rsid w:val="0088537B"/>
    <w:rsid w:val="00885527"/>
    <w:rsid w:val="0088556E"/>
    <w:rsid w:val="00885627"/>
    <w:rsid w:val="00885870"/>
    <w:rsid w:val="008859F7"/>
    <w:rsid w:val="00885BD8"/>
    <w:rsid w:val="00885E0A"/>
    <w:rsid w:val="00885F5E"/>
    <w:rsid w:val="00886073"/>
    <w:rsid w:val="0088614B"/>
    <w:rsid w:val="008861AE"/>
    <w:rsid w:val="0088631D"/>
    <w:rsid w:val="00886629"/>
    <w:rsid w:val="00887750"/>
    <w:rsid w:val="00887C8B"/>
    <w:rsid w:val="00887CE6"/>
    <w:rsid w:val="008911BD"/>
    <w:rsid w:val="00891CB6"/>
    <w:rsid w:val="00891DB9"/>
    <w:rsid w:val="00891F05"/>
    <w:rsid w:val="00891FFD"/>
    <w:rsid w:val="00892091"/>
    <w:rsid w:val="00892450"/>
    <w:rsid w:val="008926F9"/>
    <w:rsid w:val="00892BFC"/>
    <w:rsid w:val="00892DBE"/>
    <w:rsid w:val="0089315D"/>
    <w:rsid w:val="0089335D"/>
    <w:rsid w:val="0089338C"/>
    <w:rsid w:val="00893814"/>
    <w:rsid w:val="0089438A"/>
    <w:rsid w:val="00894398"/>
    <w:rsid w:val="0089459B"/>
    <w:rsid w:val="0089499B"/>
    <w:rsid w:val="00894A1A"/>
    <w:rsid w:val="00894B20"/>
    <w:rsid w:val="00894E5F"/>
    <w:rsid w:val="00894E81"/>
    <w:rsid w:val="00895062"/>
    <w:rsid w:val="008950FD"/>
    <w:rsid w:val="008956C6"/>
    <w:rsid w:val="008957F0"/>
    <w:rsid w:val="00895876"/>
    <w:rsid w:val="008959FC"/>
    <w:rsid w:val="00895FEE"/>
    <w:rsid w:val="0089606E"/>
    <w:rsid w:val="0089616F"/>
    <w:rsid w:val="00896424"/>
    <w:rsid w:val="00896887"/>
    <w:rsid w:val="00896D5B"/>
    <w:rsid w:val="00896DFD"/>
    <w:rsid w:val="00896E4E"/>
    <w:rsid w:val="00896F82"/>
    <w:rsid w:val="00896FC8"/>
    <w:rsid w:val="0089755F"/>
    <w:rsid w:val="008979FC"/>
    <w:rsid w:val="008A0204"/>
    <w:rsid w:val="008A027F"/>
    <w:rsid w:val="008A03E5"/>
    <w:rsid w:val="008A09DE"/>
    <w:rsid w:val="008A0AB9"/>
    <w:rsid w:val="008A1198"/>
    <w:rsid w:val="008A1466"/>
    <w:rsid w:val="008A1491"/>
    <w:rsid w:val="008A154E"/>
    <w:rsid w:val="008A1621"/>
    <w:rsid w:val="008A1666"/>
    <w:rsid w:val="008A17F3"/>
    <w:rsid w:val="008A18CC"/>
    <w:rsid w:val="008A1951"/>
    <w:rsid w:val="008A1B7E"/>
    <w:rsid w:val="008A1ED6"/>
    <w:rsid w:val="008A2015"/>
    <w:rsid w:val="008A2249"/>
    <w:rsid w:val="008A2430"/>
    <w:rsid w:val="008A249B"/>
    <w:rsid w:val="008A25A5"/>
    <w:rsid w:val="008A25B9"/>
    <w:rsid w:val="008A2751"/>
    <w:rsid w:val="008A2C3C"/>
    <w:rsid w:val="008A2ECE"/>
    <w:rsid w:val="008A2FE5"/>
    <w:rsid w:val="008A324A"/>
    <w:rsid w:val="008A35BC"/>
    <w:rsid w:val="008A38C3"/>
    <w:rsid w:val="008A3998"/>
    <w:rsid w:val="008A3AA8"/>
    <w:rsid w:val="008A3B00"/>
    <w:rsid w:val="008A3B78"/>
    <w:rsid w:val="008A4523"/>
    <w:rsid w:val="008A4A19"/>
    <w:rsid w:val="008A4A60"/>
    <w:rsid w:val="008A4CCF"/>
    <w:rsid w:val="008A505F"/>
    <w:rsid w:val="008A51D2"/>
    <w:rsid w:val="008A51F5"/>
    <w:rsid w:val="008A5ABA"/>
    <w:rsid w:val="008A5C12"/>
    <w:rsid w:val="008A5D47"/>
    <w:rsid w:val="008A5F6F"/>
    <w:rsid w:val="008A5F89"/>
    <w:rsid w:val="008A64D6"/>
    <w:rsid w:val="008A6502"/>
    <w:rsid w:val="008A6AA0"/>
    <w:rsid w:val="008A6AFA"/>
    <w:rsid w:val="008A6B74"/>
    <w:rsid w:val="008A6B75"/>
    <w:rsid w:val="008A6EB1"/>
    <w:rsid w:val="008A6F40"/>
    <w:rsid w:val="008A71C2"/>
    <w:rsid w:val="008A734D"/>
    <w:rsid w:val="008A78FE"/>
    <w:rsid w:val="008A7F75"/>
    <w:rsid w:val="008B01D4"/>
    <w:rsid w:val="008B027B"/>
    <w:rsid w:val="008B0292"/>
    <w:rsid w:val="008B036D"/>
    <w:rsid w:val="008B03C8"/>
    <w:rsid w:val="008B03D8"/>
    <w:rsid w:val="008B0660"/>
    <w:rsid w:val="008B06BD"/>
    <w:rsid w:val="008B0A95"/>
    <w:rsid w:val="008B0F28"/>
    <w:rsid w:val="008B1296"/>
    <w:rsid w:val="008B1311"/>
    <w:rsid w:val="008B1370"/>
    <w:rsid w:val="008B1510"/>
    <w:rsid w:val="008B19FD"/>
    <w:rsid w:val="008B1D08"/>
    <w:rsid w:val="008B1E63"/>
    <w:rsid w:val="008B1ECA"/>
    <w:rsid w:val="008B2356"/>
    <w:rsid w:val="008B28CF"/>
    <w:rsid w:val="008B2903"/>
    <w:rsid w:val="008B2956"/>
    <w:rsid w:val="008B2BCA"/>
    <w:rsid w:val="008B2C41"/>
    <w:rsid w:val="008B3240"/>
    <w:rsid w:val="008B3479"/>
    <w:rsid w:val="008B35FD"/>
    <w:rsid w:val="008B37F8"/>
    <w:rsid w:val="008B3EE7"/>
    <w:rsid w:val="008B3FC5"/>
    <w:rsid w:val="008B45BA"/>
    <w:rsid w:val="008B48DE"/>
    <w:rsid w:val="008B501C"/>
    <w:rsid w:val="008B51C0"/>
    <w:rsid w:val="008B5382"/>
    <w:rsid w:val="008B55D6"/>
    <w:rsid w:val="008B561D"/>
    <w:rsid w:val="008B568F"/>
    <w:rsid w:val="008B5737"/>
    <w:rsid w:val="008B574C"/>
    <w:rsid w:val="008B5ACF"/>
    <w:rsid w:val="008B5D6F"/>
    <w:rsid w:val="008B5DD8"/>
    <w:rsid w:val="008B61C8"/>
    <w:rsid w:val="008B64E9"/>
    <w:rsid w:val="008B6663"/>
    <w:rsid w:val="008B6C64"/>
    <w:rsid w:val="008B6CE1"/>
    <w:rsid w:val="008B6FD5"/>
    <w:rsid w:val="008B70CC"/>
    <w:rsid w:val="008B71E0"/>
    <w:rsid w:val="008B7302"/>
    <w:rsid w:val="008B7548"/>
    <w:rsid w:val="008B7D50"/>
    <w:rsid w:val="008C0182"/>
    <w:rsid w:val="008C020A"/>
    <w:rsid w:val="008C0651"/>
    <w:rsid w:val="008C1567"/>
    <w:rsid w:val="008C15F9"/>
    <w:rsid w:val="008C1849"/>
    <w:rsid w:val="008C1868"/>
    <w:rsid w:val="008C1BCA"/>
    <w:rsid w:val="008C258F"/>
    <w:rsid w:val="008C2AD4"/>
    <w:rsid w:val="008C2B30"/>
    <w:rsid w:val="008C2BEA"/>
    <w:rsid w:val="008C2DF8"/>
    <w:rsid w:val="008C30D6"/>
    <w:rsid w:val="008C320F"/>
    <w:rsid w:val="008C346A"/>
    <w:rsid w:val="008C3475"/>
    <w:rsid w:val="008C35BB"/>
    <w:rsid w:val="008C37D2"/>
    <w:rsid w:val="008C3E19"/>
    <w:rsid w:val="008C4196"/>
    <w:rsid w:val="008C4591"/>
    <w:rsid w:val="008C48D4"/>
    <w:rsid w:val="008C4B36"/>
    <w:rsid w:val="008C5043"/>
    <w:rsid w:val="008C520C"/>
    <w:rsid w:val="008C57CB"/>
    <w:rsid w:val="008C580D"/>
    <w:rsid w:val="008C59EB"/>
    <w:rsid w:val="008C5AD5"/>
    <w:rsid w:val="008C5B36"/>
    <w:rsid w:val="008C5F0D"/>
    <w:rsid w:val="008C6067"/>
    <w:rsid w:val="008C60AC"/>
    <w:rsid w:val="008C626A"/>
    <w:rsid w:val="008C62C9"/>
    <w:rsid w:val="008C6352"/>
    <w:rsid w:val="008C6988"/>
    <w:rsid w:val="008C6A5D"/>
    <w:rsid w:val="008C6EAA"/>
    <w:rsid w:val="008C6EE8"/>
    <w:rsid w:val="008C7112"/>
    <w:rsid w:val="008C7126"/>
    <w:rsid w:val="008C7653"/>
    <w:rsid w:val="008C77C8"/>
    <w:rsid w:val="008C77D8"/>
    <w:rsid w:val="008C7822"/>
    <w:rsid w:val="008C7AAA"/>
    <w:rsid w:val="008C7DAA"/>
    <w:rsid w:val="008C7ECE"/>
    <w:rsid w:val="008D00AB"/>
    <w:rsid w:val="008D02CF"/>
    <w:rsid w:val="008D03AD"/>
    <w:rsid w:val="008D0501"/>
    <w:rsid w:val="008D07A0"/>
    <w:rsid w:val="008D0B43"/>
    <w:rsid w:val="008D0E96"/>
    <w:rsid w:val="008D0F0F"/>
    <w:rsid w:val="008D10C8"/>
    <w:rsid w:val="008D1628"/>
    <w:rsid w:val="008D17F5"/>
    <w:rsid w:val="008D180E"/>
    <w:rsid w:val="008D1941"/>
    <w:rsid w:val="008D1C3D"/>
    <w:rsid w:val="008D1CBE"/>
    <w:rsid w:val="008D1DFE"/>
    <w:rsid w:val="008D1EDF"/>
    <w:rsid w:val="008D1FB4"/>
    <w:rsid w:val="008D206D"/>
    <w:rsid w:val="008D28F0"/>
    <w:rsid w:val="008D2C68"/>
    <w:rsid w:val="008D3063"/>
    <w:rsid w:val="008D3504"/>
    <w:rsid w:val="008D3893"/>
    <w:rsid w:val="008D3E47"/>
    <w:rsid w:val="008D413B"/>
    <w:rsid w:val="008D47A3"/>
    <w:rsid w:val="008D49A6"/>
    <w:rsid w:val="008D4AE0"/>
    <w:rsid w:val="008D4B6E"/>
    <w:rsid w:val="008D4EE3"/>
    <w:rsid w:val="008D548C"/>
    <w:rsid w:val="008D5571"/>
    <w:rsid w:val="008D5711"/>
    <w:rsid w:val="008D579A"/>
    <w:rsid w:val="008D59A5"/>
    <w:rsid w:val="008D59B2"/>
    <w:rsid w:val="008D6030"/>
    <w:rsid w:val="008D610C"/>
    <w:rsid w:val="008D669E"/>
    <w:rsid w:val="008D6BA6"/>
    <w:rsid w:val="008D6CAC"/>
    <w:rsid w:val="008D7222"/>
    <w:rsid w:val="008D7305"/>
    <w:rsid w:val="008D73BF"/>
    <w:rsid w:val="008D7436"/>
    <w:rsid w:val="008D75C5"/>
    <w:rsid w:val="008D7C94"/>
    <w:rsid w:val="008D7D7F"/>
    <w:rsid w:val="008D7F71"/>
    <w:rsid w:val="008E00FF"/>
    <w:rsid w:val="008E02CB"/>
    <w:rsid w:val="008E03D8"/>
    <w:rsid w:val="008E0475"/>
    <w:rsid w:val="008E05F9"/>
    <w:rsid w:val="008E07E2"/>
    <w:rsid w:val="008E0925"/>
    <w:rsid w:val="008E0E12"/>
    <w:rsid w:val="008E1301"/>
    <w:rsid w:val="008E1394"/>
    <w:rsid w:val="008E13DE"/>
    <w:rsid w:val="008E171D"/>
    <w:rsid w:val="008E1788"/>
    <w:rsid w:val="008E1894"/>
    <w:rsid w:val="008E1A18"/>
    <w:rsid w:val="008E1A97"/>
    <w:rsid w:val="008E1C4C"/>
    <w:rsid w:val="008E1CFF"/>
    <w:rsid w:val="008E1D3D"/>
    <w:rsid w:val="008E1F47"/>
    <w:rsid w:val="008E1FFA"/>
    <w:rsid w:val="008E2046"/>
    <w:rsid w:val="008E21AE"/>
    <w:rsid w:val="008E21CA"/>
    <w:rsid w:val="008E28A3"/>
    <w:rsid w:val="008E28F8"/>
    <w:rsid w:val="008E29E4"/>
    <w:rsid w:val="008E2A22"/>
    <w:rsid w:val="008E2C6B"/>
    <w:rsid w:val="008E2D4E"/>
    <w:rsid w:val="008E30EF"/>
    <w:rsid w:val="008E3971"/>
    <w:rsid w:val="008E3BE8"/>
    <w:rsid w:val="008E3CE4"/>
    <w:rsid w:val="008E4A5D"/>
    <w:rsid w:val="008E4B79"/>
    <w:rsid w:val="008E4D8C"/>
    <w:rsid w:val="008E4E9E"/>
    <w:rsid w:val="008E4F22"/>
    <w:rsid w:val="008E527F"/>
    <w:rsid w:val="008E52FD"/>
    <w:rsid w:val="008E5B64"/>
    <w:rsid w:val="008E5E59"/>
    <w:rsid w:val="008E5EE8"/>
    <w:rsid w:val="008E5F71"/>
    <w:rsid w:val="008E6217"/>
    <w:rsid w:val="008E6400"/>
    <w:rsid w:val="008E6525"/>
    <w:rsid w:val="008E6616"/>
    <w:rsid w:val="008E668A"/>
    <w:rsid w:val="008E6A9A"/>
    <w:rsid w:val="008E6D97"/>
    <w:rsid w:val="008E7110"/>
    <w:rsid w:val="008E78AD"/>
    <w:rsid w:val="008E7B1D"/>
    <w:rsid w:val="008E7E70"/>
    <w:rsid w:val="008E7FB2"/>
    <w:rsid w:val="008F000C"/>
    <w:rsid w:val="008F01D9"/>
    <w:rsid w:val="008F04A6"/>
    <w:rsid w:val="008F05E2"/>
    <w:rsid w:val="008F063B"/>
    <w:rsid w:val="008F07F5"/>
    <w:rsid w:val="008F092B"/>
    <w:rsid w:val="008F09BA"/>
    <w:rsid w:val="008F0E70"/>
    <w:rsid w:val="008F134A"/>
    <w:rsid w:val="008F13F1"/>
    <w:rsid w:val="008F1498"/>
    <w:rsid w:val="008F14FA"/>
    <w:rsid w:val="008F19FD"/>
    <w:rsid w:val="008F1B17"/>
    <w:rsid w:val="008F1EC7"/>
    <w:rsid w:val="008F224F"/>
    <w:rsid w:val="008F233E"/>
    <w:rsid w:val="008F235A"/>
    <w:rsid w:val="008F26C8"/>
    <w:rsid w:val="008F2F33"/>
    <w:rsid w:val="008F3147"/>
    <w:rsid w:val="008F3175"/>
    <w:rsid w:val="008F3187"/>
    <w:rsid w:val="008F32B4"/>
    <w:rsid w:val="008F33E3"/>
    <w:rsid w:val="008F34E8"/>
    <w:rsid w:val="008F36B2"/>
    <w:rsid w:val="008F3841"/>
    <w:rsid w:val="008F3999"/>
    <w:rsid w:val="008F3B69"/>
    <w:rsid w:val="008F41F7"/>
    <w:rsid w:val="008F437C"/>
    <w:rsid w:val="008F453A"/>
    <w:rsid w:val="008F48FC"/>
    <w:rsid w:val="008F4F60"/>
    <w:rsid w:val="008F51EF"/>
    <w:rsid w:val="008F52B2"/>
    <w:rsid w:val="008F53E4"/>
    <w:rsid w:val="008F5708"/>
    <w:rsid w:val="008F5901"/>
    <w:rsid w:val="008F5C8A"/>
    <w:rsid w:val="008F5E59"/>
    <w:rsid w:val="008F60FF"/>
    <w:rsid w:val="008F61BE"/>
    <w:rsid w:val="008F6752"/>
    <w:rsid w:val="008F68B2"/>
    <w:rsid w:val="008F6B68"/>
    <w:rsid w:val="008F7C5B"/>
    <w:rsid w:val="008F7D44"/>
    <w:rsid w:val="00900005"/>
    <w:rsid w:val="009001DF"/>
    <w:rsid w:val="009001F7"/>
    <w:rsid w:val="0090024F"/>
    <w:rsid w:val="009002D2"/>
    <w:rsid w:val="00900705"/>
    <w:rsid w:val="00900751"/>
    <w:rsid w:val="00900FCF"/>
    <w:rsid w:val="00901041"/>
    <w:rsid w:val="00901148"/>
    <w:rsid w:val="0090124D"/>
    <w:rsid w:val="009014A6"/>
    <w:rsid w:val="00901902"/>
    <w:rsid w:val="0090194A"/>
    <w:rsid w:val="009019AA"/>
    <w:rsid w:val="00901D3C"/>
    <w:rsid w:val="009020B9"/>
    <w:rsid w:val="009020F5"/>
    <w:rsid w:val="0090230D"/>
    <w:rsid w:val="009026B3"/>
    <w:rsid w:val="00902833"/>
    <w:rsid w:val="00902B83"/>
    <w:rsid w:val="00902C9F"/>
    <w:rsid w:val="00902FCC"/>
    <w:rsid w:val="0090307D"/>
    <w:rsid w:val="00903121"/>
    <w:rsid w:val="009036BD"/>
    <w:rsid w:val="00903DE5"/>
    <w:rsid w:val="009041F0"/>
    <w:rsid w:val="0090447D"/>
    <w:rsid w:val="00904556"/>
    <w:rsid w:val="00904564"/>
    <w:rsid w:val="0090463F"/>
    <w:rsid w:val="00904A60"/>
    <w:rsid w:val="00904ABD"/>
    <w:rsid w:val="00904B6A"/>
    <w:rsid w:val="00904B9A"/>
    <w:rsid w:val="00904EC4"/>
    <w:rsid w:val="009050CE"/>
    <w:rsid w:val="00905A07"/>
    <w:rsid w:val="00905A7E"/>
    <w:rsid w:val="00905BDD"/>
    <w:rsid w:val="00905EBD"/>
    <w:rsid w:val="00905F4B"/>
    <w:rsid w:val="0090609A"/>
    <w:rsid w:val="00906113"/>
    <w:rsid w:val="00906749"/>
    <w:rsid w:val="00906C67"/>
    <w:rsid w:val="00906F32"/>
    <w:rsid w:val="00906FFE"/>
    <w:rsid w:val="009070A6"/>
    <w:rsid w:val="009073F9"/>
    <w:rsid w:val="0090746A"/>
    <w:rsid w:val="009077E5"/>
    <w:rsid w:val="00907985"/>
    <w:rsid w:val="00907A74"/>
    <w:rsid w:val="00907AD1"/>
    <w:rsid w:val="00907F75"/>
    <w:rsid w:val="0091024B"/>
    <w:rsid w:val="00910498"/>
    <w:rsid w:val="0091068D"/>
    <w:rsid w:val="0091081B"/>
    <w:rsid w:val="00910B06"/>
    <w:rsid w:val="00910C10"/>
    <w:rsid w:val="00910CE3"/>
    <w:rsid w:val="00910EA2"/>
    <w:rsid w:val="00910EA5"/>
    <w:rsid w:val="00910F0A"/>
    <w:rsid w:val="009111C1"/>
    <w:rsid w:val="00911539"/>
    <w:rsid w:val="00911AAA"/>
    <w:rsid w:val="00911ADD"/>
    <w:rsid w:val="00911DD6"/>
    <w:rsid w:val="00911E8C"/>
    <w:rsid w:val="009121B7"/>
    <w:rsid w:val="009126C8"/>
    <w:rsid w:val="009129DE"/>
    <w:rsid w:val="00912B74"/>
    <w:rsid w:val="00912B86"/>
    <w:rsid w:val="00912C9E"/>
    <w:rsid w:val="00913081"/>
    <w:rsid w:val="00913182"/>
    <w:rsid w:val="009135BC"/>
    <w:rsid w:val="009138A9"/>
    <w:rsid w:val="00913DF4"/>
    <w:rsid w:val="00913F66"/>
    <w:rsid w:val="0091408B"/>
    <w:rsid w:val="009144E8"/>
    <w:rsid w:val="00914B20"/>
    <w:rsid w:val="00914DC5"/>
    <w:rsid w:val="00914EA5"/>
    <w:rsid w:val="00915408"/>
    <w:rsid w:val="00915414"/>
    <w:rsid w:val="00915451"/>
    <w:rsid w:val="009154B0"/>
    <w:rsid w:val="009158C2"/>
    <w:rsid w:val="00915E0E"/>
    <w:rsid w:val="00915F88"/>
    <w:rsid w:val="00916886"/>
    <w:rsid w:val="00916B03"/>
    <w:rsid w:val="00916C32"/>
    <w:rsid w:val="00916EE8"/>
    <w:rsid w:val="009170CE"/>
    <w:rsid w:val="0091712F"/>
    <w:rsid w:val="0091741E"/>
    <w:rsid w:val="009176F5"/>
    <w:rsid w:val="00917AA5"/>
    <w:rsid w:val="00917DB1"/>
    <w:rsid w:val="00917EA2"/>
    <w:rsid w:val="00920004"/>
    <w:rsid w:val="009201AF"/>
    <w:rsid w:val="00920A10"/>
    <w:rsid w:val="00920AF7"/>
    <w:rsid w:val="00921094"/>
    <w:rsid w:val="009211C5"/>
    <w:rsid w:val="00921351"/>
    <w:rsid w:val="00921592"/>
    <w:rsid w:val="009219A0"/>
    <w:rsid w:val="00921A5F"/>
    <w:rsid w:val="00921A69"/>
    <w:rsid w:val="00921B2F"/>
    <w:rsid w:val="00922030"/>
    <w:rsid w:val="0092230A"/>
    <w:rsid w:val="0092275A"/>
    <w:rsid w:val="00922F37"/>
    <w:rsid w:val="0092305B"/>
    <w:rsid w:val="009230EF"/>
    <w:rsid w:val="00923137"/>
    <w:rsid w:val="0092319A"/>
    <w:rsid w:val="009231D1"/>
    <w:rsid w:val="0092399E"/>
    <w:rsid w:val="00923D78"/>
    <w:rsid w:val="00923D8D"/>
    <w:rsid w:val="00923DE9"/>
    <w:rsid w:val="00923EEE"/>
    <w:rsid w:val="00923F58"/>
    <w:rsid w:val="00924590"/>
    <w:rsid w:val="009247AD"/>
    <w:rsid w:val="009248AD"/>
    <w:rsid w:val="00924907"/>
    <w:rsid w:val="009249CE"/>
    <w:rsid w:val="00924EA8"/>
    <w:rsid w:val="009250C0"/>
    <w:rsid w:val="0092511E"/>
    <w:rsid w:val="00925521"/>
    <w:rsid w:val="009255D6"/>
    <w:rsid w:val="009257CF"/>
    <w:rsid w:val="00925CDE"/>
    <w:rsid w:val="00925EDA"/>
    <w:rsid w:val="00925F87"/>
    <w:rsid w:val="00926139"/>
    <w:rsid w:val="00926855"/>
    <w:rsid w:val="00926B7F"/>
    <w:rsid w:val="00926C6D"/>
    <w:rsid w:val="0092723A"/>
    <w:rsid w:val="00927335"/>
    <w:rsid w:val="00927394"/>
    <w:rsid w:val="00927595"/>
    <w:rsid w:val="00927695"/>
    <w:rsid w:val="00927B80"/>
    <w:rsid w:val="00927E16"/>
    <w:rsid w:val="00927F2F"/>
    <w:rsid w:val="009301C3"/>
    <w:rsid w:val="009302CE"/>
    <w:rsid w:val="009303FB"/>
    <w:rsid w:val="00930419"/>
    <w:rsid w:val="00930472"/>
    <w:rsid w:val="009304C8"/>
    <w:rsid w:val="00930537"/>
    <w:rsid w:val="009308ED"/>
    <w:rsid w:val="00930BC0"/>
    <w:rsid w:val="00930F75"/>
    <w:rsid w:val="0093177A"/>
    <w:rsid w:val="00931795"/>
    <w:rsid w:val="00931888"/>
    <w:rsid w:val="009318FD"/>
    <w:rsid w:val="00931E3C"/>
    <w:rsid w:val="00931F77"/>
    <w:rsid w:val="00932205"/>
    <w:rsid w:val="0093243E"/>
    <w:rsid w:val="009325E5"/>
    <w:rsid w:val="00932883"/>
    <w:rsid w:val="00932A42"/>
    <w:rsid w:val="00932B09"/>
    <w:rsid w:val="00932E44"/>
    <w:rsid w:val="00932F32"/>
    <w:rsid w:val="009333B1"/>
    <w:rsid w:val="0093356A"/>
    <w:rsid w:val="009335EA"/>
    <w:rsid w:val="00933616"/>
    <w:rsid w:val="00933A7C"/>
    <w:rsid w:val="00933D79"/>
    <w:rsid w:val="00933DD8"/>
    <w:rsid w:val="00933F90"/>
    <w:rsid w:val="0093432C"/>
    <w:rsid w:val="0093483F"/>
    <w:rsid w:val="009359E3"/>
    <w:rsid w:val="00936382"/>
    <w:rsid w:val="00936738"/>
    <w:rsid w:val="00936A09"/>
    <w:rsid w:val="00936DAE"/>
    <w:rsid w:val="00937002"/>
    <w:rsid w:val="0093708B"/>
    <w:rsid w:val="009370E6"/>
    <w:rsid w:val="0093743D"/>
    <w:rsid w:val="0093784A"/>
    <w:rsid w:val="00937B84"/>
    <w:rsid w:val="00937BC4"/>
    <w:rsid w:val="00937D55"/>
    <w:rsid w:val="00937EE0"/>
    <w:rsid w:val="0094013B"/>
    <w:rsid w:val="009408FE"/>
    <w:rsid w:val="00940950"/>
    <w:rsid w:val="00940F01"/>
    <w:rsid w:val="009415E8"/>
    <w:rsid w:val="00941639"/>
    <w:rsid w:val="00941690"/>
    <w:rsid w:val="00941A1D"/>
    <w:rsid w:val="00941C38"/>
    <w:rsid w:val="00941CB0"/>
    <w:rsid w:val="00942193"/>
    <w:rsid w:val="00942313"/>
    <w:rsid w:val="009423BD"/>
    <w:rsid w:val="0094246A"/>
    <w:rsid w:val="0094286A"/>
    <w:rsid w:val="00942B1B"/>
    <w:rsid w:val="00942EAA"/>
    <w:rsid w:val="00942F8B"/>
    <w:rsid w:val="00943419"/>
    <w:rsid w:val="00943971"/>
    <w:rsid w:val="00943A2C"/>
    <w:rsid w:val="00943E55"/>
    <w:rsid w:val="009445B0"/>
    <w:rsid w:val="009446F0"/>
    <w:rsid w:val="00944B46"/>
    <w:rsid w:val="00944DCC"/>
    <w:rsid w:val="00944F23"/>
    <w:rsid w:val="009450FE"/>
    <w:rsid w:val="00945157"/>
    <w:rsid w:val="009452AC"/>
    <w:rsid w:val="00945485"/>
    <w:rsid w:val="009455BD"/>
    <w:rsid w:val="00945C32"/>
    <w:rsid w:val="00945C8F"/>
    <w:rsid w:val="00945C97"/>
    <w:rsid w:val="00946201"/>
    <w:rsid w:val="0094644F"/>
    <w:rsid w:val="00946652"/>
    <w:rsid w:val="009466D3"/>
    <w:rsid w:val="00946979"/>
    <w:rsid w:val="00946B57"/>
    <w:rsid w:val="00946FAD"/>
    <w:rsid w:val="0094738A"/>
    <w:rsid w:val="00947474"/>
    <w:rsid w:val="00947639"/>
    <w:rsid w:val="009479F8"/>
    <w:rsid w:val="00947A17"/>
    <w:rsid w:val="009506E2"/>
    <w:rsid w:val="009509C8"/>
    <w:rsid w:val="00950B2E"/>
    <w:rsid w:val="00950BBD"/>
    <w:rsid w:val="00950FCF"/>
    <w:rsid w:val="00951270"/>
    <w:rsid w:val="009512B8"/>
    <w:rsid w:val="0095163A"/>
    <w:rsid w:val="009516F6"/>
    <w:rsid w:val="00951AEB"/>
    <w:rsid w:val="00951D1C"/>
    <w:rsid w:val="00951D23"/>
    <w:rsid w:val="00951EBA"/>
    <w:rsid w:val="00952093"/>
    <w:rsid w:val="0095215B"/>
    <w:rsid w:val="00952429"/>
    <w:rsid w:val="00952628"/>
    <w:rsid w:val="00952EAD"/>
    <w:rsid w:val="009530E5"/>
    <w:rsid w:val="0095328E"/>
    <w:rsid w:val="009536FC"/>
    <w:rsid w:val="00953F92"/>
    <w:rsid w:val="009541D7"/>
    <w:rsid w:val="0095426A"/>
    <w:rsid w:val="009543BB"/>
    <w:rsid w:val="0095455F"/>
    <w:rsid w:val="00954BD6"/>
    <w:rsid w:val="00954CEC"/>
    <w:rsid w:val="00954D87"/>
    <w:rsid w:val="00954E59"/>
    <w:rsid w:val="009550D2"/>
    <w:rsid w:val="00955CBA"/>
    <w:rsid w:val="00955FB5"/>
    <w:rsid w:val="009563C0"/>
    <w:rsid w:val="009564C9"/>
    <w:rsid w:val="00956787"/>
    <w:rsid w:val="00956896"/>
    <w:rsid w:val="009576F1"/>
    <w:rsid w:val="0095773C"/>
    <w:rsid w:val="00957AE3"/>
    <w:rsid w:val="00957C1B"/>
    <w:rsid w:val="00957E8B"/>
    <w:rsid w:val="009604C4"/>
    <w:rsid w:val="009606D0"/>
    <w:rsid w:val="00960D74"/>
    <w:rsid w:val="00960DB6"/>
    <w:rsid w:val="00960E47"/>
    <w:rsid w:val="00960F7D"/>
    <w:rsid w:val="0096120C"/>
    <w:rsid w:val="009613A2"/>
    <w:rsid w:val="0096141C"/>
    <w:rsid w:val="0096148D"/>
    <w:rsid w:val="0096173B"/>
    <w:rsid w:val="009619B4"/>
    <w:rsid w:val="00961B57"/>
    <w:rsid w:val="00961DE1"/>
    <w:rsid w:val="00961E9C"/>
    <w:rsid w:val="0096271D"/>
    <w:rsid w:val="00962D1B"/>
    <w:rsid w:val="00962E14"/>
    <w:rsid w:val="00962EC1"/>
    <w:rsid w:val="009636B9"/>
    <w:rsid w:val="0096393C"/>
    <w:rsid w:val="00963BFD"/>
    <w:rsid w:val="00963C0F"/>
    <w:rsid w:val="00963D9E"/>
    <w:rsid w:val="00964089"/>
    <w:rsid w:val="0096410E"/>
    <w:rsid w:val="009645AC"/>
    <w:rsid w:val="00964A1F"/>
    <w:rsid w:val="00964ABF"/>
    <w:rsid w:val="00964AD7"/>
    <w:rsid w:val="00964C74"/>
    <w:rsid w:val="00964D55"/>
    <w:rsid w:val="00965143"/>
    <w:rsid w:val="00965485"/>
    <w:rsid w:val="00965619"/>
    <w:rsid w:val="00965B0F"/>
    <w:rsid w:val="00965BEA"/>
    <w:rsid w:val="00965CAD"/>
    <w:rsid w:val="0096602B"/>
    <w:rsid w:val="0096632F"/>
    <w:rsid w:val="00966805"/>
    <w:rsid w:val="00966B88"/>
    <w:rsid w:val="00966CDD"/>
    <w:rsid w:val="00966DE5"/>
    <w:rsid w:val="00966E14"/>
    <w:rsid w:val="00966E54"/>
    <w:rsid w:val="009670AF"/>
    <w:rsid w:val="00967A79"/>
    <w:rsid w:val="00967B9C"/>
    <w:rsid w:val="00967FA1"/>
    <w:rsid w:val="009700C9"/>
    <w:rsid w:val="00970BD9"/>
    <w:rsid w:val="00970EA4"/>
    <w:rsid w:val="00970FBB"/>
    <w:rsid w:val="00971522"/>
    <w:rsid w:val="00971A17"/>
    <w:rsid w:val="00971B9B"/>
    <w:rsid w:val="00971D85"/>
    <w:rsid w:val="00971DF9"/>
    <w:rsid w:val="00971FA1"/>
    <w:rsid w:val="009720E3"/>
    <w:rsid w:val="00972CB8"/>
    <w:rsid w:val="009737F5"/>
    <w:rsid w:val="009738BA"/>
    <w:rsid w:val="00973A2F"/>
    <w:rsid w:val="00973AB8"/>
    <w:rsid w:val="00973E07"/>
    <w:rsid w:val="00973F66"/>
    <w:rsid w:val="009741D8"/>
    <w:rsid w:val="009742F3"/>
    <w:rsid w:val="0097466B"/>
    <w:rsid w:val="00974945"/>
    <w:rsid w:val="009753A8"/>
    <w:rsid w:val="009755AB"/>
    <w:rsid w:val="009757D5"/>
    <w:rsid w:val="00975838"/>
    <w:rsid w:val="0097585F"/>
    <w:rsid w:val="00975A3C"/>
    <w:rsid w:val="00975B97"/>
    <w:rsid w:val="00975F13"/>
    <w:rsid w:val="00975F49"/>
    <w:rsid w:val="0097696C"/>
    <w:rsid w:val="00976DB3"/>
    <w:rsid w:val="00977014"/>
    <w:rsid w:val="009776FA"/>
    <w:rsid w:val="00977772"/>
    <w:rsid w:val="009777E2"/>
    <w:rsid w:val="00977846"/>
    <w:rsid w:val="00977993"/>
    <w:rsid w:val="00977DB5"/>
    <w:rsid w:val="00977FA5"/>
    <w:rsid w:val="0098015A"/>
    <w:rsid w:val="00980351"/>
    <w:rsid w:val="009805A7"/>
    <w:rsid w:val="009806CA"/>
    <w:rsid w:val="00980AD3"/>
    <w:rsid w:val="00980B6C"/>
    <w:rsid w:val="00980F0B"/>
    <w:rsid w:val="00980F0D"/>
    <w:rsid w:val="0098158D"/>
    <w:rsid w:val="009819D9"/>
    <w:rsid w:val="00981CAE"/>
    <w:rsid w:val="00981FA8"/>
    <w:rsid w:val="00982088"/>
    <w:rsid w:val="00982125"/>
    <w:rsid w:val="00982358"/>
    <w:rsid w:val="009823D9"/>
    <w:rsid w:val="0098253B"/>
    <w:rsid w:val="009829B9"/>
    <w:rsid w:val="00982B6F"/>
    <w:rsid w:val="00982DC0"/>
    <w:rsid w:val="00983235"/>
    <w:rsid w:val="009834B4"/>
    <w:rsid w:val="00983A0A"/>
    <w:rsid w:val="00983AB5"/>
    <w:rsid w:val="00983DCF"/>
    <w:rsid w:val="00983EFD"/>
    <w:rsid w:val="009840DA"/>
    <w:rsid w:val="009841FC"/>
    <w:rsid w:val="009844F1"/>
    <w:rsid w:val="009845C8"/>
    <w:rsid w:val="00984682"/>
    <w:rsid w:val="009847AA"/>
    <w:rsid w:val="00984A6C"/>
    <w:rsid w:val="00984D4C"/>
    <w:rsid w:val="009850A0"/>
    <w:rsid w:val="009857EF"/>
    <w:rsid w:val="00985AC6"/>
    <w:rsid w:val="00985C96"/>
    <w:rsid w:val="00985D98"/>
    <w:rsid w:val="00985FC0"/>
    <w:rsid w:val="00986069"/>
    <w:rsid w:val="0098611D"/>
    <w:rsid w:val="00986219"/>
    <w:rsid w:val="009862FF"/>
    <w:rsid w:val="009863EF"/>
    <w:rsid w:val="009864AE"/>
    <w:rsid w:val="00987212"/>
    <w:rsid w:val="009872D2"/>
    <w:rsid w:val="0098735C"/>
    <w:rsid w:val="0098758E"/>
    <w:rsid w:val="0098777E"/>
    <w:rsid w:val="00987A14"/>
    <w:rsid w:val="00987BA7"/>
    <w:rsid w:val="0099003A"/>
    <w:rsid w:val="009901AA"/>
    <w:rsid w:val="00990655"/>
    <w:rsid w:val="009906D7"/>
    <w:rsid w:val="009908CA"/>
    <w:rsid w:val="009908F4"/>
    <w:rsid w:val="009909F9"/>
    <w:rsid w:val="00990BDA"/>
    <w:rsid w:val="00990C0A"/>
    <w:rsid w:val="00990DDE"/>
    <w:rsid w:val="00990F7C"/>
    <w:rsid w:val="00990FB6"/>
    <w:rsid w:val="0099114E"/>
    <w:rsid w:val="00991222"/>
    <w:rsid w:val="0099158E"/>
    <w:rsid w:val="00991685"/>
    <w:rsid w:val="00991B1A"/>
    <w:rsid w:val="00991D8D"/>
    <w:rsid w:val="00991F38"/>
    <w:rsid w:val="0099202C"/>
    <w:rsid w:val="00992041"/>
    <w:rsid w:val="00992179"/>
    <w:rsid w:val="009921E7"/>
    <w:rsid w:val="0099264D"/>
    <w:rsid w:val="0099264F"/>
    <w:rsid w:val="009926AD"/>
    <w:rsid w:val="00992802"/>
    <w:rsid w:val="009928C6"/>
    <w:rsid w:val="0099295A"/>
    <w:rsid w:val="0099298A"/>
    <w:rsid w:val="0099308D"/>
    <w:rsid w:val="009936A7"/>
    <w:rsid w:val="00993B80"/>
    <w:rsid w:val="0099409E"/>
    <w:rsid w:val="009941C0"/>
    <w:rsid w:val="00994274"/>
    <w:rsid w:val="00994305"/>
    <w:rsid w:val="00994653"/>
    <w:rsid w:val="0099474E"/>
    <w:rsid w:val="0099479A"/>
    <w:rsid w:val="009948F1"/>
    <w:rsid w:val="00994994"/>
    <w:rsid w:val="00994A54"/>
    <w:rsid w:val="00994F80"/>
    <w:rsid w:val="009954E6"/>
    <w:rsid w:val="00995756"/>
    <w:rsid w:val="0099575D"/>
    <w:rsid w:val="009957CB"/>
    <w:rsid w:val="00995A25"/>
    <w:rsid w:val="00995D20"/>
    <w:rsid w:val="00995F1F"/>
    <w:rsid w:val="009960AB"/>
    <w:rsid w:val="009963C4"/>
    <w:rsid w:val="00996749"/>
    <w:rsid w:val="00996941"/>
    <w:rsid w:val="00996A2F"/>
    <w:rsid w:val="00996A69"/>
    <w:rsid w:val="00996AEE"/>
    <w:rsid w:val="00996B53"/>
    <w:rsid w:val="009971B9"/>
    <w:rsid w:val="00997417"/>
    <w:rsid w:val="009975F5"/>
    <w:rsid w:val="0099784D"/>
    <w:rsid w:val="00997F5E"/>
    <w:rsid w:val="00997FC7"/>
    <w:rsid w:val="009A0434"/>
    <w:rsid w:val="009A0521"/>
    <w:rsid w:val="009A0B64"/>
    <w:rsid w:val="009A0C79"/>
    <w:rsid w:val="009A0CB3"/>
    <w:rsid w:val="009A0F21"/>
    <w:rsid w:val="009A1321"/>
    <w:rsid w:val="009A1563"/>
    <w:rsid w:val="009A1A81"/>
    <w:rsid w:val="009A1C06"/>
    <w:rsid w:val="009A1E4F"/>
    <w:rsid w:val="009A21E2"/>
    <w:rsid w:val="009A21E3"/>
    <w:rsid w:val="009A268F"/>
    <w:rsid w:val="009A2A18"/>
    <w:rsid w:val="009A2D03"/>
    <w:rsid w:val="009A3050"/>
    <w:rsid w:val="009A343A"/>
    <w:rsid w:val="009A3822"/>
    <w:rsid w:val="009A38D3"/>
    <w:rsid w:val="009A39A8"/>
    <w:rsid w:val="009A39DC"/>
    <w:rsid w:val="009A3F27"/>
    <w:rsid w:val="009A40D7"/>
    <w:rsid w:val="009A42A9"/>
    <w:rsid w:val="009A43FC"/>
    <w:rsid w:val="009A46E9"/>
    <w:rsid w:val="009A4965"/>
    <w:rsid w:val="009A4A80"/>
    <w:rsid w:val="009A4B8B"/>
    <w:rsid w:val="009A4BC8"/>
    <w:rsid w:val="009A4EE2"/>
    <w:rsid w:val="009A4FEB"/>
    <w:rsid w:val="009A5035"/>
    <w:rsid w:val="009A5115"/>
    <w:rsid w:val="009A52B5"/>
    <w:rsid w:val="009A531C"/>
    <w:rsid w:val="009A56B8"/>
    <w:rsid w:val="009A5753"/>
    <w:rsid w:val="009A57EB"/>
    <w:rsid w:val="009A599D"/>
    <w:rsid w:val="009A606E"/>
    <w:rsid w:val="009A6437"/>
    <w:rsid w:val="009A6465"/>
    <w:rsid w:val="009A65B0"/>
    <w:rsid w:val="009A6612"/>
    <w:rsid w:val="009A67A3"/>
    <w:rsid w:val="009A68C8"/>
    <w:rsid w:val="009A699B"/>
    <w:rsid w:val="009A6CA4"/>
    <w:rsid w:val="009A7168"/>
    <w:rsid w:val="009A71BC"/>
    <w:rsid w:val="009A73EF"/>
    <w:rsid w:val="009A7BA5"/>
    <w:rsid w:val="009B09DE"/>
    <w:rsid w:val="009B103D"/>
    <w:rsid w:val="009B1313"/>
    <w:rsid w:val="009B134F"/>
    <w:rsid w:val="009B1569"/>
    <w:rsid w:val="009B162D"/>
    <w:rsid w:val="009B180C"/>
    <w:rsid w:val="009B1A59"/>
    <w:rsid w:val="009B2036"/>
    <w:rsid w:val="009B23D4"/>
    <w:rsid w:val="009B2D58"/>
    <w:rsid w:val="009B2E91"/>
    <w:rsid w:val="009B3624"/>
    <w:rsid w:val="009B3BFF"/>
    <w:rsid w:val="009B3E75"/>
    <w:rsid w:val="009B3EBA"/>
    <w:rsid w:val="009B3EFA"/>
    <w:rsid w:val="009B42F4"/>
    <w:rsid w:val="009B496D"/>
    <w:rsid w:val="009B4A9B"/>
    <w:rsid w:val="009B5039"/>
    <w:rsid w:val="009B570F"/>
    <w:rsid w:val="009B585F"/>
    <w:rsid w:val="009B5C4A"/>
    <w:rsid w:val="009B6A33"/>
    <w:rsid w:val="009B6DDA"/>
    <w:rsid w:val="009B6E04"/>
    <w:rsid w:val="009B6EBC"/>
    <w:rsid w:val="009B7413"/>
    <w:rsid w:val="009B74CB"/>
    <w:rsid w:val="009B7606"/>
    <w:rsid w:val="009B7A84"/>
    <w:rsid w:val="009B7A96"/>
    <w:rsid w:val="009B7ACB"/>
    <w:rsid w:val="009B7BF3"/>
    <w:rsid w:val="009B7C85"/>
    <w:rsid w:val="009B7E02"/>
    <w:rsid w:val="009B7E22"/>
    <w:rsid w:val="009B7F90"/>
    <w:rsid w:val="009B7FD9"/>
    <w:rsid w:val="009C04E9"/>
    <w:rsid w:val="009C08B7"/>
    <w:rsid w:val="009C09B8"/>
    <w:rsid w:val="009C0B9A"/>
    <w:rsid w:val="009C0D95"/>
    <w:rsid w:val="009C0DAD"/>
    <w:rsid w:val="009C0ED1"/>
    <w:rsid w:val="009C0F3A"/>
    <w:rsid w:val="009C1633"/>
    <w:rsid w:val="009C1655"/>
    <w:rsid w:val="009C17C5"/>
    <w:rsid w:val="009C17E2"/>
    <w:rsid w:val="009C181F"/>
    <w:rsid w:val="009C1AD6"/>
    <w:rsid w:val="009C202A"/>
    <w:rsid w:val="009C2214"/>
    <w:rsid w:val="009C22A9"/>
    <w:rsid w:val="009C239A"/>
    <w:rsid w:val="009C25A4"/>
    <w:rsid w:val="009C2E53"/>
    <w:rsid w:val="009C3130"/>
    <w:rsid w:val="009C34BB"/>
    <w:rsid w:val="009C3668"/>
    <w:rsid w:val="009C36AB"/>
    <w:rsid w:val="009C3838"/>
    <w:rsid w:val="009C387F"/>
    <w:rsid w:val="009C3BC4"/>
    <w:rsid w:val="009C404D"/>
    <w:rsid w:val="009C42BD"/>
    <w:rsid w:val="009C42D6"/>
    <w:rsid w:val="009C489D"/>
    <w:rsid w:val="009C4A1B"/>
    <w:rsid w:val="009C4AE7"/>
    <w:rsid w:val="009C4C39"/>
    <w:rsid w:val="009C4CDB"/>
    <w:rsid w:val="009C4D09"/>
    <w:rsid w:val="009C4DC8"/>
    <w:rsid w:val="009C4ECF"/>
    <w:rsid w:val="009C539E"/>
    <w:rsid w:val="009C53E7"/>
    <w:rsid w:val="009C610F"/>
    <w:rsid w:val="009C659F"/>
    <w:rsid w:val="009C65A2"/>
    <w:rsid w:val="009C673A"/>
    <w:rsid w:val="009C6DB8"/>
    <w:rsid w:val="009C6EA2"/>
    <w:rsid w:val="009C6ECF"/>
    <w:rsid w:val="009C70D8"/>
    <w:rsid w:val="009C73E3"/>
    <w:rsid w:val="009C7615"/>
    <w:rsid w:val="009C775F"/>
    <w:rsid w:val="009C7762"/>
    <w:rsid w:val="009C77BF"/>
    <w:rsid w:val="009C7959"/>
    <w:rsid w:val="009C7AE3"/>
    <w:rsid w:val="009C7C37"/>
    <w:rsid w:val="009C7CDD"/>
    <w:rsid w:val="009D0196"/>
    <w:rsid w:val="009D03AC"/>
    <w:rsid w:val="009D06E5"/>
    <w:rsid w:val="009D0DB2"/>
    <w:rsid w:val="009D0FD1"/>
    <w:rsid w:val="009D1077"/>
    <w:rsid w:val="009D11E4"/>
    <w:rsid w:val="009D171A"/>
    <w:rsid w:val="009D1A78"/>
    <w:rsid w:val="009D1AA9"/>
    <w:rsid w:val="009D1BD6"/>
    <w:rsid w:val="009D2096"/>
    <w:rsid w:val="009D2210"/>
    <w:rsid w:val="009D23A2"/>
    <w:rsid w:val="009D2484"/>
    <w:rsid w:val="009D2529"/>
    <w:rsid w:val="009D262A"/>
    <w:rsid w:val="009D29C9"/>
    <w:rsid w:val="009D2B03"/>
    <w:rsid w:val="009D2CD6"/>
    <w:rsid w:val="009D2F81"/>
    <w:rsid w:val="009D302B"/>
    <w:rsid w:val="009D343D"/>
    <w:rsid w:val="009D3502"/>
    <w:rsid w:val="009D39D6"/>
    <w:rsid w:val="009D3BF0"/>
    <w:rsid w:val="009D3F97"/>
    <w:rsid w:val="009D4309"/>
    <w:rsid w:val="009D4C9F"/>
    <w:rsid w:val="009D4D90"/>
    <w:rsid w:val="009D4F2F"/>
    <w:rsid w:val="009D4F93"/>
    <w:rsid w:val="009D505E"/>
    <w:rsid w:val="009D5081"/>
    <w:rsid w:val="009D53F2"/>
    <w:rsid w:val="009D5747"/>
    <w:rsid w:val="009D5986"/>
    <w:rsid w:val="009D5CAD"/>
    <w:rsid w:val="009D5F65"/>
    <w:rsid w:val="009D62D9"/>
    <w:rsid w:val="009D6576"/>
    <w:rsid w:val="009D65A0"/>
    <w:rsid w:val="009D65C9"/>
    <w:rsid w:val="009D6A08"/>
    <w:rsid w:val="009D6AC0"/>
    <w:rsid w:val="009D6CBA"/>
    <w:rsid w:val="009D6D69"/>
    <w:rsid w:val="009D6E07"/>
    <w:rsid w:val="009D7162"/>
    <w:rsid w:val="009D7226"/>
    <w:rsid w:val="009D73E3"/>
    <w:rsid w:val="009D77A8"/>
    <w:rsid w:val="009D7A5B"/>
    <w:rsid w:val="009D7DCA"/>
    <w:rsid w:val="009D7E2C"/>
    <w:rsid w:val="009D7F1A"/>
    <w:rsid w:val="009E00F5"/>
    <w:rsid w:val="009E05A1"/>
    <w:rsid w:val="009E0E64"/>
    <w:rsid w:val="009E1113"/>
    <w:rsid w:val="009E15BA"/>
    <w:rsid w:val="009E17B4"/>
    <w:rsid w:val="009E17D9"/>
    <w:rsid w:val="009E1A18"/>
    <w:rsid w:val="009E1A69"/>
    <w:rsid w:val="009E1B6C"/>
    <w:rsid w:val="009E1DFB"/>
    <w:rsid w:val="009E25D4"/>
    <w:rsid w:val="009E3284"/>
    <w:rsid w:val="009E3299"/>
    <w:rsid w:val="009E3321"/>
    <w:rsid w:val="009E33BA"/>
    <w:rsid w:val="009E33D7"/>
    <w:rsid w:val="009E34F2"/>
    <w:rsid w:val="009E35A8"/>
    <w:rsid w:val="009E3BC7"/>
    <w:rsid w:val="009E3C8F"/>
    <w:rsid w:val="009E3CEB"/>
    <w:rsid w:val="009E425A"/>
    <w:rsid w:val="009E4E20"/>
    <w:rsid w:val="009E505F"/>
    <w:rsid w:val="009E57F4"/>
    <w:rsid w:val="009E5815"/>
    <w:rsid w:val="009E5C98"/>
    <w:rsid w:val="009E5F03"/>
    <w:rsid w:val="009E6094"/>
    <w:rsid w:val="009E610F"/>
    <w:rsid w:val="009E61EB"/>
    <w:rsid w:val="009E6753"/>
    <w:rsid w:val="009E688A"/>
    <w:rsid w:val="009E692D"/>
    <w:rsid w:val="009E6DDC"/>
    <w:rsid w:val="009E6E43"/>
    <w:rsid w:val="009E6EA8"/>
    <w:rsid w:val="009E6F32"/>
    <w:rsid w:val="009E717D"/>
    <w:rsid w:val="009E72CB"/>
    <w:rsid w:val="009E73F1"/>
    <w:rsid w:val="009F0591"/>
    <w:rsid w:val="009F08BF"/>
    <w:rsid w:val="009F0C2B"/>
    <w:rsid w:val="009F1158"/>
    <w:rsid w:val="009F12F9"/>
    <w:rsid w:val="009F132D"/>
    <w:rsid w:val="009F14D4"/>
    <w:rsid w:val="009F1C65"/>
    <w:rsid w:val="009F1E95"/>
    <w:rsid w:val="009F222F"/>
    <w:rsid w:val="009F22C2"/>
    <w:rsid w:val="009F22CF"/>
    <w:rsid w:val="009F232F"/>
    <w:rsid w:val="009F289B"/>
    <w:rsid w:val="009F2CA6"/>
    <w:rsid w:val="009F3357"/>
    <w:rsid w:val="009F3547"/>
    <w:rsid w:val="009F364B"/>
    <w:rsid w:val="009F36EC"/>
    <w:rsid w:val="009F384E"/>
    <w:rsid w:val="009F3959"/>
    <w:rsid w:val="009F39E6"/>
    <w:rsid w:val="009F4104"/>
    <w:rsid w:val="009F456B"/>
    <w:rsid w:val="009F48DF"/>
    <w:rsid w:val="009F4B97"/>
    <w:rsid w:val="009F4E0F"/>
    <w:rsid w:val="009F5110"/>
    <w:rsid w:val="009F5237"/>
    <w:rsid w:val="009F52C6"/>
    <w:rsid w:val="009F54BA"/>
    <w:rsid w:val="009F5576"/>
    <w:rsid w:val="009F56AB"/>
    <w:rsid w:val="009F57AF"/>
    <w:rsid w:val="009F58DF"/>
    <w:rsid w:val="009F5D01"/>
    <w:rsid w:val="009F5D02"/>
    <w:rsid w:val="009F5DF3"/>
    <w:rsid w:val="009F6117"/>
    <w:rsid w:val="009F6150"/>
    <w:rsid w:val="009F6229"/>
    <w:rsid w:val="009F622D"/>
    <w:rsid w:val="009F6536"/>
    <w:rsid w:val="009F65D3"/>
    <w:rsid w:val="009F66E8"/>
    <w:rsid w:val="009F6701"/>
    <w:rsid w:val="009F6818"/>
    <w:rsid w:val="009F68F0"/>
    <w:rsid w:val="009F6930"/>
    <w:rsid w:val="009F6E86"/>
    <w:rsid w:val="009F7293"/>
    <w:rsid w:val="009F739F"/>
    <w:rsid w:val="009F7437"/>
    <w:rsid w:val="009F7512"/>
    <w:rsid w:val="009F7748"/>
    <w:rsid w:val="009F7857"/>
    <w:rsid w:val="009F7B53"/>
    <w:rsid w:val="00A000A2"/>
    <w:rsid w:val="00A00316"/>
    <w:rsid w:val="00A00685"/>
    <w:rsid w:val="00A008B2"/>
    <w:rsid w:val="00A008B4"/>
    <w:rsid w:val="00A008F4"/>
    <w:rsid w:val="00A00AD7"/>
    <w:rsid w:val="00A00E13"/>
    <w:rsid w:val="00A00FFC"/>
    <w:rsid w:val="00A0182E"/>
    <w:rsid w:val="00A018E6"/>
    <w:rsid w:val="00A01900"/>
    <w:rsid w:val="00A01AE7"/>
    <w:rsid w:val="00A01AF6"/>
    <w:rsid w:val="00A01F60"/>
    <w:rsid w:val="00A02024"/>
    <w:rsid w:val="00A021A1"/>
    <w:rsid w:val="00A02947"/>
    <w:rsid w:val="00A02A36"/>
    <w:rsid w:val="00A02B12"/>
    <w:rsid w:val="00A031EE"/>
    <w:rsid w:val="00A03714"/>
    <w:rsid w:val="00A03768"/>
    <w:rsid w:val="00A037A8"/>
    <w:rsid w:val="00A037CA"/>
    <w:rsid w:val="00A039C8"/>
    <w:rsid w:val="00A03A80"/>
    <w:rsid w:val="00A03B4E"/>
    <w:rsid w:val="00A03DFB"/>
    <w:rsid w:val="00A04005"/>
    <w:rsid w:val="00A04ADC"/>
    <w:rsid w:val="00A04C02"/>
    <w:rsid w:val="00A04F2A"/>
    <w:rsid w:val="00A04F30"/>
    <w:rsid w:val="00A05612"/>
    <w:rsid w:val="00A05749"/>
    <w:rsid w:val="00A05D83"/>
    <w:rsid w:val="00A05DBE"/>
    <w:rsid w:val="00A05F76"/>
    <w:rsid w:val="00A05FF8"/>
    <w:rsid w:val="00A067BF"/>
    <w:rsid w:val="00A067C0"/>
    <w:rsid w:val="00A06999"/>
    <w:rsid w:val="00A06ABB"/>
    <w:rsid w:val="00A06AD0"/>
    <w:rsid w:val="00A06C25"/>
    <w:rsid w:val="00A06E22"/>
    <w:rsid w:val="00A07088"/>
    <w:rsid w:val="00A070AF"/>
    <w:rsid w:val="00A0751F"/>
    <w:rsid w:val="00A075DE"/>
    <w:rsid w:val="00A076CB"/>
    <w:rsid w:val="00A077BA"/>
    <w:rsid w:val="00A07924"/>
    <w:rsid w:val="00A07AF7"/>
    <w:rsid w:val="00A07B61"/>
    <w:rsid w:val="00A10573"/>
    <w:rsid w:val="00A107DF"/>
    <w:rsid w:val="00A10FDB"/>
    <w:rsid w:val="00A1156A"/>
    <w:rsid w:val="00A11589"/>
    <w:rsid w:val="00A11AD2"/>
    <w:rsid w:val="00A11F58"/>
    <w:rsid w:val="00A12016"/>
    <w:rsid w:val="00A12059"/>
    <w:rsid w:val="00A122AA"/>
    <w:rsid w:val="00A122E1"/>
    <w:rsid w:val="00A1242F"/>
    <w:rsid w:val="00A127A9"/>
    <w:rsid w:val="00A12938"/>
    <w:rsid w:val="00A12C70"/>
    <w:rsid w:val="00A12CE4"/>
    <w:rsid w:val="00A1328C"/>
    <w:rsid w:val="00A13377"/>
    <w:rsid w:val="00A135A6"/>
    <w:rsid w:val="00A135B0"/>
    <w:rsid w:val="00A13621"/>
    <w:rsid w:val="00A13671"/>
    <w:rsid w:val="00A139D2"/>
    <w:rsid w:val="00A13B8D"/>
    <w:rsid w:val="00A13D50"/>
    <w:rsid w:val="00A1400A"/>
    <w:rsid w:val="00A14085"/>
    <w:rsid w:val="00A141FA"/>
    <w:rsid w:val="00A1429A"/>
    <w:rsid w:val="00A14370"/>
    <w:rsid w:val="00A146D1"/>
    <w:rsid w:val="00A14D51"/>
    <w:rsid w:val="00A14E04"/>
    <w:rsid w:val="00A15012"/>
    <w:rsid w:val="00A1506E"/>
    <w:rsid w:val="00A150E4"/>
    <w:rsid w:val="00A150E9"/>
    <w:rsid w:val="00A1514F"/>
    <w:rsid w:val="00A1515E"/>
    <w:rsid w:val="00A152D9"/>
    <w:rsid w:val="00A15539"/>
    <w:rsid w:val="00A15544"/>
    <w:rsid w:val="00A1556E"/>
    <w:rsid w:val="00A15EDA"/>
    <w:rsid w:val="00A162F2"/>
    <w:rsid w:val="00A1647D"/>
    <w:rsid w:val="00A16583"/>
    <w:rsid w:val="00A16D1B"/>
    <w:rsid w:val="00A16EEB"/>
    <w:rsid w:val="00A1706F"/>
    <w:rsid w:val="00A17435"/>
    <w:rsid w:val="00A17883"/>
    <w:rsid w:val="00A179E2"/>
    <w:rsid w:val="00A17CDA"/>
    <w:rsid w:val="00A17E45"/>
    <w:rsid w:val="00A17F75"/>
    <w:rsid w:val="00A200E6"/>
    <w:rsid w:val="00A20330"/>
    <w:rsid w:val="00A203F9"/>
    <w:rsid w:val="00A205C5"/>
    <w:rsid w:val="00A205F5"/>
    <w:rsid w:val="00A20838"/>
    <w:rsid w:val="00A20857"/>
    <w:rsid w:val="00A20F23"/>
    <w:rsid w:val="00A21351"/>
    <w:rsid w:val="00A21390"/>
    <w:rsid w:val="00A215A1"/>
    <w:rsid w:val="00A217AB"/>
    <w:rsid w:val="00A21B72"/>
    <w:rsid w:val="00A21B97"/>
    <w:rsid w:val="00A21BAC"/>
    <w:rsid w:val="00A221B4"/>
    <w:rsid w:val="00A2235E"/>
    <w:rsid w:val="00A224D2"/>
    <w:rsid w:val="00A2275D"/>
    <w:rsid w:val="00A228E9"/>
    <w:rsid w:val="00A22CC9"/>
    <w:rsid w:val="00A22D11"/>
    <w:rsid w:val="00A22E57"/>
    <w:rsid w:val="00A22EC6"/>
    <w:rsid w:val="00A23099"/>
    <w:rsid w:val="00A230B8"/>
    <w:rsid w:val="00A23470"/>
    <w:rsid w:val="00A23559"/>
    <w:rsid w:val="00A23C96"/>
    <w:rsid w:val="00A23E9B"/>
    <w:rsid w:val="00A24133"/>
    <w:rsid w:val="00A2458D"/>
    <w:rsid w:val="00A245F3"/>
    <w:rsid w:val="00A24784"/>
    <w:rsid w:val="00A24B48"/>
    <w:rsid w:val="00A24F53"/>
    <w:rsid w:val="00A24F6F"/>
    <w:rsid w:val="00A2511D"/>
    <w:rsid w:val="00A2514B"/>
    <w:rsid w:val="00A25189"/>
    <w:rsid w:val="00A25220"/>
    <w:rsid w:val="00A255A1"/>
    <w:rsid w:val="00A25694"/>
    <w:rsid w:val="00A25ABE"/>
    <w:rsid w:val="00A25CA5"/>
    <w:rsid w:val="00A25F09"/>
    <w:rsid w:val="00A260B9"/>
    <w:rsid w:val="00A2611F"/>
    <w:rsid w:val="00A2640B"/>
    <w:rsid w:val="00A26418"/>
    <w:rsid w:val="00A2645A"/>
    <w:rsid w:val="00A26C48"/>
    <w:rsid w:val="00A26CA1"/>
    <w:rsid w:val="00A26CAE"/>
    <w:rsid w:val="00A26CE0"/>
    <w:rsid w:val="00A26E88"/>
    <w:rsid w:val="00A2716C"/>
    <w:rsid w:val="00A27245"/>
    <w:rsid w:val="00A27384"/>
    <w:rsid w:val="00A274B1"/>
    <w:rsid w:val="00A27656"/>
    <w:rsid w:val="00A2783B"/>
    <w:rsid w:val="00A278C2"/>
    <w:rsid w:val="00A278ED"/>
    <w:rsid w:val="00A27F34"/>
    <w:rsid w:val="00A27FDA"/>
    <w:rsid w:val="00A3013F"/>
    <w:rsid w:val="00A30214"/>
    <w:rsid w:val="00A30262"/>
    <w:rsid w:val="00A306A3"/>
    <w:rsid w:val="00A306C7"/>
    <w:rsid w:val="00A30851"/>
    <w:rsid w:val="00A30855"/>
    <w:rsid w:val="00A308F7"/>
    <w:rsid w:val="00A30A4C"/>
    <w:rsid w:val="00A30B15"/>
    <w:rsid w:val="00A30CDE"/>
    <w:rsid w:val="00A30F44"/>
    <w:rsid w:val="00A31230"/>
    <w:rsid w:val="00A313C7"/>
    <w:rsid w:val="00A314D6"/>
    <w:rsid w:val="00A316C7"/>
    <w:rsid w:val="00A318CD"/>
    <w:rsid w:val="00A31C08"/>
    <w:rsid w:val="00A32115"/>
    <w:rsid w:val="00A321D8"/>
    <w:rsid w:val="00A323E0"/>
    <w:rsid w:val="00A323F8"/>
    <w:rsid w:val="00A324E6"/>
    <w:rsid w:val="00A32976"/>
    <w:rsid w:val="00A32AD5"/>
    <w:rsid w:val="00A32F26"/>
    <w:rsid w:val="00A331EE"/>
    <w:rsid w:val="00A3398C"/>
    <w:rsid w:val="00A33C06"/>
    <w:rsid w:val="00A33D0C"/>
    <w:rsid w:val="00A33ECF"/>
    <w:rsid w:val="00A3497D"/>
    <w:rsid w:val="00A34C1B"/>
    <w:rsid w:val="00A34DC1"/>
    <w:rsid w:val="00A35099"/>
    <w:rsid w:val="00A35624"/>
    <w:rsid w:val="00A356D0"/>
    <w:rsid w:val="00A360E9"/>
    <w:rsid w:val="00A36117"/>
    <w:rsid w:val="00A36550"/>
    <w:rsid w:val="00A367F4"/>
    <w:rsid w:val="00A36A27"/>
    <w:rsid w:val="00A36AAE"/>
    <w:rsid w:val="00A36DBE"/>
    <w:rsid w:val="00A36E14"/>
    <w:rsid w:val="00A36EFB"/>
    <w:rsid w:val="00A36F86"/>
    <w:rsid w:val="00A370BA"/>
    <w:rsid w:val="00A372A8"/>
    <w:rsid w:val="00A373C8"/>
    <w:rsid w:val="00A373EE"/>
    <w:rsid w:val="00A37AEC"/>
    <w:rsid w:val="00A37CCC"/>
    <w:rsid w:val="00A37DA4"/>
    <w:rsid w:val="00A37E78"/>
    <w:rsid w:val="00A37EB8"/>
    <w:rsid w:val="00A37F3A"/>
    <w:rsid w:val="00A4010C"/>
    <w:rsid w:val="00A40BC5"/>
    <w:rsid w:val="00A40BEE"/>
    <w:rsid w:val="00A40CE5"/>
    <w:rsid w:val="00A40F02"/>
    <w:rsid w:val="00A40F11"/>
    <w:rsid w:val="00A4108A"/>
    <w:rsid w:val="00A41091"/>
    <w:rsid w:val="00A410F6"/>
    <w:rsid w:val="00A41353"/>
    <w:rsid w:val="00A41628"/>
    <w:rsid w:val="00A41808"/>
    <w:rsid w:val="00A41944"/>
    <w:rsid w:val="00A42314"/>
    <w:rsid w:val="00A423D0"/>
    <w:rsid w:val="00A42994"/>
    <w:rsid w:val="00A42C4A"/>
    <w:rsid w:val="00A43068"/>
    <w:rsid w:val="00A43169"/>
    <w:rsid w:val="00A432AF"/>
    <w:rsid w:val="00A43378"/>
    <w:rsid w:val="00A43532"/>
    <w:rsid w:val="00A43911"/>
    <w:rsid w:val="00A439A0"/>
    <w:rsid w:val="00A43B57"/>
    <w:rsid w:val="00A43C72"/>
    <w:rsid w:val="00A43D37"/>
    <w:rsid w:val="00A43ECC"/>
    <w:rsid w:val="00A44351"/>
    <w:rsid w:val="00A446BB"/>
    <w:rsid w:val="00A4486E"/>
    <w:rsid w:val="00A44AA9"/>
    <w:rsid w:val="00A44AE3"/>
    <w:rsid w:val="00A44C61"/>
    <w:rsid w:val="00A44F3C"/>
    <w:rsid w:val="00A457FA"/>
    <w:rsid w:val="00A457FC"/>
    <w:rsid w:val="00A45B6E"/>
    <w:rsid w:val="00A45D1E"/>
    <w:rsid w:val="00A45E1D"/>
    <w:rsid w:val="00A45E22"/>
    <w:rsid w:val="00A45FC3"/>
    <w:rsid w:val="00A46BE0"/>
    <w:rsid w:val="00A46DB3"/>
    <w:rsid w:val="00A470DE"/>
    <w:rsid w:val="00A47B80"/>
    <w:rsid w:val="00A47CB2"/>
    <w:rsid w:val="00A47EDC"/>
    <w:rsid w:val="00A47FD4"/>
    <w:rsid w:val="00A5000F"/>
    <w:rsid w:val="00A5029F"/>
    <w:rsid w:val="00A502CD"/>
    <w:rsid w:val="00A502FB"/>
    <w:rsid w:val="00A50446"/>
    <w:rsid w:val="00A505E6"/>
    <w:rsid w:val="00A509A8"/>
    <w:rsid w:val="00A5107F"/>
    <w:rsid w:val="00A5111B"/>
    <w:rsid w:val="00A511E2"/>
    <w:rsid w:val="00A51251"/>
    <w:rsid w:val="00A5130C"/>
    <w:rsid w:val="00A5134B"/>
    <w:rsid w:val="00A51426"/>
    <w:rsid w:val="00A514C5"/>
    <w:rsid w:val="00A515E5"/>
    <w:rsid w:val="00A515F4"/>
    <w:rsid w:val="00A517A4"/>
    <w:rsid w:val="00A519AB"/>
    <w:rsid w:val="00A51CEB"/>
    <w:rsid w:val="00A51E39"/>
    <w:rsid w:val="00A521C4"/>
    <w:rsid w:val="00A5278C"/>
    <w:rsid w:val="00A52B23"/>
    <w:rsid w:val="00A53133"/>
    <w:rsid w:val="00A536A6"/>
    <w:rsid w:val="00A53A0D"/>
    <w:rsid w:val="00A53A2A"/>
    <w:rsid w:val="00A53AF6"/>
    <w:rsid w:val="00A53D09"/>
    <w:rsid w:val="00A541A8"/>
    <w:rsid w:val="00A5424A"/>
    <w:rsid w:val="00A54399"/>
    <w:rsid w:val="00A54745"/>
    <w:rsid w:val="00A547A7"/>
    <w:rsid w:val="00A54830"/>
    <w:rsid w:val="00A54930"/>
    <w:rsid w:val="00A550B1"/>
    <w:rsid w:val="00A550F4"/>
    <w:rsid w:val="00A553B6"/>
    <w:rsid w:val="00A55655"/>
    <w:rsid w:val="00A5585F"/>
    <w:rsid w:val="00A55F5A"/>
    <w:rsid w:val="00A5689F"/>
    <w:rsid w:val="00A5690B"/>
    <w:rsid w:val="00A56CE6"/>
    <w:rsid w:val="00A56DBB"/>
    <w:rsid w:val="00A57043"/>
    <w:rsid w:val="00A571D0"/>
    <w:rsid w:val="00A57549"/>
    <w:rsid w:val="00A575BB"/>
    <w:rsid w:val="00A5760B"/>
    <w:rsid w:val="00A576C8"/>
    <w:rsid w:val="00A5781F"/>
    <w:rsid w:val="00A57A51"/>
    <w:rsid w:val="00A57D8A"/>
    <w:rsid w:val="00A57D8F"/>
    <w:rsid w:val="00A57FD0"/>
    <w:rsid w:val="00A60085"/>
    <w:rsid w:val="00A60334"/>
    <w:rsid w:val="00A603D4"/>
    <w:rsid w:val="00A607E6"/>
    <w:rsid w:val="00A60BF3"/>
    <w:rsid w:val="00A60C66"/>
    <w:rsid w:val="00A60CD8"/>
    <w:rsid w:val="00A60D0E"/>
    <w:rsid w:val="00A60D15"/>
    <w:rsid w:val="00A60DCE"/>
    <w:rsid w:val="00A60E81"/>
    <w:rsid w:val="00A610D4"/>
    <w:rsid w:val="00A613FB"/>
    <w:rsid w:val="00A615DC"/>
    <w:rsid w:val="00A61899"/>
    <w:rsid w:val="00A61C57"/>
    <w:rsid w:val="00A61CF8"/>
    <w:rsid w:val="00A61EC1"/>
    <w:rsid w:val="00A61F6B"/>
    <w:rsid w:val="00A621DE"/>
    <w:rsid w:val="00A6225C"/>
    <w:rsid w:val="00A623B3"/>
    <w:rsid w:val="00A6240E"/>
    <w:rsid w:val="00A62509"/>
    <w:rsid w:val="00A625B4"/>
    <w:rsid w:val="00A62677"/>
    <w:rsid w:val="00A626D6"/>
    <w:rsid w:val="00A627D3"/>
    <w:rsid w:val="00A628F0"/>
    <w:rsid w:val="00A62B41"/>
    <w:rsid w:val="00A62C29"/>
    <w:rsid w:val="00A62DBC"/>
    <w:rsid w:val="00A62E44"/>
    <w:rsid w:val="00A63157"/>
    <w:rsid w:val="00A635D0"/>
    <w:rsid w:val="00A63748"/>
    <w:rsid w:val="00A63790"/>
    <w:rsid w:val="00A637BC"/>
    <w:rsid w:val="00A638E9"/>
    <w:rsid w:val="00A63E31"/>
    <w:rsid w:val="00A63E97"/>
    <w:rsid w:val="00A63F11"/>
    <w:rsid w:val="00A63F61"/>
    <w:rsid w:val="00A646A5"/>
    <w:rsid w:val="00A646C5"/>
    <w:rsid w:val="00A64724"/>
    <w:rsid w:val="00A6477A"/>
    <w:rsid w:val="00A64AC4"/>
    <w:rsid w:val="00A64B7E"/>
    <w:rsid w:val="00A65211"/>
    <w:rsid w:val="00A65514"/>
    <w:rsid w:val="00A65B3F"/>
    <w:rsid w:val="00A65F0D"/>
    <w:rsid w:val="00A6635B"/>
    <w:rsid w:val="00A6637E"/>
    <w:rsid w:val="00A66E3F"/>
    <w:rsid w:val="00A66EF9"/>
    <w:rsid w:val="00A67147"/>
    <w:rsid w:val="00A6715A"/>
    <w:rsid w:val="00A6761C"/>
    <w:rsid w:val="00A6788F"/>
    <w:rsid w:val="00A67BD4"/>
    <w:rsid w:val="00A67E4C"/>
    <w:rsid w:val="00A67F45"/>
    <w:rsid w:val="00A701D5"/>
    <w:rsid w:val="00A7024C"/>
    <w:rsid w:val="00A703E7"/>
    <w:rsid w:val="00A70496"/>
    <w:rsid w:val="00A7061A"/>
    <w:rsid w:val="00A70689"/>
    <w:rsid w:val="00A71362"/>
    <w:rsid w:val="00A7142F"/>
    <w:rsid w:val="00A71714"/>
    <w:rsid w:val="00A71723"/>
    <w:rsid w:val="00A717D3"/>
    <w:rsid w:val="00A71890"/>
    <w:rsid w:val="00A71AED"/>
    <w:rsid w:val="00A71F0D"/>
    <w:rsid w:val="00A721D9"/>
    <w:rsid w:val="00A722BF"/>
    <w:rsid w:val="00A7244B"/>
    <w:rsid w:val="00A72561"/>
    <w:rsid w:val="00A72740"/>
    <w:rsid w:val="00A727FB"/>
    <w:rsid w:val="00A7289E"/>
    <w:rsid w:val="00A72FF7"/>
    <w:rsid w:val="00A73121"/>
    <w:rsid w:val="00A73466"/>
    <w:rsid w:val="00A734C6"/>
    <w:rsid w:val="00A73701"/>
    <w:rsid w:val="00A739DB"/>
    <w:rsid w:val="00A739FE"/>
    <w:rsid w:val="00A73AAD"/>
    <w:rsid w:val="00A73CAB"/>
    <w:rsid w:val="00A73EBE"/>
    <w:rsid w:val="00A7403D"/>
    <w:rsid w:val="00A7418D"/>
    <w:rsid w:val="00A7427A"/>
    <w:rsid w:val="00A74528"/>
    <w:rsid w:val="00A74873"/>
    <w:rsid w:val="00A74A13"/>
    <w:rsid w:val="00A74F3B"/>
    <w:rsid w:val="00A74F51"/>
    <w:rsid w:val="00A75133"/>
    <w:rsid w:val="00A752A0"/>
    <w:rsid w:val="00A752D3"/>
    <w:rsid w:val="00A75482"/>
    <w:rsid w:val="00A7565B"/>
    <w:rsid w:val="00A758CC"/>
    <w:rsid w:val="00A75AFD"/>
    <w:rsid w:val="00A75B8C"/>
    <w:rsid w:val="00A76359"/>
    <w:rsid w:val="00A76806"/>
    <w:rsid w:val="00A769AA"/>
    <w:rsid w:val="00A769D2"/>
    <w:rsid w:val="00A76B2D"/>
    <w:rsid w:val="00A76CDA"/>
    <w:rsid w:val="00A76DBD"/>
    <w:rsid w:val="00A76EA6"/>
    <w:rsid w:val="00A76F35"/>
    <w:rsid w:val="00A76FAD"/>
    <w:rsid w:val="00A7737D"/>
    <w:rsid w:val="00A775E5"/>
    <w:rsid w:val="00A77789"/>
    <w:rsid w:val="00A77800"/>
    <w:rsid w:val="00A77844"/>
    <w:rsid w:val="00A778CE"/>
    <w:rsid w:val="00A7794A"/>
    <w:rsid w:val="00A77B09"/>
    <w:rsid w:val="00A77C7A"/>
    <w:rsid w:val="00A77DD8"/>
    <w:rsid w:val="00A77E05"/>
    <w:rsid w:val="00A77F13"/>
    <w:rsid w:val="00A80178"/>
    <w:rsid w:val="00A80298"/>
    <w:rsid w:val="00A80353"/>
    <w:rsid w:val="00A80459"/>
    <w:rsid w:val="00A804DF"/>
    <w:rsid w:val="00A80789"/>
    <w:rsid w:val="00A80A52"/>
    <w:rsid w:val="00A80AF5"/>
    <w:rsid w:val="00A80B79"/>
    <w:rsid w:val="00A80BE4"/>
    <w:rsid w:val="00A81507"/>
    <w:rsid w:val="00A8165A"/>
    <w:rsid w:val="00A81A0C"/>
    <w:rsid w:val="00A81A2F"/>
    <w:rsid w:val="00A81B09"/>
    <w:rsid w:val="00A81BEB"/>
    <w:rsid w:val="00A81DD2"/>
    <w:rsid w:val="00A81F10"/>
    <w:rsid w:val="00A8222C"/>
    <w:rsid w:val="00A82467"/>
    <w:rsid w:val="00A827BD"/>
    <w:rsid w:val="00A8284D"/>
    <w:rsid w:val="00A82C1B"/>
    <w:rsid w:val="00A82E27"/>
    <w:rsid w:val="00A82F07"/>
    <w:rsid w:val="00A83786"/>
    <w:rsid w:val="00A83E85"/>
    <w:rsid w:val="00A83EC4"/>
    <w:rsid w:val="00A84051"/>
    <w:rsid w:val="00A84265"/>
    <w:rsid w:val="00A84301"/>
    <w:rsid w:val="00A84396"/>
    <w:rsid w:val="00A84457"/>
    <w:rsid w:val="00A84598"/>
    <w:rsid w:val="00A84885"/>
    <w:rsid w:val="00A84988"/>
    <w:rsid w:val="00A84B75"/>
    <w:rsid w:val="00A84F05"/>
    <w:rsid w:val="00A84FC5"/>
    <w:rsid w:val="00A85058"/>
    <w:rsid w:val="00A858DF"/>
    <w:rsid w:val="00A85A2B"/>
    <w:rsid w:val="00A86506"/>
    <w:rsid w:val="00A86669"/>
    <w:rsid w:val="00A867A3"/>
    <w:rsid w:val="00A86B25"/>
    <w:rsid w:val="00A86EAA"/>
    <w:rsid w:val="00A8715A"/>
    <w:rsid w:val="00A87589"/>
    <w:rsid w:val="00A87763"/>
    <w:rsid w:val="00A8798A"/>
    <w:rsid w:val="00A87B6B"/>
    <w:rsid w:val="00A9005B"/>
    <w:rsid w:val="00A90398"/>
    <w:rsid w:val="00A9047E"/>
    <w:rsid w:val="00A907A8"/>
    <w:rsid w:val="00A90B88"/>
    <w:rsid w:val="00A90F5C"/>
    <w:rsid w:val="00A91046"/>
    <w:rsid w:val="00A917CE"/>
    <w:rsid w:val="00A9188E"/>
    <w:rsid w:val="00A91967"/>
    <w:rsid w:val="00A928E9"/>
    <w:rsid w:val="00A92969"/>
    <w:rsid w:val="00A92CCA"/>
    <w:rsid w:val="00A93F0E"/>
    <w:rsid w:val="00A94149"/>
    <w:rsid w:val="00A943B4"/>
    <w:rsid w:val="00A944C8"/>
    <w:rsid w:val="00A953D8"/>
    <w:rsid w:val="00A958FF"/>
    <w:rsid w:val="00A95944"/>
    <w:rsid w:val="00A959E1"/>
    <w:rsid w:val="00A95BC4"/>
    <w:rsid w:val="00A960CE"/>
    <w:rsid w:val="00A96165"/>
    <w:rsid w:val="00A96193"/>
    <w:rsid w:val="00A9629E"/>
    <w:rsid w:val="00A966B8"/>
    <w:rsid w:val="00A96A6F"/>
    <w:rsid w:val="00A96B19"/>
    <w:rsid w:val="00A96C87"/>
    <w:rsid w:val="00A96CAD"/>
    <w:rsid w:val="00A96DBE"/>
    <w:rsid w:val="00A96E5F"/>
    <w:rsid w:val="00A9704E"/>
    <w:rsid w:val="00A972E2"/>
    <w:rsid w:val="00A973F7"/>
    <w:rsid w:val="00A9750B"/>
    <w:rsid w:val="00A97B29"/>
    <w:rsid w:val="00A97DC3"/>
    <w:rsid w:val="00A97E7A"/>
    <w:rsid w:val="00AA00C4"/>
    <w:rsid w:val="00AA01F9"/>
    <w:rsid w:val="00AA0264"/>
    <w:rsid w:val="00AA02ED"/>
    <w:rsid w:val="00AA0640"/>
    <w:rsid w:val="00AA0668"/>
    <w:rsid w:val="00AA0833"/>
    <w:rsid w:val="00AA0A7E"/>
    <w:rsid w:val="00AA0A86"/>
    <w:rsid w:val="00AA0BB9"/>
    <w:rsid w:val="00AA0C32"/>
    <w:rsid w:val="00AA0CB5"/>
    <w:rsid w:val="00AA0F7B"/>
    <w:rsid w:val="00AA10A0"/>
    <w:rsid w:val="00AA111F"/>
    <w:rsid w:val="00AA138B"/>
    <w:rsid w:val="00AA1445"/>
    <w:rsid w:val="00AA1F70"/>
    <w:rsid w:val="00AA206D"/>
    <w:rsid w:val="00AA2AD8"/>
    <w:rsid w:val="00AA2B2E"/>
    <w:rsid w:val="00AA30EC"/>
    <w:rsid w:val="00AA3350"/>
    <w:rsid w:val="00AA337E"/>
    <w:rsid w:val="00AA34B2"/>
    <w:rsid w:val="00AA35FE"/>
    <w:rsid w:val="00AA3734"/>
    <w:rsid w:val="00AA380D"/>
    <w:rsid w:val="00AA3A0B"/>
    <w:rsid w:val="00AA3CF4"/>
    <w:rsid w:val="00AA3E2F"/>
    <w:rsid w:val="00AA3EAF"/>
    <w:rsid w:val="00AA3EE1"/>
    <w:rsid w:val="00AA4119"/>
    <w:rsid w:val="00AA4146"/>
    <w:rsid w:val="00AA414C"/>
    <w:rsid w:val="00AA41C6"/>
    <w:rsid w:val="00AA4333"/>
    <w:rsid w:val="00AA47C9"/>
    <w:rsid w:val="00AA4E3B"/>
    <w:rsid w:val="00AA5249"/>
    <w:rsid w:val="00AA524D"/>
    <w:rsid w:val="00AA53D0"/>
    <w:rsid w:val="00AA5409"/>
    <w:rsid w:val="00AA5510"/>
    <w:rsid w:val="00AA558B"/>
    <w:rsid w:val="00AA59E1"/>
    <w:rsid w:val="00AA5BAB"/>
    <w:rsid w:val="00AA5E17"/>
    <w:rsid w:val="00AA5EB7"/>
    <w:rsid w:val="00AA5FD2"/>
    <w:rsid w:val="00AA6029"/>
    <w:rsid w:val="00AA638C"/>
    <w:rsid w:val="00AA63D7"/>
    <w:rsid w:val="00AA65F2"/>
    <w:rsid w:val="00AA7068"/>
    <w:rsid w:val="00AA7131"/>
    <w:rsid w:val="00AA719D"/>
    <w:rsid w:val="00AA71CF"/>
    <w:rsid w:val="00AA747B"/>
    <w:rsid w:val="00AA750F"/>
    <w:rsid w:val="00AA798E"/>
    <w:rsid w:val="00AA79AD"/>
    <w:rsid w:val="00AA7B91"/>
    <w:rsid w:val="00AA7C9B"/>
    <w:rsid w:val="00AB0189"/>
    <w:rsid w:val="00AB027A"/>
    <w:rsid w:val="00AB029E"/>
    <w:rsid w:val="00AB09A0"/>
    <w:rsid w:val="00AB0DE6"/>
    <w:rsid w:val="00AB130D"/>
    <w:rsid w:val="00AB13B9"/>
    <w:rsid w:val="00AB1401"/>
    <w:rsid w:val="00AB1450"/>
    <w:rsid w:val="00AB1734"/>
    <w:rsid w:val="00AB18E9"/>
    <w:rsid w:val="00AB1A48"/>
    <w:rsid w:val="00AB1BAE"/>
    <w:rsid w:val="00AB1D65"/>
    <w:rsid w:val="00AB262D"/>
    <w:rsid w:val="00AB264F"/>
    <w:rsid w:val="00AB2807"/>
    <w:rsid w:val="00AB2961"/>
    <w:rsid w:val="00AB2B60"/>
    <w:rsid w:val="00AB2C2B"/>
    <w:rsid w:val="00AB2FA6"/>
    <w:rsid w:val="00AB3324"/>
    <w:rsid w:val="00AB3359"/>
    <w:rsid w:val="00AB3381"/>
    <w:rsid w:val="00AB3478"/>
    <w:rsid w:val="00AB35DD"/>
    <w:rsid w:val="00AB38F0"/>
    <w:rsid w:val="00AB392B"/>
    <w:rsid w:val="00AB3959"/>
    <w:rsid w:val="00AB3CD9"/>
    <w:rsid w:val="00AB3D6E"/>
    <w:rsid w:val="00AB45A0"/>
    <w:rsid w:val="00AB4785"/>
    <w:rsid w:val="00AB49AA"/>
    <w:rsid w:val="00AB4C5D"/>
    <w:rsid w:val="00AB4D28"/>
    <w:rsid w:val="00AB4EEF"/>
    <w:rsid w:val="00AB51CA"/>
    <w:rsid w:val="00AB5485"/>
    <w:rsid w:val="00AB5569"/>
    <w:rsid w:val="00AB57A7"/>
    <w:rsid w:val="00AB5B2B"/>
    <w:rsid w:val="00AB5F49"/>
    <w:rsid w:val="00AB646A"/>
    <w:rsid w:val="00AB66AC"/>
    <w:rsid w:val="00AB6950"/>
    <w:rsid w:val="00AB6CA8"/>
    <w:rsid w:val="00AB6EFF"/>
    <w:rsid w:val="00AB71B1"/>
    <w:rsid w:val="00AB7312"/>
    <w:rsid w:val="00AB7534"/>
    <w:rsid w:val="00AB7588"/>
    <w:rsid w:val="00AB7763"/>
    <w:rsid w:val="00AB78B2"/>
    <w:rsid w:val="00AB7CB5"/>
    <w:rsid w:val="00AB7F10"/>
    <w:rsid w:val="00AC0229"/>
    <w:rsid w:val="00AC0240"/>
    <w:rsid w:val="00AC051C"/>
    <w:rsid w:val="00AC056A"/>
    <w:rsid w:val="00AC07B4"/>
    <w:rsid w:val="00AC0BCA"/>
    <w:rsid w:val="00AC12C8"/>
    <w:rsid w:val="00AC1363"/>
    <w:rsid w:val="00AC1381"/>
    <w:rsid w:val="00AC1712"/>
    <w:rsid w:val="00AC17BB"/>
    <w:rsid w:val="00AC2199"/>
    <w:rsid w:val="00AC2599"/>
    <w:rsid w:val="00AC25E6"/>
    <w:rsid w:val="00AC2BB7"/>
    <w:rsid w:val="00AC33F6"/>
    <w:rsid w:val="00AC3462"/>
    <w:rsid w:val="00AC35C9"/>
    <w:rsid w:val="00AC36A4"/>
    <w:rsid w:val="00AC39C2"/>
    <w:rsid w:val="00AC3A7A"/>
    <w:rsid w:val="00AC3CB2"/>
    <w:rsid w:val="00AC4136"/>
    <w:rsid w:val="00AC43CC"/>
    <w:rsid w:val="00AC4624"/>
    <w:rsid w:val="00AC46E1"/>
    <w:rsid w:val="00AC4ADF"/>
    <w:rsid w:val="00AC4B96"/>
    <w:rsid w:val="00AC4D32"/>
    <w:rsid w:val="00AC4E64"/>
    <w:rsid w:val="00AC5399"/>
    <w:rsid w:val="00AC56B6"/>
    <w:rsid w:val="00AC5700"/>
    <w:rsid w:val="00AC573D"/>
    <w:rsid w:val="00AC59C0"/>
    <w:rsid w:val="00AC5A8D"/>
    <w:rsid w:val="00AC5BBE"/>
    <w:rsid w:val="00AC5DED"/>
    <w:rsid w:val="00AC6114"/>
    <w:rsid w:val="00AC638C"/>
    <w:rsid w:val="00AC63B4"/>
    <w:rsid w:val="00AC64A8"/>
    <w:rsid w:val="00AC673A"/>
    <w:rsid w:val="00AC680F"/>
    <w:rsid w:val="00AC68A7"/>
    <w:rsid w:val="00AC6BA8"/>
    <w:rsid w:val="00AC6C12"/>
    <w:rsid w:val="00AC6DE0"/>
    <w:rsid w:val="00AC71A9"/>
    <w:rsid w:val="00AC73B4"/>
    <w:rsid w:val="00AC77B9"/>
    <w:rsid w:val="00AC7C6E"/>
    <w:rsid w:val="00AC7CAC"/>
    <w:rsid w:val="00AC7D29"/>
    <w:rsid w:val="00AC7E3B"/>
    <w:rsid w:val="00AC7E98"/>
    <w:rsid w:val="00AD04AE"/>
    <w:rsid w:val="00AD0E35"/>
    <w:rsid w:val="00AD0F0A"/>
    <w:rsid w:val="00AD0F9A"/>
    <w:rsid w:val="00AD109E"/>
    <w:rsid w:val="00AD17BF"/>
    <w:rsid w:val="00AD190A"/>
    <w:rsid w:val="00AD1E2D"/>
    <w:rsid w:val="00AD2000"/>
    <w:rsid w:val="00AD20B2"/>
    <w:rsid w:val="00AD20E2"/>
    <w:rsid w:val="00AD2338"/>
    <w:rsid w:val="00AD2773"/>
    <w:rsid w:val="00AD2EEE"/>
    <w:rsid w:val="00AD2FB7"/>
    <w:rsid w:val="00AD3572"/>
    <w:rsid w:val="00AD37E1"/>
    <w:rsid w:val="00AD3B3A"/>
    <w:rsid w:val="00AD3BD9"/>
    <w:rsid w:val="00AD3D26"/>
    <w:rsid w:val="00AD436F"/>
    <w:rsid w:val="00AD4483"/>
    <w:rsid w:val="00AD4A4F"/>
    <w:rsid w:val="00AD4C3E"/>
    <w:rsid w:val="00AD4EFB"/>
    <w:rsid w:val="00AD5602"/>
    <w:rsid w:val="00AD565B"/>
    <w:rsid w:val="00AD5740"/>
    <w:rsid w:val="00AD57A1"/>
    <w:rsid w:val="00AD5B03"/>
    <w:rsid w:val="00AD5B7B"/>
    <w:rsid w:val="00AD5C61"/>
    <w:rsid w:val="00AD5E6F"/>
    <w:rsid w:val="00AD5EDC"/>
    <w:rsid w:val="00AD5EEC"/>
    <w:rsid w:val="00AD6152"/>
    <w:rsid w:val="00AD63C8"/>
    <w:rsid w:val="00AD681A"/>
    <w:rsid w:val="00AD6C0F"/>
    <w:rsid w:val="00AD6C2A"/>
    <w:rsid w:val="00AD6D68"/>
    <w:rsid w:val="00AD6ECE"/>
    <w:rsid w:val="00AD6F53"/>
    <w:rsid w:val="00AD7352"/>
    <w:rsid w:val="00AD73BB"/>
    <w:rsid w:val="00AD74E4"/>
    <w:rsid w:val="00AD7577"/>
    <w:rsid w:val="00AD7789"/>
    <w:rsid w:val="00AD78D4"/>
    <w:rsid w:val="00AD7C05"/>
    <w:rsid w:val="00AD7EB6"/>
    <w:rsid w:val="00AD7FE8"/>
    <w:rsid w:val="00AE0048"/>
    <w:rsid w:val="00AE0B82"/>
    <w:rsid w:val="00AE0BA8"/>
    <w:rsid w:val="00AE0BFA"/>
    <w:rsid w:val="00AE0DCF"/>
    <w:rsid w:val="00AE0F15"/>
    <w:rsid w:val="00AE0F56"/>
    <w:rsid w:val="00AE14BB"/>
    <w:rsid w:val="00AE1580"/>
    <w:rsid w:val="00AE182F"/>
    <w:rsid w:val="00AE18A5"/>
    <w:rsid w:val="00AE19F9"/>
    <w:rsid w:val="00AE1B7C"/>
    <w:rsid w:val="00AE1DD7"/>
    <w:rsid w:val="00AE28D8"/>
    <w:rsid w:val="00AE290F"/>
    <w:rsid w:val="00AE2B80"/>
    <w:rsid w:val="00AE2D20"/>
    <w:rsid w:val="00AE2E76"/>
    <w:rsid w:val="00AE2F23"/>
    <w:rsid w:val="00AE342D"/>
    <w:rsid w:val="00AE356F"/>
    <w:rsid w:val="00AE358D"/>
    <w:rsid w:val="00AE3696"/>
    <w:rsid w:val="00AE3743"/>
    <w:rsid w:val="00AE3908"/>
    <w:rsid w:val="00AE391E"/>
    <w:rsid w:val="00AE3999"/>
    <w:rsid w:val="00AE39E1"/>
    <w:rsid w:val="00AE3A3B"/>
    <w:rsid w:val="00AE3A3C"/>
    <w:rsid w:val="00AE3D9E"/>
    <w:rsid w:val="00AE3DCD"/>
    <w:rsid w:val="00AE3E51"/>
    <w:rsid w:val="00AE4002"/>
    <w:rsid w:val="00AE40F7"/>
    <w:rsid w:val="00AE44B3"/>
    <w:rsid w:val="00AE471D"/>
    <w:rsid w:val="00AE47C4"/>
    <w:rsid w:val="00AE4DF9"/>
    <w:rsid w:val="00AE5044"/>
    <w:rsid w:val="00AE50C0"/>
    <w:rsid w:val="00AE53BB"/>
    <w:rsid w:val="00AE5529"/>
    <w:rsid w:val="00AE56E0"/>
    <w:rsid w:val="00AE5948"/>
    <w:rsid w:val="00AE5E10"/>
    <w:rsid w:val="00AE6542"/>
    <w:rsid w:val="00AE656E"/>
    <w:rsid w:val="00AE6AE5"/>
    <w:rsid w:val="00AE6D4B"/>
    <w:rsid w:val="00AE73E9"/>
    <w:rsid w:val="00AE75F9"/>
    <w:rsid w:val="00AE7666"/>
    <w:rsid w:val="00AE794B"/>
    <w:rsid w:val="00AE7C98"/>
    <w:rsid w:val="00AE7E21"/>
    <w:rsid w:val="00AE7F5C"/>
    <w:rsid w:val="00AF01DD"/>
    <w:rsid w:val="00AF0476"/>
    <w:rsid w:val="00AF06E4"/>
    <w:rsid w:val="00AF076F"/>
    <w:rsid w:val="00AF0868"/>
    <w:rsid w:val="00AF095A"/>
    <w:rsid w:val="00AF0AD2"/>
    <w:rsid w:val="00AF10AC"/>
    <w:rsid w:val="00AF11B3"/>
    <w:rsid w:val="00AF19F8"/>
    <w:rsid w:val="00AF2311"/>
    <w:rsid w:val="00AF23DD"/>
    <w:rsid w:val="00AF2455"/>
    <w:rsid w:val="00AF251E"/>
    <w:rsid w:val="00AF27AA"/>
    <w:rsid w:val="00AF2B42"/>
    <w:rsid w:val="00AF2C19"/>
    <w:rsid w:val="00AF2D1D"/>
    <w:rsid w:val="00AF2F58"/>
    <w:rsid w:val="00AF3468"/>
    <w:rsid w:val="00AF346E"/>
    <w:rsid w:val="00AF3802"/>
    <w:rsid w:val="00AF3AEF"/>
    <w:rsid w:val="00AF3BD5"/>
    <w:rsid w:val="00AF3C81"/>
    <w:rsid w:val="00AF3CC6"/>
    <w:rsid w:val="00AF3F6A"/>
    <w:rsid w:val="00AF4972"/>
    <w:rsid w:val="00AF4CD6"/>
    <w:rsid w:val="00AF4DA5"/>
    <w:rsid w:val="00AF5711"/>
    <w:rsid w:val="00AF5833"/>
    <w:rsid w:val="00AF59B1"/>
    <w:rsid w:val="00AF5C54"/>
    <w:rsid w:val="00AF5C5B"/>
    <w:rsid w:val="00AF5D43"/>
    <w:rsid w:val="00AF6128"/>
    <w:rsid w:val="00AF6380"/>
    <w:rsid w:val="00AF658C"/>
    <w:rsid w:val="00AF67B0"/>
    <w:rsid w:val="00AF6888"/>
    <w:rsid w:val="00AF6A67"/>
    <w:rsid w:val="00AF6CA5"/>
    <w:rsid w:val="00AF6D0C"/>
    <w:rsid w:val="00AF6E9D"/>
    <w:rsid w:val="00AF717F"/>
    <w:rsid w:val="00AF7301"/>
    <w:rsid w:val="00AF75DA"/>
    <w:rsid w:val="00AF7D91"/>
    <w:rsid w:val="00B00692"/>
    <w:rsid w:val="00B00739"/>
    <w:rsid w:val="00B008AC"/>
    <w:rsid w:val="00B0092E"/>
    <w:rsid w:val="00B00D11"/>
    <w:rsid w:val="00B00E3E"/>
    <w:rsid w:val="00B00EAC"/>
    <w:rsid w:val="00B01087"/>
    <w:rsid w:val="00B013A5"/>
    <w:rsid w:val="00B0184E"/>
    <w:rsid w:val="00B018CA"/>
    <w:rsid w:val="00B019F2"/>
    <w:rsid w:val="00B01CE9"/>
    <w:rsid w:val="00B02128"/>
    <w:rsid w:val="00B027ED"/>
    <w:rsid w:val="00B02A25"/>
    <w:rsid w:val="00B02A52"/>
    <w:rsid w:val="00B02B60"/>
    <w:rsid w:val="00B02CE8"/>
    <w:rsid w:val="00B02EAF"/>
    <w:rsid w:val="00B02EBB"/>
    <w:rsid w:val="00B032A5"/>
    <w:rsid w:val="00B0383D"/>
    <w:rsid w:val="00B0387D"/>
    <w:rsid w:val="00B039F8"/>
    <w:rsid w:val="00B04568"/>
    <w:rsid w:val="00B046E8"/>
    <w:rsid w:val="00B047A4"/>
    <w:rsid w:val="00B04D82"/>
    <w:rsid w:val="00B04E2F"/>
    <w:rsid w:val="00B04FE5"/>
    <w:rsid w:val="00B05296"/>
    <w:rsid w:val="00B05519"/>
    <w:rsid w:val="00B05664"/>
    <w:rsid w:val="00B0580C"/>
    <w:rsid w:val="00B05A8D"/>
    <w:rsid w:val="00B05DBF"/>
    <w:rsid w:val="00B05E2A"/>
    <w:rsid w:val="00B066BD"/>
    <w:rsid w:val="00B06ABF"/>
    <w:rsid w:val="00B06C13"/>
    <w:rsid w:val="00B07069"/>
    <w:rsid w:val="00B0716E"/>
    <w:rsid w:val="00B074F9"/>
    <w:rsid w:val="00B075FE"/>
    <w:rsid w:val="00B076CD"/>
    <w:rsid w:val="00B07D67"/>
    <w:rsid w:val="00B07F6B"/>
    <w:rsid w:val="00B100BE"/>
    <w:rsid w:val="00B10340"/>
    <w:rsid w:val="00B10570"/>
    <w:rsid w:val="00B10AAB"/>
    <w:rsid w:val="00B10AD2"/>
    <w:rsid w:val="00B10B33"/>
    <w:rsid w:val="00B10D2B"/>
    <w:rsid w:val="00B10E33"/>
    <w:rsid w:val="00B10EB8"/>
    <w:rsid w:val="00B110CD"/>
    <w:rsid w:val="00B1143F"/>
    <w:rsid w:val="00B11939"/>
    <w:rsid w:val="00B11D8B"/>
    <w:rsid w:val="00B12294"/>
    <w:rsid w:val="00B12442"/>
    <w:rsid w:val="00B124B4"/>
    <w:rsid w:val="00B12AC4"/>
    <w:rsid w:val="00B13205"/>
    <w:rsid w:val="00B1324C"/>
    <w:rsid w:val="00B13392"/>
    <w:rsid w:val="00B13780"/>
    <w:rsid w:val="00B138B4"/>
    <w:rsid w:val="00B13BB1"/>
    <w:rsid w:val="00B13F30"/>
    <w:rsid w:val="00B13FB7"/>
    <w:rsid w:val="00B1458F"/>
    <w:rsid w:val="00B145A1"/>
    <w:rsid w:val="00B14A9E"/>
    <w:rsid w:val="00B14BBF"/>
    <w:rsid w:val="00B14DBE"/>
    <w:rsid w:val="00B1512E"/>
    <w:rsid w:val="00B153BD"/>
    <w:rsid w:val="00B15446"/>
    <w:rsid w:val="00B1558E"/>
    <w:rsid w:val="00B155C5"/>
    <w:rsid w:val="00B15A52"/>
    <w:rsid w:val="00B15CC5"/>
    <w:rsid w:val="00B15E8B"/>
    <w:rsid w:val="00B15E96"/>
    <w:rsid w:val="00B161A0"/>
    <w:rsid w:val="00B1622B"/>
    <w:rsid w:val="00B162EA"/>
    <w:rsid w:val="00B16557"/>
    <w:rsid w:val="00B166A8"/>
    <w:rsid w:val="00B16838"/>
    <w:rsid w:val="00B16924"/>
    <w:rsid w:val="00B16945"/>
    <w:rsid w:val="00B16A28"/>
    <w:rsid w:val="00B16AA9"/>
    <w:rsid w:val="00B17019"/>
    <w:rsid w:val="00B17169"/>
    <w:rsid w:val="00B17869"/>
    <w:rsid w:val="00B179F0"/>
    <w:rsid w:val="00B17C02"/>
    <w:rsid w:val="00B17CC1"/>
    <w:rsid w:val="00B20131"/>
    <w:rsid w:val="00B20664"/>
    <w:rsid w:val="00B2077B"/>
    <w:rsid w:val="00B207A5"/>
    <w:rsid w:val="00B20D69"/>
    <w:rsid w:val="00B20DF1"/>
    <w:rsid w:val="00B211AB"/>
    <w:rsid w:val="00B2147B"/>
    <w:rsid w:val="00B214D8"/>
    <w:rsid w:val="00B2150D"/>
    <w:rsid w:val="00B216C5"/>
    <w:rsid w:val="00B219F8"/>
    <w:rsid w:val="00B21A9F"/>
    <w:rsid w:val="00B21D68"/>
    <w:rsid w:val="00B21ECB"/>
    <w:rsid w:val="00B21EF9"/>
    <w:rsid w:val="00B21FC8"/>
    <w:rsid w:val="00B225D8"/>
    <w:rsid w:val="00B22DBD"/>
    <w:rsid w:val="00B23291"/>
    <w:rsid w:val="00B23292"/>
    <w:rsid w:val="00B234BD"/>
    <w:rsid w:val="00B2369D"/>
    <w:rsid w:val="00B238C6"/>
    <w:rsid w:val="00B23A85"/>
    <w:rsid w:val="00B23BB4"/>
    <w:rsid w:val="00B23CD9"/>
    <w:rsid w:val="00B23E66"/>
    <w:rsid w:val="00B23FB0"/>
    <w:rsid w:val="00B24754"/>
    <w:rsid w:val="00B24812"/>
    <w:rsid w:val="00B249D0"/>
    <w:rsid w:val="00B24A46"/>
    <w:rsid w:val="00B24AD9"/>
    <w:rsid w:val="00B25002"/>
    <w:rsid w:val="00B250AF"/>
    <w:rsid w:val="00B251F0"/>
    <w:rsid w:val="00B25735"/>
    <w:rsid w:val="00B25F41"/>
    <w:rsid w:val="00B260F8"/>
    <w:rsid w:val="00B26CE3"/>
    <w:rsid w:val="00B26D34"/>
    <w:rsid w:val="00B273A9"/>
    <w:rsid w:val="00B27867"/>
    <w:rsid w:val="00B27A3D"/>
    <w:rsid w:val="00B27A4D"/>
    <w:rsid w:val="00B27B6B"/>
    <w:rsid w:val="00B27CED"/>
    <w:rsid w:val="00B300C3"/>
    <w:rsid w:val="00B300D5"/>
    <w:rsid w:val="00B30216"/>
    <w:rsid w:val="00B3097B"/>
    <w:rsid w:val="00B30C28"/>
    <w:rsid w:val="00B3103C"/>
    <w:rsid w:val="00B3149B"/>
    <w:rsid w:val="00B31D29"/>
    <w:rsid w:val="00B31D3C"/>
    <w:rsid w:val="00B31D5F"/>
    <w:rsid w:val="00B31DED"/>
    <w:rsid w:val="00B3206C"/>
    <w:rsid w:val="00B32120"/>
    <w:rsid w:val="00B3248E"/>
    <w:rsid w:val="00B32BFA"/>
    <w:rsid w:val="00B32CDA"/>
    <w:rsid w:val="00B32FC5"/>
    <w:rsid w:val="00B32FEC"/>
    <w:rsid w:val="00B3320D"/>
    <w:rsid w:val="00B335C1"/>
    <w:rsid w:val="00B335D5"/>
    <w:rsid w:val="00B33705"/>
    <w:rsid w:val="00B33918"/>
    <w:rsid w:val="00B33A27"/>
    <w:rsid w:val="00B33FF2"/>
    <w:rsid w:val="00B34308"/>
    <w:rsid w:val="00B3450E"/>
    <w:rsid w:val="00B3463A"/>
    <w:rsid w:val="00B34A52"/>
    <w:rsid w:val="00B34D26"/>
    <w:rsid w:val="00B34D8B"/>
    <w:rsid w:val="00B35218"/>
    <w:rsid w:val="00B355CF"/>
    <w:rsid w:val="00B35835"/>
    <w:rsid w:val="00B35896"/>
    <w:rsid w:val="00B35A63"/>
    <w:rsid w:val="00B35E90"/>
    <w:rsid w:val="00B36426"/>
    <w:rsid w:val="00B3652C"/>
    <w:rsid w:val="00B3673D"/>
    <w:rsid w:val="00B3695E"/>
    <w:rsid w:val="00B36BDB"/>
    <w:rsid w:val="00B36BDF"/>
    <w:rsid w:val="00B3750E"/>
    <w:rsid w:val="00B3757A"/>
    <w:rsid w:val="00B375F5"/>
    <w:rsid w:val="00B37652"/>
    <w:rsid w:val="00B37712"/>
    <w:rsid w:val="00B37844"/>
    <w:rsid w:val="00B37A12"/>
    <w:rsid w:val="00B37B66"/>
    <w:rsid w:val="00B37B90"/>
    <w:rsid w:val="00B37EDE"/>
    <w:rsid w:val="00B40037"/>
    <w:rsid w:val="00B4026F"/>
    <w:rsid w:val="00B403C3"/>
    <w:rsid w:val="00B409E8"/>
    <w:rsid w:val="00B40B0D"/>
    <w:rsid w:val="00B40BA2"/>
    <w:rsid w:val="00B41019"/>
    <w:rsid w:val="00B4123D"/>
    <w:rsid w:val="00B41EBD"/>
    <w:rsid w:val="00B41F7E"/>
    <w:rsid w:val="00B42359"/>
    <w:rsid w:val="00B4236A"/>
    <w:rsid w:val="00B423BC"/>
    <w:rsid w:val="00B4255B"/>
    <w:rsid w:val="00B426B6"/>
    <w:rsid w:val="00B42C5A"/>
    <w:rsid w:val="00B435B7"/>
    <w:rsid w:val="00B435D2"/>
    <w:rsid w:val="00B43678"/>
    <w:rsid w:val="00B436AE"/>
    <w:rsid w:val="00B4373D"/>
    <w:rsid w:val="00B43883"/>
    <w:rsid w:val="00B43C25"/>
    <w:rsid w:val="00B44383"/>
    <w:rsid w:val="00B44595"/>
    <w:rsid w:val="00B448A0"/>
    <w:rsid w:val="00B448EC"/>
    <w:rsid w:val="00B44C43"/>
    <w:rsid w:val="00B44D64"/>
    <w:rsid w:val="00B45288"/>
    <w:rsid w:val="00B45C6D"/>
    <w:rsid w:val="00B462C6"/>
    <w:rsid w:val="00B46811"/>
    <w:rsid w:val="00B46859"/>
    <w:rsid w:val="00B46CCA"/>
    <w:rsid w:val="00B46D59"/>
    <w:rsid w:val="00B46FD9"/>
    <w:rsid w:val="00B47690"/>
    <w:rsid w:val="00B476BC"/>
    <w:rsid w:val="00B47767"/>
    <w:rsid w:val="00B47B6A"/>
    <w:rsid w:val="00B47E7F"/>
    <w:rsid w:val="00B47E94"/>
    <w:rsid w:val="00B504B9"/>
    <w:rsid w:val="00B5078E"/>
    <w:rsid w:val="00B50961"/>
    <w:rsid w:val="00B50972"/>
    <w:rsid w:val="00B50BF7"/>
    <w:rsid w:val="00B50D18"/>
    <w:rsid w:val="00B50EBB"/>
    <w:rsid w:val="00B512CA"/>
    <w:rsid w:val="00B51303"/>
    <w:rsid w:val="00B51403"/>
    <w:rsid w:val="00B515B9"/>
    <w:rsid w:val="00B51791"/>
    <w:rsid w:val="00B517B3"/>
    <w:rsid w:val="00B5187B"/>
    <w:rsid w:val="00B51A1C"/>
    <w:rsid w:val="00B51FFC"/>
    <w:rsid w:val="00B52337"/>
    <w:rsid w:val="00B5242D"/>
    <w:rsid w:val="00B524FD"/>
    <w:rsid w:val="00B5271A"/>
    <w:rsid w:val="00B52C3B"/>
    <w:rsid w:val="00B52D7A"/>
    <w:rsid w:val="00B52E71"/>
    <w:rsid w:val="00B52FFF"/>
    <w:rsid w:val="00B530A8"/>
    <w:rsid w:val="00B53431"/>
    <w:rsid w:val="00B53478"/>
    <w:rsid w:val="00B53587"/>
    <w:rsid w:val="00B53813"/>
    <w:rsid w:val="00B539EE"/>
    <w:rsid w:val="00B53E79"/>
    <w:rsid w:val="00B53FA4"/>
    <w:rsid w:val="00B540DD"/>
    <w:rsid w:val="00B5429E"/>
    <w:rsid w:val="00B54780"/>
    <w:rsid w:val="00B54861"/>
    <w:rsid w:val="00B54AFB"/>
    <w:rsid w:val="00B54C97"/>
    <w:rsid w:val="00B54E35"/>
    <w:rsid w:val="00B55245"/>
    <w:rsid w:val="00B554BA"/>
    <w:rsid w:val="00B559CA"/>
    <w:rsid w:val="00B55A00"/>
    <w:rsid w:val="00B55C30"/>
    <w:rsid w:val="00B55F50"/>
    <w:rsid w:val="00B5652C"/>
    <w:rsid w:val="00B56584"/>
    <w:rsid w:val="00B56634"/>
    <w:rsid w:val="00B567FE"/>
    <w:rsid w:val="00B56D7F"/>
    <w:rsid w:val="00B56E02"/>
    <w:rsid w:val="00B57319"/>
    <w:rsid w:val="00B57BA8"/>
    <w:rsid w:val="00B57C45"/>
    <w:rsid w:val="00B57D10"/>
    <w:rsid w:val="00B57DE7"/>
    <w:rsid w:val="00B57F11"/>
    <w:rsid w:val="00B601E7"/>
    <w:rsid w:val="00B60628"/>
    <w:rsid w:val="00B6066E"/>
    <w:rsid w:val="00B6079F"/>
    <w:rsid w:val="00B60A7A"/>
    <w:rsid w:val="00B614FF"/>
    <w:rsid w:val="00B621ED"/>
    <w:rsid w:val="00B6237B"/>
    <w:rsid w:val="00B624B8"/>
    <w:rsid w:val="00B626F3"/>
    <w:rsid w:val="00B628A0"/>
    <w:rsid w:val="00B62921"/>
    <w:rsid w:val="00B62B5F"/>
    <w:rsid w:val="00B62BC2"/>
    <w:rsid w:val="00B62C50"/>
    <w:rsid w:val="00B62DF9"/>
    <w:rsid w:val="00B62E03"/>
    <w:rsid w:val="00B630FC"/>
    <w:rsid w:val="00B632DE"/>
    <w:rsid w:val="00B632E9"/>
    <w:rsid w:val="00B63694"/>
    <w:rsid w:val="00B63AB2"/>
    <w:rsid w:val="00B63BA0"/>
    <w:rsid w:val="00B63E65"/>
    <w:rsid w:val="00B63FB4"/>
    <w:rsid w:val="00B64112"/>
    <w:rsid w:val="00B6425A"/>
    <w:rsid w:val="00B64424"/>
    <w:rsid w:val="00B646F0"/>
    <w:rsid w:val="00B649EC"/>
    <w:rsid w:val="00B64D61"/>
    <w:rsid w:val="00B64F0D"/>
    <w:rsid w:val="00B651B4"/>
    <w:rsid w:val="00B654C2"/>
    <w:rsid w:val="00B65828"/>
    <w:rsid w:val="00B6585E"/>
    <w:rsid w:val="00B65C42"/>
    <w:rsid w:val="00B65DDE"/>
    <w:rsid w:val="00B6649C"/>
    <w:rsid w:val="00B6650A"/>
    <w:rsid w:val="00B66550"/>
    <w:rsid w:val="00B66745"/>
    <w:rsid w:val="00B668CE"/>
    <w:rsid w:val="00B6692E"/>
    <w:rsid w:val="00B669FC"/>
    <w:rsid w:val="00B673C0"/>
    <w:rsid w:val="00B67543"/>
    <w:rsid w:val="00B67619"/>
    <w:rsid w:val="00B679D2"/>
    <w:rsid w:val="00B70164"/>
    <w:rsid w:val="00B702A4"/>
    <w:rsid w:val="00B704A5"/>
    <w:rsid w:val="00B70DF4"/>
    <w:rsid w:val="00B70FB3"/>
    <w:rsid w:val="00B7102C"/>
    <w:rsid w:val="00B712B9"/>
    <w:rsid w:val="00B71340"/>
    <w:rsid w:val="00B7136A"/>
    <w:rsid w:val="00B71518"/>
    <w:rsid w:val="00B71ABE"/>
    <w:rsid w:val="00B72A81"/>
    <w:rsid w:val="00B72AA9"/>
    <w:rsid w:val="00B72ADE"/>
    <w:rsid w:val="00B72E0A"/>
    <w:rsid w:val="00B72E1E"/>
    <w:rsid w:val="00B72F0D"/>
    <w:rsid w:val="00B733FF"/>
    <w:rsid w:val="00B735C8"/>
    <w:rsid w:val="00B73A36"/>
    <w:rsid w:val="00B73A3D"/>
    <w:rsid w:val="00B73A55"/>
    <w:rsid w:val="00B73DAD"/>
    <w:rsid w:val="00B74169"/>
    <w:rsid w:val="00B7431C"/>
    <w:rsid w:val="00B744C5"/>
    <w:rsid w:val="00B7487F"/>
    <w:rsid w:val="00B748CF"/>
    <w:rsid w:val="00B749AB"/>
    <w:rsid w:val="00B74C48"/>
    <w:rsid w:val="00B74F01"/>
    <w:rsid w:val="00B74FC4"/>
    <w:rsid w:val="00B75161"/>
    <w:rsid w:val="00B7563F"/>
    <w:rsid w:val="00B756E4"/>
    <w:rsid w:val="00B756E5"/>
    <w:rsid w:val="00B75707"/>
    <w:rsid w:val="00B75783"/>
    <w:rsid w:val="00B757AA"/>
    <w:rsid w:val="00B7588F"/>
    <w:rsid w:val="00B75971"/>
    <w:rsid w:val="00B75BB8"/>
    <w:rsid w:val="00B7610C"/>
    <w:rsid w:val="00B763F0"/>
    <w:rsid w:val="00B76712"/>
    <w:rsid w:val="00B7686B"/>
    <w:rsid w:val="00B76A33"/>
    <w:rsid w:val="00B76C2B"/>
    <w:rsid w:val="00B76F4E"/>
    <w:rsid w:val="00B7707A"/>
    <w:rsid w:val="00B77315"/>
    <w:rsid w:val="00B773BA"/>
    <w:rsid w:val="00B775C7"/>
    <w:rsid w:val="00B77A36"/>
    <w:rsid w:val="00B77B33"/>
    <w:rsid w:val="00B77F19"/>
    <w:rsid w:val="00B8006E"/>
    <w:rsid w:val="00B807E7"/>
    <w:rsid w:val="00B80BB2"/>
    <w:rsid w:val="00B81060"/>
    <w:rsid w:val="00B810AF"/>
    <w:rsid w:val="00B810B8"/>
    <w:rsid w:val="00B813AE"/>
    <w:rsid w:val="00B81A2A"/>
    <w:rsid w:val="00B81D29"/>
    <w:rsid w:val="00B81E47"/>
    <w:rsid w:val="00B8222B"/>
    <w:rsid w:val="00B82264"/>
    <w:rsid w:val="00B827C7"/>
    <w:rsid w:val="00B829D9"/>
    <w:rsid w:val="00B82B8F"/>
    <w:rsid w:val="00B82C93"/>
    <w:rsid w:val="00B82D53"/>
    <w:rsid w:val="00B82E48"/>
    <w:rsid w:val="00B83BC7"/>
    <w:rsid w:val="00B83C2E"/>
    <w:rsid w:val="00B83F0D"/>
    <w:rsid w:val="00B83F29"/>
    <w:rsid w:val="00B83F4B"/>
    <w:rsid w:val="00B84108"/>
    <w:rsid w:val="00B84663"/>
    <w:rsid w:val="00B84B7C"/>
    <w:rsid w:val="00B84E07"/>
    <w:rsid w:val="00B84E59"/>
    <w:rsid w:val="00B8534A"/>
    <w:rsid w:val="00B8574E"/>
    <w:rsid w:val="00B85AEE"/>
    <w:rsid w:val="00B85FE2"/>
    <w:rsid w:val="00B86573"/>
    <w:rsid w:val="00B86732"/>
    <w:rsid w:val="00B86C78"/>
    <w:rsid w:val="00B86C85"/>
    <w:rsid w:val="00B86D11"/>
    <w:rsid w:val="00B87372"/>
    <w:rsid w:val="00B875A4"/>
    <w:rsid w:val="00B877F4"/>
    <w:rsid w:val="00B8797F"/>
    <w:rsid w:val="00B904C1"/>
    <w:rsid w:val="00B90634"/>
    <w:rsid w:val="00B90C2E"/>
    <w:rsid w:val="00B90E19"/>
    <w:rsid w:val="00B91025"/>
    <w:rsid w:val="00B91559"/>
    <w:rsid w:val="00B915FB"/>
    <w:rsid w:val="00B91F6F"/>
    <w:rsid w:val="00B9207A"/>
    <w:rsid w:val="00B92123"/>
    <w:rsid w:val="00B921EE"/>
    <w:rsid w:val="00B928D9"/>
    <w:rsid w:val="00B929BC"/>
    <w:rsid w:val="00B929EC"/>
    <w:rsid w:val="00B92C64"/>
    <w:rsid w:val="00B939BA"/>
    <w:rsid w:val="00B93D00"/>
    <w:rsid w:val="00B9405C"/>
    <w:rsid w:val="00B940DF"/>
    <w:rsid w:val="00B940E7"/>
    <w:rsid w:val="00B94169"/>
    <w:rsid w:val="00B941B7"/>
    <w:rsid w:val="00B9454B"/>
    <w:rsid w:val="00B9464D"/>
    <w:rsid w:val="00B9492F"/>
    <w:rsid w:val="00B94C95"/>
    <w:rsid w:val="00B94E27"/>
    <w:rsid w:val="00B9523A"/>
    <w:rsid w:val="00B95A01"/>
    <w:rsid w:val="00B95AA9"/>
    <w:rsid w:val="00B95BBB"/>
    <w:rsid w:val="00B960D7"/>
    <w:rsid w:val="00B961BC"/>
    <w:rsid w:val="00B9633D"/>
    <w:rsid w:val="00B96484"/>
    <w:rsid w:val="00B96513"/>
    <w:rsid w:val="00B968FE"/>
    <w:rsid w:val="00B96EAE"/>
    <w:rsid w:val="00B97465"/>
    <w:rsid w:val="00B97535"/>
    <w:rsid w:val="00B9787D"/>
    <w:rsid w:val="00BA004D"/>
    <w:rsid w:val="00BA019D"/>
    <w:rsid w:val="00BA058B"/>
    <w:rsid w:val="00BA0BCF"/>
    <w:rsid w:val="00BA0C4C"/>
    <w:rsid w:val="00BA138D"/>
    <w:rsid w:val="00BA18B0"/>
    <w:rsid w:val="00BA18D2"/>
    <w:rsid w:val="00BA1976"/>
    <w:rsid w:val="00BA1A89"/>
    <w:rsid w:val="00BA1BDA"/>
    <w:rsid w:val="00BA1C9F"/>
    <w:rsid w:val="00BA2020"/>
    <w:rsid w:val="00BA2053"/>
    <w:rsid w:val="00BA21DB"/>
    <w:rsid w:val="00BA22CB"/>
    <w:rsid w:val="00BA2346"/>
    <w:rsid w:val="00BA2532"/>
    <w:rsid w:val="00BA2571"/>
    <w:rsid w:val="00BA2B89"/>
    <w:rsid w:val="00BA2D53"/>
    <w:rsid w:val="00BA3404"/>
    <w:rsid w:val="00BA3458"/>
    <w:rsid w:val="00BA36DD"/>
    <w:rsid w:val="00BA38C8"/>
    <w:rsid w:val="00BA38E4"/>
    <w:rsid w:val="00BA39F7"/>
    <w:rsid w:val="00BA3A6C"/>
    <w:rsid w:val="00BA3B00"/>
    <w:rsid w:val="00BA3D82"/>
    <w:rsid w:val="00BA4029"/>
    <w:rsid w:val="00BA43F7"/>
    <w:rsid w:val="00BA459C"/>
    <w:rsid w:val="00BA46B2"/>
    <w:rsid w:val="00BA4AB8"/>
    <w:rsid w:val="00BA4BC5"/>
    <w:rsid w:val="00BA4DD2"/>
    <w:rsid w:val="00BA4E72"/>
    <w:rsid w:val="00BA4FFE"/>
    <w:rsid w:val="00BA5629"/>
    <w:rsid w:val="00BA57B2"/>
    <w:rsid w:val="00BA5990"/>
    <w:rsid w:val="00BA59DA"/>
    <w:rsid w:val="00BA5A5C"/>
    <w:rsid w:val="00BA5A99"/>
    <w:rsid w:val="00BA5D78"/>
    <w:rsid w:val="00BA6262"/>
    <w:rsid w:val="00BA67F1"/>
    <w:rsid w:val="00BA68E1"/>
    <w:rsid w:val="00BA6E60"/>
    <w:rsid w:val="00BA7842"/>
    <w:rsid w:val="00BA7CBF"/>
    <w:rsid w:val="00BA7F96"/>
    <w:rsid w:val="00BB061C"/>
    <w:rsid w:val="00BB0BE4"/>
    <w:rsid w:val="00BB1184"/>
    <w:rsid w:val="00BB1275"/>
    <w:rsid w:val="00BB1900"/>
    <w:rsid w:val="00BB1A63"/>
    <w:rsid w:val="00BB1A8F"/>
    <w:rsid w:val="00BB1B9B"/>
    <w:rsid w:val="00BB1E50"/>
    <w:rsid w:val="00BB21BC"/>
    <w:rsid w:val="00BB22F7"/>
    <w:rsid w:val="00BB2391"/>
    <w:rsid w:val="00BB2DBA"/>
    <w:rsid w:val="00BB36D8"/>
    <w:rsid w:val="00BB3D4C"/>
    <w:rsid w:val="00BB3D8E"/>
    <w:rsid w:val="00BB437B"/>
    <w:rsid w:val="00BB4883"/>
    <w:rsid w:val="00BB4A08"/>
    <w:rsid w:val="00BB4ACF"/>
    <w:rsid w:val="00BB4F7E"/>
    <w:rsid w:val="00BB5C41"/>
    <w:rsid w:val="00BB61CE"/>
    <w:rsid w:val="00BB6605"/>
    <w:rsid w:val="00BB6868"/>
    <w:rsid w:val="00BB6948"/>
    <w:rsid w:val="00BB69C2"/>
    <w:rsid w:val="00BB69EA"/>
    <w:rsid w:val="00BB6AE9"/>
    <w:rsid w:val="00BB6C2A"/>
    <w:rsid w:val="00BB6C8A"/>
    <w:rsid w:val="00BB6CD3"/>
    <w:rsid w:val="00BB6E87"/>
    <w:rsid w:val="00BB7727"/>
    <w:rsid w:val="00BB794E"/>
    <w:rsid w:val="00BB7A0C"/>
    <w:rsid w:val="00BB7A3D"/>
    <w:rsid w:val="00BB7AEC"/>
    <w:rsid w:val="00BB7D8A"/>
    <w:rsid w:val="00BB7E96"/>
    <w:rsid w:val="00BC015A"/>
    <w:rsid w:val="00BC03FF"/>
    <w:rsid w:val="00BC0438"/>
    <w:rsid w:val="00BC0463"/>
    <w:rsid w:val="00BC059A"/>
    <w:rsid w:val="00BC0703"/>
    <w:rsid w:val="00BC0AAF"/>
    <w:rsid w:val="00BC0E95"/>
    <w:rsid w:val="00BC0FAE"/>
    <w:rsid w:val="00BC0FCA"/>
    <w:rsid w:val="00BC14BE"/>
    <w:rsid w:val="00BC187B"/>
    <w:rsid w:val="00BC18C0"/>
    <w:rsid w:val="00BC1952"/>
    <w:rsid w:val="00BC1B45"/>
    <w:rsid w:val="00BC1B8F"/>
    <w:rsid w:val="00BC1DBF"/>
    <w:rsid w:val="00BC1EE9"/>
    <w:rsid w:val="00BC1FC8"/>
    <w:rsid w:val="00BC2283"/>
    <w:rsid w:val="00BC291C"/>
    <w:rsid w:val="00BC2B03"/>
    <w:rsid w:val="00BC2F1E"/>
    <w:rsid w:val="00BC322F"/>
    <w:rsid w:val="00BC34BE"/>
    <w:rsid w:val="00BC35AC"/>
    <w:rsid w:val="00BC3791"/>
    <w:rsid w:val="00BC3A84"/>
    <w:rsid w:val="00BC3BBE"/>
    <w:rsid w:val="00BC3DB8"/>
    <w:rsid w:val="00BC3F17"/>
    <w:rsid w:val="00BC3F78"/>
    <w:rsid w:val="00BC3FFD"/>
    <w:rsid w:val="00BC40C1"/>
    <w:rsid w:val="00BC4150"/>
    <w:rsid w:val="00BC45BE"/>
    <w:rsid w:val="00BC4705"/>
    <w:rsid w:val="00BC48AB"/>
    <w:rsid w:val="00BC48C6"/>
    <w:rsid w:val="00BC4DD4"/>
    <w:rsid w:val="00BC4E91"/>
    <w:rsid w:val="00BC51BC"/>
    <w:rsid w:val="00BC5219"/>
    <w:rsid w:val="00BC5547"/>
    <w:rsid w:val="00BC55F5"/>
    <w:rsid w:val="00BC5946"/>
    <w:rsid w:val="00BC59CE"/>
    <w:rsid w:val="00BC5F0A"/>
    <w:rsid w:val="00BC613A"/>
    <w:rsid w:val="00BC635B"/>
    <w:rsid w:val="00BC6378"/>
    <w:rsid w:val="00BC64BF"/>
    <w:rsid w:val="00BC678E"/>
    <w:rsid w:val="00BC68C2"/>
    <w:rsid w:val="00BC6A08"/>
    <w:rsid w:val="00BC6AEB"/>
    <w:rsid w:val="00BC73AE"/>
    <w:rsid w:val="00BC768B"/>
    <w:rsid w:val="00BC772A"/>
    <w:rsid w:val="00BC7829"/>
    <w:rsid w:val="00BC7868"/>
    <w:rsid w:val="00BC788D"/>
    <w:rsid w:val="00BC7BAB"/>
    <w:rsid w:val="00BC7D17"/>
    <w:rsid w:val="00BD01D8"/>
    <w:rsid w:val="00BD023D"/>
    <w:rsid w:val="00BD03BA"/>
    <w:rsid w:val="00BD088E"/>
    <w:rsid w:val="00BD0B76"/>
    <w:rsid w:val="00BD0F94"/>
    <w:rsid w:val="00BD0FE9"/>
    <w:rsid w:val="00BD150B"/>
    <w:rsid w:val="00BD1704"/>
    <w:rsid w:val="00BD1754"/>
    <w:rsid w:val="00BD18A7"/>
    <w:rsid w:val="00BD1907"/>
    <w:rsid w:val="00BD209D"/>
    <w:rsid w:val="00BD2180"/>
    <w:rsid w:val="00BD2400"/>
    <w:rsid w:val="00BD2493"/>
    <w:rsid w:val="00BD2972"/>
    <w:rsid w:val="00BD2980"/>
    <w:rsid w:val="00BD2B0C"/>
    <w:rsid w:val="00BD2C14"/>
    <w:rsid w:val="00BD2C18"/>
    <w:rsid w:val="00BD2E0F"/>
    <w:rsid w:val="00BD3144"/>
    <w:rsid w:val="00BD383D"/>
    <w:rsid w:val="00BD3A76"/>
    <w:rsid w:val="00BD3C42"/>
    <w:rsid w:val="00BD3CD4"/>
    <w:rsid w:val="00BD3D66"/>
    <w:rsid w:val="00BD4511"/>
    <w:rsid w:val="00BD4556"/>
    <w:rsid w:val="00BD4710"/>
    <w:rsid w:val="00BD490C"/>
    <w:rsid w:val="00BD4A1B"/>
    <w:rsid w:val="00BD4BBA"/>
    <w:rsid w:val="00BD5627"/>
    <w:rsid w:val="00BD579A"/>
    <w:rsid w:val="00BD6143"/>
    <w:rsid w:val="00BD61C4"/>
    <w:rsid w:val="00BD642D"/>
    <w:rsid w:val="00BD677D"/>
    <w:rsid w:val="00BD6A64"/>
    <w:rsid w:val="00BD7505"/>
    <w:rsid w:val="00BD7657"/>
    <w:rsid w:val="00BD766F"/>
    <w:rsid w:val="00BD7731"/>
    <w:rsid w:val="00BD7CA0"/>
    <w:rsid w:val="00BD7E9E"/>
    <w:rsid w:val="00BE0272"/>
    <w:rsid w:val="00BE0867"/>
    <w:rsid w:val="00BE0A0D"/>
    <w:rsid w:val="00BE0A46"/>
    <w:rsid w:val="00BE0D14"/>
    <w:rsid w:val="00BE1089"/>
    <w:rsid w:val="00BE1215"/>
    <w:rsid w:val="00BE123F"/>
    <w:rsid w:val="00BE152A"/>
    <w:rsid w:val="00BE1855"/>
    <w:rsid w:val="00BE1AE5"/>
    <w:rsid w:val="00BE1B31"/>
    <w:rsid w:val="00BE1EA8"/>
    <w:rsid w:val="00BE1EC5"/>
    <w:rsid w:val="00BE205E"/>
    <w:rsid w:val="00BE2469"/>
    <w:rsid w:val="00BE250C"/>
    <w:rsid w:val="00BE2528"/>
    <w:rsid w:val="00BE2816"/>
    <w:rsid w:val="00BE29EB"/>
    <w:rsid w:val="00BE2A46"/>
    <w:rsid w:val="00BE2C7F"/>
    <w:rsid w:val="00BE2CCB"/>
    <w:rsid w:val="00BE3504"/>
    <w:rsid w:val="00BE3A7B"/>
    <w:rsid w:val="00BE3D22"/>
    <w:rsid w:val="00BE3D84"/>
    <w:rsid w:val="00BE3EA4"/>
    <w:rsid w:val="00BE3F8C"/>
    <w:rsid w:val="00BE40B7"/>
    <w:rsid w:val="00BE41BD"/>
    <w:rsid w:val="00BE431D"/>
    <w:rsid w:val="00BE46BD"/>
    <w:rsid w:val="00BE4A44"/>
    <w:rsid w:val="00BE4D0D"/>
    <w:rsid w:val="00BE4E1D"/>
    <w:rsid w:val="00BE510A"/>
    <w:rsid w:val="00BE5240"/>
    <w:rsid w:val="00BE5542"/>
    <w:rsid w:val="00BE55AA"/>
    <w:rsid w:val="00BE5C16"/>
    <w:rsid w:val="00BE5C3F"/>
    <w:rsid w:val="00BE5FB1"/>
    <w:rsid w:val="00BE6206"/>
    <w:rsid w:val="00BE63A0"/>
    <w:rsid w:val="00BE6579"/>
    <w:rsid w:val="00BE6782"/>
    <w:rsid w:val="00BE6A12"/>
    <w:rsid w:val="00BE6AA9"/>
    <w:rsid w:val="00BE6C2A"/>
    <w:rsid w:val="00BE6C7B"/>
    <w:rsid w:val="00BE6F7E"/>
    <w:rsid w:val="00BE7008"/>
    <w:rsid w:val="00BE7282"/>
    <w:rsid w:val="00BE7364"/>
    <w:rsid w:val="00BE7503"/>
    <w:rsid w:val="00BE782C"/>
    <w:rsid w:val="00BE7B17"/>
    <w:rsid w:val="00BE7ED9"/>
    <w:rsid w:val="00BF0137"/>
    <w:rsid w:val="00BF04E2"/>
    <w:rsid w:val="00BF08EE"/>
    <w:rsid w:val="00BF0B3D"/>
    <w:rsid w:val="00BF0BD8"/>
    <w:rsid w:val="00BF12A4"/>
    <w:rsid w:val="00BF1575"/>
    <w:rsid w:val="00BF158D"/>
    <w:rsid w:val="00BF15BA"/>
    <w:rsid w:val="00BF1713"/>
    <w:rsid w:val="00BF1771"/>
    <w:rsid w:val="00BF1804"/>
    <w:rsid w:val="00BF1986"/>
    <w:rsid w:val="00BF1BBE"/>
    <w:rsid w:val="00BF1CB1"/>
    <w:rsid w:val="00BF1D2B"/>
    <w:rsid w:val="00BF1DE9"/>
    <w:rsid w:val="00BF2002"/>
    <w:rsid w:val="00BF2354"/>
    <w:rsid w:val="00BF248D"/>
    <w:rsid w:val="00BF2556"/>
    <w:rsid w:val="00BF2B41"/>
    <w:rsid w:val="00BF2B76"/>
    <w:rsid w:val="00BF2E87"/>
    <w:rsid w:val="00BF2F0E"/>
    <w:rsid w:val="00BF2F5F"/>
    <w:rsid w:val="00BF2F95"/>
    <w:rsid w:val="00BF36A1"/>
    <w:rsid w:val="00BF3E17"/>
    <w:rsid w:val="00BF3E3B"/>
    <w:rsid w:val="00BF4078"/>
    <w:rsid w:val="00BF4608"/>
    <w:rsid w:val="00BF479A"/>
    <w:rsid w:val="00BF4CA2"/>
    <w:rsid w:val="00BF4D0B"/>
    <w:rsid w:val="00BF4F01"/>
    <w:rsid w:val="00BF4F81"/>
    <w:rsid w:val="00BF52E1"/>
    <w:rsid w:val="00BF5368"/>
    <w:rsid w:val="00BF55FF"/>
    <w:rsid w:val="00BF56CC"/>
    <w:rsid w:val="00BF5739"/>
    <w:rsid w:val="00BF5889"/>
    <w:rsid w:val="00BF594E"/>
    <w:rsid w:val="00BF59CD"/>
    <w:rsid w:val="00BF63DC"/>
    <w:rsid w:val="00BF6663"/>
    <w:rsid w:val="00BF6722"/>
    <w:rsid w:val="00BF68E0"/>
    <w:rsid w:val="00BF6BB4"/>
    <w:rsid w:val="00BF6E99"/>
    <w:rsid w:val="00BF6F54"/>
    <w:rsid w:val="00BF6FEC"/>
    <w:rsid w:val="00BF701B"/>
    <w:rsid w:val="00BF702B"/>
    <w:rsid w:val="00BF7524"/>
    <w:rsid w:val="00BF7792"/>
    <w:rsid w:val="00BF7900"/>
    <w:rsid w:val="00BF7A9B"/>
    <w:rsid w:val="00BF7BDB"/>
    <w:rsid w:val="00C008D2"/>
    <w:rsid w:val="00C009AF"/>
    <w:rsid w:val="00C00A57"/>
    <w:rsid w:val="00C00B5A"/>
    <w:rsid w:val="00C00C87"/>
    <w:rsid w:val="00C00E9F"/>
    <w:rsid w:val="00C00EFA"/>
    <w:rsid w:val="00C013C3"/>
    <w:rsid w:val="00C0144E"/>
    <w:rsid w:val="00C01678"/>
    <w:rsid w:val="00C01E82"/>
    <w:rsid w:val="00C01EC9"/>
    <w:rsid w:val="00C01F5F"/>
    <w:rsid w:val="00C02065"/>
    <w:rsid w:val="00C02416"/>
    <w:rsid w:val="00C02585"/>
    <w:rsid w:val="00C0284A"/>
    <w:rsid w:val="00C028A0"/>
    <w:rsid w:val="00C02C54"/>
    <w:rsid w:val="00C02F18"/>
    <w:rsid w:val="00C0317B"/>
    <w:rsid w:val="00C031D2"/>
    <w:rsid w:val="00C0320C"/>
    <w:rsid w:val="00C0323B"/>
    <w:rsid w:val="00C032CA"/>
    <w:rsid w:val="00C03372"/>
    <w:rsid w:val="00C034E3"/>
    <w:rsid w:val="00C035C2"/>
    <w:rsid w:val="00C03605"/>
    <w:rsid w:val="00C03FA9"/>
    <w:rsid w:val="00C041D0"/>
    <w:rsid w:val="00C04630"/>
    <w:rsid w:val="00C04AAE"/>
    <w:rsid w:val="00C04B8A"/>
    <w:rsid w:val="00C04D60"/>
    <w:rsid w:val="00C04FD8"/>
    <w:rsid w:val="00C05430"/>
    <w:rsid w:val="00C05483"/>
    <w:rsid w:val="00C055E0"/>
    <w:rsid w:val="00C05618"/>
    <w:rsid w:val="00C0563C"/>
    <w:rsid w:val="00C05766"/>
    <w:rsid w:val="00C0581A"/>
    <w:rsid w:val="00C05A02"/>
    <w:rsid w:val="00C05FE2"/>
    <w:rsid w:val="00C062D4"/>
    <w:rsid w:val="00C06425"/>
    <w:rsid w:val="00C066EF"/>
    <w:rsid w:val="00C06A42"/>
    <w:rsid w:val="00C06C17"/>
    <w:rsid w:val="00C06CA1"/>
    <w:rsid w:val="00C06EAA"/>
    <w:rsid w:val="00C0701B"/>
    <w:rsid w:val="00C0701C"/>
    <w:rsid w:val="00C073F4"/>
    <w:rsid w:val="00C078D5"/>
    <w:rsid w:val="00C07AC4"/>
    <w:rsid w:val="00C07B22"/>
    <w:rsid w:val="00C07CFE"/>
    <w:rsid w:val="00C1008C"/>
    <w:rsid w:val="00C10567"/>
    <w:rsid w:val="00C1079E"/>
    <w:rsid w:val="00C1086B"/>
    <w:rsid w:val="00C108C2"/>
    <w:rsid w:val="00C11084"/>
    <w:rsid w:val="00C110B3"/>
    <w:rsid w:val="00C11374"/>
    <w:rsid w:val="00C11BC4"/>
    <w:rsid w:val="00C11D15"/>
    <w:rsid w:val="00C11D29"/>
    <w:rsid w:val="00C11DC3"/>
    <w:rsid w:val="00C11DF3"/>
    <w:rsid w:val="00C11ECD"/>
    <w:rsid w:val="00C121ED"/>
    <w:rsid w:val="00C122F7"/>
    <w:rsid w:val="00C12357"/>
    <w:rsid w:val="00C1246A"/>
    <w:rsid w:val="00C127A7"/>
    <w:rsid w:val="00C12901"/>
    <w:rsid w:val="00C12A54"/>
    <w:rsid w:val="00C12B69"/>
    <w:rsid w:val="00C12C26"/>
    <w:rsid w:val="00C133CF"/>
    <w:rsid w:val="00C1344F"/>
    <w:rsid w:val="00C13908"/>
    <w:rsid w:val="00C1395C"/>
    <w:rsid w:val="00C139C5"/>
    <w:rsid w:val="00C13B8E"/>
    <w:rsid w:val="00C13C44"/>
    <w:rsid w:val="00C13E94"/>
    <w:rsid w:val="00C13EB9"/>
    <w:rsid w:val="00C14120"/>
    <w:rsid w:val="00C14306"/>
    <w:rsid w:val="00C14699"/>
    <w:rsid w:val="00C148E6"/>
    <w:rsid w:val="00C14917"/>
    <w:rsid w:val="00C14D64"/>
    <w:rsid w:val="00C14DA6"/>
    <w:rsid w:val="00C14FCB"/>
    <w:rsid w:val="00C15020"/>
    <w:rsid w:val="00C15AA7"/>
    <w:rsid w:val="00C15B87"/>
    <w:rsid w:val="00C15CF5"/>
    <w:rsid w:val="00C15D7E"/>
    <w:rsid w:val="00C16311"/>
    <w:rsid w:val="00C163CB"/>
    <w:rsid w:val="00C1644D"/>
    <w:rsid w:val="00C167AF"/>
    <w:rsid w:val="00C16D9A"/>
    <w:rsid w:val="00C16E9B"/>
    <w:rsid w:val="00C17131"/>
    <w:rsid w:val="00C175CF"/>
    <w:rsid w:val="00C17DFF"/>
    <w:rsid w:val="00C17F53"/>
    <w:rsid w:val="00C20081"/>
    <w:rsid w:val="00C201C1"/>
    <w:rsid w:val="00C208EA"/>
    <w:rsid w:val="00C20D51"/>
    <w:rsid w:val="00C20E78"/>
    <w:rsid w:val="00C20EDE"/>
    <w:rsid w:val="00C20F3A"/>
    <w:rsid w:val="00C210AB"/>
    <w:rsid w:val="00C211F5"/>
    <w:rsid w:val="00C214A0"/>
    <w:rsid w:val="00C21933"/>
    <w:rsid w:val="00C21B33"/>
    <w:rsid w:val="00C21DCE"/>
    <w:rsid w:val="00C21E26"/>
    <w:rsid w:val="00C21E6E"/>
    <w:rsid w:val="00C21F99"/>
    <w:rsid w:val="00C2227E"/>
    <w:rsid w:val="00C22474"/>
    <w:rsid w:val="00C2250B"/>
    <w:rsid w:val="00C22569"/>
    <w:rsid w:val="00C226FA"/>
    <w:rsid w:val="00C22817"/>
    <w:rsid w:val="00C22DF9"/>
    <w:rsid w:val="00C22E24"/>
    <w:rsid w:val="00C22F8A"/>
    <w:rsid w:val="00C22FDA"/>
    <w:rsid w:val="00C231FF"/>
    <w:rsid w:val="00C237B9"/>
    <w:rsid w:val="00C239AA"/>
    <w:rsid w:val="00C24338"/>
    <w:rsid w:val="00C24513"/>
    <w:rsid w:val="00C246ED"/>
    <w:rsid w:val="00C24726"/>
    <w:rsid w:val="00C24ABB"/>
    <w:rsid w:val="00C24E67"/>
    <w:rsid w:val="00C25447"/>
    <w:rsid w:val="00C2546A"/>
    <w:rsid w:val="00C254B2"/>
    <w:rsid w:val="00C25A29"/>
    <w:rsid w:val="00C25C1A"/>
    <w:rsid w:val="00C263A0"/>
    <w:rsid w:val="00C263FD"/>
    <w:rsid w:val="00C267AA"/>
    <w:rsid w:val="00C26B8B"/>
    <w:rsid w:val="00C26CC1"/>
    <w:rsid w:val="00C26D1C"/>
    <w:rsid w:val="00C26DBC"/>
    <w:rsid w:val="00C26F5E"/>
    <w:rsid w:val="00C26FCF"/>
    <w:rsid w:val="00C2703C"/>
    <w:rsid w:val="00C27118"/>
    <w:rsid w:val="00C2713C"/>
    <w:rsid w:val="00C2735D"/>
    <w:rsid w:val="00C27460"/>
    <w:rsid w:val="00C27A9F"/>
    <w:rsid w:val="00C27C99"/>
    <w:rsid w:val="00C27D5B"/>
    <w:rsid w:val="00C27E47"/>
    <w:rsid w:val="00C302D1"/>
    <w:rsid w:val="00C305BF"/>
    <w:rsid w:val="00C30BAB"/>
    <w:rsid w:val="00C3106A"/>
    <w:rsid w:val="00C31077"/>
    <w:rsid w:val="00C311C6"/>
    <w:rsid w:val="00C31224"/>
    <w:rsid w:val="00C3165F"/>
    <w:rsid w:val="00C316A4"/>
    <w:rsid w:val="00C31756"/>
    <w:rsid w:val="00C318FA"/>
    <w:rsid w:val="00C31947"/>
    <w:rsid w:val="00C31AED"/>
    <w:rsid w:val="00C31C37"/>
    <w:rsid w:val="00C31C40"/>
    <w:rsid w:val="00C31F96"/>
    <w:rsid w:val="00C32332"/>
    <w:rsid w:val="00C32375"/>
    <w:rsid w:val="00C323BC"/>
    <w:rsid w:val="00C32401"/>
    <w:rsid w:val="00C32A79"/>
    <w:rsid w:val="00C32B9A"/>
    <w:rsid w:val="00C32C36"/>
    <w:rsid w:val="00C32C69"/>
    <w:rsid w:val="00C32D48"/>
    <w:rsid w:val="00C32E74"/>
    <w:rsid w:val="00C33175"/>
    <w:rsid w:val="00C332D7"/>
    <w:rsid w:val="00C33405"/>
    <w:rsid w:val="00C33557"/>
    <w:rsid w:val="00C336E1"/>
    <w:rsid w:val="00C337DF"/>
    <w:rsid w:val="00C3380E"/>
    <w:rsid w:val="00C3384D"/>
    <w:rsid w:val="00C33D23"/>
    <w:rsid w:val="00C34034"/>
    <w:rsid w:val="00C34136"/>
    <w:rsid w:val="00C3462F"/>
    <w:rsid w:val="00C34702"/>
    <w:rsid w:val="00C34745"/>
    <w:rsid w:val="00C34BA0"/>
    <w:rsid w:val="00C34C86"/>
    <w:rsid w:val="00C35A0E"/>
    <w:rsid w:val="00C35BC6"/>
    <w:rsid w:val="00C35D41"/>
    <w:rsid w:val="00C36050"/>
    <w:rsid w:val="00C361A8"/>
    <w:rsid w:val="00C36471"/>
    <w:rsid w:val="00C36C95"/>
    <w:rsid w:val="00C36CA0"/>
    <w:rsid w:val="00C36F48"/>
    <w:rsid w:val="00C36FCC"/>
    <w:rsid w:val="00C36FED"/>
    <w:rsid w:val="00C370CA"/>
    <w:rsid w:val="00C37768"/>
    <w:rsid w:val="00C37AB4"/>
    <w:rsid w:val="00C37B5B"/>
    <w:rsid w:val="00C37D76"/>
    <w:rsid w:val="00C405F6"/>
    <w:rsid w:val="00C40CF8"/>
    <w:rsid w:val="00C41204"/>
    <w:rsid w:val="00C41274"/>
    <w:rsid w:val="00C41370"/>
    <w:rsid w:val="00C413D9"/>
    <w:rsid w:val="00C41693"/>
    <w:rsid w:val="00C416EA"/>
    <w:rsid w:val="00C419B0"/>
    <w:rsid w:val="00C419EC"/>
    <w:rsid w:val="00C41BDE"/>
    <w:rsid w:val="00C41E8C"/>
    <w:rsid w:val="00C41F5E"/>
    <w:rsid w:val="00C4232E"/>
    <w:rsid w:val="00C42360"/>
    <w:rsid w:val="00C423C7"/>
    <w:rsid w:val="00C4279E"/>
    <w:rsid w:val="00C42A14"/>
    <w:rsid w:val="00C42E37"/>
    <w:rsid w:val="00C42EC0"/>
    <w:rsid w:val="00C430F5"/>
    <w:rsid w:val="00C43422"/>
    <w:rsid w:val="00C4376C"/>
    <w:rsid w:val="00C43778"/>
    <w:rsid w:val="00C43C51"/>
    <w:rsid w:val="00C43E90"/>
    <w:rsid w:val="00C43F30"/>
    <w:rsid w:val="00C43F9B"/>
    <w:rsid w:val="00C440C3"/>
    <w:rsid w:val="00C44247"/>
    <w:rsid w:val="00C4450B"/>
    <w:rsid w:val="00C44555"/>
    <w:rsid w:val="00C451C8"/>
    <w:rsid w:val="00C45217"/>
    <w:rsid w:val="00C45237"/>
    <w:rsid w:val="00C453DB"/>
    <w:rsid w:val="00C45525"/>
    <w:rsid w:val="00C45EAD"/>
    <w:rsid w:val="00C4649B"/>
    <w:rsid w:val="00C46C46"/>
    <w:rsid w:val="00C46CB7"/>
    <w:rsid w:val="00C46F81"/>
    <w:rsid w:val="00C473F0"/>
    <w:rsid w:val="00C474DC"/>
    <w:rsid w:val="00C47672"/>
    <w:rsid w:val="00C478B9"/>
    <w:rsid w:val="00C479D7"/>
    <w:rsid w:val="00C479EF"/>
    <w:rsid w:val="00C47A91"/>
    <w:rsid w:val="00C47D06"/>
    <w:rsid w:val="00C50343"/>
    <w:rsid w:val="00C50621"/>
    <w:rsid w:val="00C50816"/>
    <w:rsid w:val="00C5096E"/>
    <w:rsid w:val="00C50C2A"/>
    <w:rsid w:val="00C50D17"/>
    <w:rsid w:val="00C50D22"/>
    <w:rsid w:val="00C50D63"/>
    <w:rsid w:val="00C50DB5"/>
    <w:rsid w:val="00C50E39"/>
    <w:rsid w:val="00C50F34"/>
    <w:rsid w:val="00C51262"/>
    <w:rsid w:val="00C51951"/>
    <w:rsid w:val="00C52019"/>
    <w:rsid w:val="00C52058"/>
    <w:rsid w:val="00C5205D"/>
    <w:rsid w:val="00C5238C"/>
    <w:rsid w:val="00C52486"/>
    <w:rsid w:val="00C52725"/>
    <w:rsid w:val="00C52A54"/>
    <w:rsid w:val="00C537E2"/>
    <w:rsid w:val="00C53939"/>
    <w:rsid w:val="00C542ED"/>
    <w:rsid w:val="00C5468A"/>
    <w:rsid w:val="00C54CAB"/>
    <w:rsid w:val="00C550D6"/>
    <w:rsid w:val="00C5516B"/>
    <w:rsid w:val="00C5516C"/>
    <w:rsid w:val="00C55368"/>
    <w:rsid w:val="00C55615"/>
    <w:rsid w:val="00C5573D"/>
    <w:rsid w:val="00C55998"/>
    <w:rsid w:val="00C55FAD"/>
    <w:rsid w:val="00C562D4"/>
    <w:rsid w:val="00C565E6"/>
    <w:rsid w:val="00C567A2"/>
    <w:rsid w:val="00C567B7"/>
    <w:rsid w:val="00C56B58"/>
    <w:rsid w:val="00C56C4B"/>
    <w:rsid w:val="00C56C71"/>
    <w:rsid w:val="00C56F42"/>
    <w:rsid w:val="00C572CB"/>
    <w:rsid w:val="00C57524"/>
    <w:rsid w:val="00C576DA"/>
    <w:rsid w:val="00C5786F"/>
    <w:rsid w:val="00C57A96"/>
    <w:rsid w:val="00C57D0B"/>
    <w:rsid w:val="00C57F91"/>
    <w:rsid w:val="00C6043A"/>
    <w:rsid w:val="00C60446"/>
    <w:rsid w:val="00C60507"/>
    <w:rsid w:val="00C605DE"/>
    <w:rsid w:val="00C607A9"/>
    <w:rsid w:val="00C60A0B"/>
    <w:rsid w:val="00C60E00"/>
    <w:rsid w:val="00C61347"/>
    <w:rsid w:val="00C61475"/>
    <w:rsid w:val="00C61670"/>
    <w:rsid w:val="00C617BE"/>
    <w:rsid w:val="00C6182E"/>
    <w:rsid w:val="00C61A90"/>
    <w:rsid w:val="00C61D8F"/>
    <w:rsid w:val="00C62BC6"/>
    <w:rsid w:val="00C62F59"/>
    <w:rsid w:val="00C6309E"/>
    <w:rsid w:val="00C6345F"/>
    <w:rsid w:val="00C636C3"/>
    <w:rsid w:val="00C63B43"/>
    <w:rsid w:val="00C644F1"/>
    <w:rsid w:val="00C64CB5"/>
    <w:rsid w:val="00C64D99"/>
    <w:rsid w:val="00C64F30"/>
    <w:rsid w:val="00C64F49"/>
    <w:rsid w:val="00C6522F"/>
    <w:rsid w:val="00C652EE"/>
    <w:rsid w:val="00C65466"/>
    <w:rsid w:val="00C65776"/>
    <w:rsid w:val="00C65A3A"/>
    <w:rsid w:val="00C65AD1"/>
    <w:rsid w:val="00C65B85"/>
    <w:rsid w:val="00C65C49"/>
    <w:rsid w:val="00C65CF2"/>
    <w:rsid w:val="00C65ED9"/>
    <w:rsid w:val="00C660A0"/>
    <w:rsid w:val="00C66339"/>
    <w:rsid w:val="00C664E7"/>
    <w:rsid w:val="00C6666F"/>
    <w:rsid w:val="00C668BD"/>
    <w:rsid w:val="00C66B33"/>
    <w:rsid w:val="00C66BA4"/>
    <w:rsid w:val="00C67260"/>
    <w:rsid w:val="00C677FD"/>
    <w:rsid w:val="00C67E50"/>
    <w:rsid w:val="00C67F0C"/>
    <w:rsid w:val="00C70004"/>
    <w:rsid w:val="00C7053D"/>
    <w:rsid w:val="00C7087A"/>
    <w:rsid w:val="00C70DEA"/>
    <w:rsid w:val="00C71365"/>
    <w:rsid w:val="00C71658"/>
    <w:rsid w:val="00C71830"/>
    <w:rsid w:val="00C71C7C"/>
    <w:rsid w:val="00C71CF5"/>
    <w:rsid w:val="00C72020"/>
    <w:rsid w:val="00C72062"/>
    <w:rsid w:val="00C723F1"/>
    <w:rsid w:val="00C7241D"/>
    <w:rsid w:val="00C725F5"/>
    <w:rsid w:val="00C726B6"/>
    <w:rsid w:val="00C72820"/>
    <w:rsid w:val="00C72CA8"/>
    <w:rsid w:val="00C73D1F"/>
    <w:rsid w:val="00C73F93"/>
    <w:rsid w:val="00C749B3"/>
    <w:rsid w:val="00C74E42"/>
    <w:rsid w:val="00C75439"/>
    <w:rsid w:val="00C7563D"/>
    <w:rsid w:val="00C757F2"/>
    <w:rsid w:val="00C7585F"/>
    <w:rsid w:val="00C75985"/>
    <w:rsid w:val="00C75CFA"/>
    <w:rsid w:val="00C75E03"/>
    <w:rsid w:val="00C75EDF"/>
    <w:rsid w:val="00C76004"/>
    <w:rsid w:val="00C76221"/>
    <w:rsid w:val="00C76245"/>
    <w:rsid w:val="00C76356"/>
    <w:rsid w:val="00C763AB"/>
    <w:rsid w:val="00C76734"/>
    <w:rsid w:val="00C76BC0"/>
    <w:rsid w:val="00C77481"/>
    <w:rsid w:val="00C77503"/>
    <w:rsid w:val="00C778B9"/>
    <w:rsid w:val="00C7790A"/>
    <w:rsid w:val="00C77BA6"/>
    <w:rsid w:val="00C77BE5"/>
    <w:rsid w:val="00C77CF5"/>
    <w:rsid w:val="00C77E1E"/>
    <w:rsid w:val="00C77E4C"/>
    <w:rsid w:val="00C80072"/>
    <w:rsid w:val="00C801C3"/>
    <w:rsid w:val="00C802B3"/>
    <w:rsid w:val="00C809D6"/>
    <w:rsid w:val="00C80AB7"/>
    <w:rsid w:val="00C80CBC"/>
    <w:rsid w:val="00C81106"/>
    <w:rsid w:val="00C81140"/>
    <w:rsid w:val="00C81180"/>
    <w:rsid w:val="00C816F1"/>
    <w:rsid w:val="00C8178F"/>
    <w:rsid w:val="00C81AC1"/>
    <w:rsid w:val="00C81CB7"/>
    <w:rsid w:val="00C826EE"/>
    <w:rsid w:val="00C827FE"/>
    <w:rsid w:val="00C828EB"/>
    <w:rsid w:val="00C829DA"/>
    <w:rsid w:val="00C82D85"/>
    <w:rsid w:val="00C82DCA"/>
    <w:rsid w:val="00C82E03"/>
    <w:rsid w:val="00C82F60"/>
    <w:rsid w:val="00C83068"/>
    <w:rsid w:val="00C831AF"/>
    <w:rsid w:val="00C831DF"/>
    <w:rsid w:val="00C83861"/>
    <w:rsid w:val="00C83A0F"/>
    <w:rsid w:val="00C83C3E"/>
    <w:rsid w:val="00C83D3B"/>
    <w:rsid w:val="00C8423D"/>
    <w:rsid w:val="00C8447F"/>
    <w:rsid w:val="00C84797"/>
    <w:rsid w:val="00C8496E"/>
    <w:rsid w:val="00C84AC5"/>
    <w:rsid w:val="00C84D66"/>
    <w:rsid w:val="00C84EE8"/>
    <w:rsid w:val="00C85490"/>
    <w:rsid w:val="00C8550B"/>
    <w:rsid w:val="00C85606"/>
    <w:rsid w:val="00C859BA"/>
    <w:rsid w:val="00C85C22"/>
    <w:rsid w:val="00C85F71"/>
    <w:rsid w:val="00C86003"/>
    <w:rsid w:val="00C860FF"/>
    <w:rsid w:val="00C8610A"/>
    <w:rsid w:val="00C864F2"/>
    <w:rsid w:val="00C86927"/>
    <w:rsid w:val="00C869B4"/>
    <w:rsid w:val="00C86BC2"/>
    <w:rsid w:val="00C86D6A"/>
    <w:rsid w:val="00C86DC1"/>
    <w:rsid w:val="00C86EAA"/>
    <w:rsid w:val="00C86ED7"/>
    <w:rsid w:val="00C871FD"/>
    <w:rsid w:val="00C8747B"/>
    <w:rsid w:val="00C87C03"/>
    <w:rsid w:val="00C90103"/>
    <w:rsid w:val="00C901CE"/>
    <w:rsid w:val="00C9022C"/>
    <w:rsid w:val="00C90322"/>
    <w:rsid w:val="00C90BF8"/>
    <w:rsid w:val="00C90E1B"/>
    <w:rsid w:val="00C90F76"/>
    <w:rsid w:val="00C91552"/>
    <w:rsid w:val="00C9235E"/>
    <w:rsid w:val="00C923B8"/>
    <w:rsid w:val="00C92578"/>
    <w:rsid w:val="00C9279B"/>
    <w:rsid w:val="00C92CC6"/>
    <w:rsid w:val="00C92D71"/>
    <w:rsid w:val="00C932E3"/>
    <w:rsid w:val="00C9384E"/>
    <w:rsid w:val="00C938EB"/>
    <w:rsid w:val="00C939F2"/>
    <w:rsid w:val="00C93BDC"/>
    <w:rsid w:val="00C94086"/>
    <w:rsid w:val="00C94152"/>
    <w:rsid w:val="00C9435A"/>
    <w:rsid w:val="00C9451D"/>
    <w:rsid w:val="00C94664"/>
    <w:rsid w:val="00C946E5"/>
    <w:rsid w:val="00C948D6"/>
    <w:rsid w:val="00C949D7"/>
    <w:rsid w:val="00C94BFF"/>
    <w:rsid w:val="00C94DB0"/>
    <w:rsid w:val="00C94EFE"/>
    <w:rsid w:val="00C94F1A"/>
    <w:rsid w:val="00C95635"/>
    <w:rsid w:val="00C9568B"/>
    <w:rsid w:val="00C956BC"/>
    <w:rsid w:val="00C95CC2"/>
    <w:rsid w:val="00C95E0F"/>
    <w:rsid w:val="00C961CD"/>
    <w:rsid w:val="00C96234"/>
    <w:rsid w:val="00C9631A"/>
    <w:rsid w:val="00C9638C"/>
    <w:rsid w:val="00C9648A"/>
    <w:rsid w:val="00C969C6"/>
    <w:rsid w:val="00C96C40"/>
    <w:rsid w:val="00C96DB7"/>
    <w:rsid w:val="00C97367"/>
    <w:rsid w:val="00C97807"/>
    <w:rsid w:val="00C97C10"/>
    <w:rsid w:val="00C97C4B"/>
    <w:rsid w:val="00C97DB0"/>
    <w:rsid w:val="00C97F38"/>
    <w:rsid w:val="00C97FB7"/>
    <w:rsid w:val="00CA0144"/>
    <w:rsid w:val="00CA0538"/>
    <w:rsid w:val="00CA096B"/>
    <w:rsid w:val="00CA0F46"/>
    <w:rsid w:val="00CA18A1"/>
    <w:rsid w:val="00CA1C43"/>
    <w:rsid w:val="00CA1D04"/>
    <w:rsid w:val="00CA2086"/>
    <w:rsid w:val="00CA211D"/>
    <w:rsid w:val="00CA22DE"/>
    <w:rsid w:val="00CA259B"/>
    <w:rsid w:val="00CA26DE"/>
    <w:rsid w:val="00CA2B74"/>
    <w:rsid w:val="00CA332E"/>
    <w:rsid w:val="00CA345A"/>
    <w:rsid w:val="00CA3771"/>
    <w:rsid w:val="00CA38F8"/>
    <w:rsid w:val="00CA390C"/>
    <w:rsid w:val="00CA393D"/>
    <w:rsid w:val="00CA3A46"/>
    <w:rsid w:val="00CA3D16"/>
    <w:rsid w:val="00CA3D96"/>
    <w:rsid w:val="00CA4010"/>
    <w:rsid w:val="00CA438C"/>
    <w:rsid w:val="00CA45F2"/>
    <w:rsid w:val="00CA47D3"/>
    <w:rsid w:val="00CA4848"/>
    <w:rsid w:val="00CA4BF8"/>
    <w:rsid w:val="00CA4E24"/>
    <w:rsid w:val="00CA5036"/>
    <w:rsid w:val="00CA50C9"/>
    <w:rsid w:val="00CA5331"/>
    <w:rsid w:val="00CA53EE"/>
    <w:rsid w:val="00CA56C1"/>
    <w:rsid w:val="00CA596D"/>
    <w:rsid w:val="00CA5E02"/>
    <w:rsid w:val="00CA5E3B"/>
    <w:rsid w:val="00CA60EC"/>
    <w:rsid w:val="00CA64D4"/>
    <w:rsid w:val="00CA66DB"/>
    <w:rsid w:val="00CA6A75"/>
    <w:rsid w:val="00CA6E8D"/>
    <w:rsid w:val="00CA6F13"/>
    <w:rsid w:val="00CA7608"/>
    <w:rsid w:val="00CA784D"/>
    <w:rsid w:val="00CB0126"/>
    <w:rsid w:val="00CB0363"/>
    <w:rsid w:val="00CB0665"/>
    <w:rsid w:val="00CB06AD"/>
    <w:rsid w:val="00CB06CB"/>
    <w:rsid w:val="00CB08B0"/>
    <w:rsid w:val="00CB09AA"/>
    <w:rsid w:val="00CB0E0F"/>
    <w:rsid w:val="00CB0E70"/>
    <w:rsid w:val="00CB1025"/>
    <w:rsid w:val="00CB105F"/>
    <w:rsid w:val="00CB129B"/>
    <w:rsid w:val="00CB137B"/>
    <w:rsid w:val="00CB1597"/>
    <w:rsid w:val="00CB16EE"/>
    <w:rsid w:val="00CB1E64"/>
    <w:rsid w:val="00CB1F62"/>
    <w:rsid w:val="00CB2111"/>
    <w:rsid w:val="00CB23E4"/>
    <w:rsid w:val="00CB24E9"/>
    <w:rsid w:val="00CB2575"/>
    <w:rsid w:val="00CB2964"/>
    <w:rsid w:val="00CB2B32"/>
    <w:rsid w:val="00CB2BAB"/>
    <w:rsid w:val="00CB2F83"/>
    <w:rsid w:val="00CB2FC2"/>
    <w:rsid w:val="00CB325B"/>
    <w:rsid w:val="00CB3286"/>
    <w:rsid w:val="00CB346F"/>
    <w:rsid w:val="00CB3586"/>
    <w:rsid w:val="00CB3841"/>
    <w:rsid w:val="00CB3996"/>
    <w:rsid w:val="00CB3D51"/>
    <w:rsid w:val="00CB3DC2"/>
    <w:rsid w:val="00CB3F2E"/>
    <w:rsid w:val="00CB47B0"/>
    <w:rsid w:val="00CB4B15"/>
    <w:rsid w:val="00CB4F35"/>
    <w:rsid w:val="00CB4FE2"/>
    <w:rsid w:val="00CB53AF"/>
    <w:rsid w:val="00CB5731"/>
    <w:rsid w:val="00CB5803"/>
    <w:rsid w:val="00CB5B2E"/>
    <w:rsid w:val="00CB5BAC"/>
    <w:rsid w:val="00CB5C5E"/>
    <w:rsid w:val="00CB61E1"/>
    <w:rsid w:val="00CB63DB"/>
    <w:rsid w:val="00CB667E"/>
    <w:rsid w:val="00CB6AE7"/>
    <w:rsid w:val="00CB6E47"/>
    <w:rsid w:val="00CB6F82"/>
    <w:rsid w:val="00CB6FB4"/>
    <w:rsid w:val="00CB71DF"/>
    <w:rsid w:val="00CB7383"/>
    <w:rsid w:val="00CB78CD"/>
    <w:rsid w:val="00CB7AC1"/>
    <w:rsid w:val="00CC00BB"/>
    <w:rsid w:val="00CC01B9"/>
    <w:rsid w:val="00CC0791"/>
    <w:rsid w:val="00CC0C43"/>
    <w:rsid w:val="00CC128F"/>
    <w:rsid w:val="00CC148B"/>
    <w:rsid w:val="00CC14A5"/>
    <w:rsid w:val="00CC1738"/>
    <w:rsid w:val="00CC1804"/>
    <w:rsid w:val="00CC18D3"/>
    <w:rsid w:val="00CC18DC"/>
    <w:rsid w:val="00CC1991"/>
    <w:rsid w:val="00CC19FE"/>
    <w:rsid w:val="00CC1A96"/>
    <w:rsid w:val="00CC1C4D"/>
    <w:rsid w:val="00CC1C54"/>
    <w:rsid w:val="00CC1DE5"/>
    <w:rsid w:val="00CC1FB5"/>
    <w:rsid w:val="00CC2520"/>
    <w:rsid w:val="00CC2576"/>
    <w:rsid w:val="00CC26D0"/>
    <w:rsid w:val="00CC2949"/>
    <w:rsid w:val="00CC2ED9"/>
    <w:rsid w:val="00CC3A23"/>
    <w:rsid w:val="00CC3AF9"/>
    <w:rsid w:val="00CC3B76"/>
    <w:rsid w:val="00CC3E1E"/>
    <w:rsid w:val="00CC4048"/>
    <w:rsid w:val="00CC406C"/>
    <w:rsid w:val="00CC414A"/>
    <w:rsid w:val="00CC44FD"/>
    <w:rsid w:val="00CC4620"/>
    <w:rsid w:val="00CC47C0"/>
    <w:rsid w:val="00CC48BD"/>
    <w:rsid w:val="00CC48FC"/>
    <w:rsid w:val="00CC4F94"/>
    <w:rsid w:val="00CC50AB"/>
    <w:rsid w:val="00CC5199"/>
    <w:rsid w:val="00CC51BB"/>
    <w:rsid w:val="00CC531A"/>
    <w:rsid w:val="00CC540A"/>
    <w:rsid w:val="00CC5500"/>
    <w:rsid w:val="00CC5CAA"/>
    <w:rsid w:val="00CC609D"/>
    <w:rsid w:val="00CC60B2"/>
    <w:rsid w:val="00CC61D8"/>
    <w:rsid w:val="00CC647E"/>
    <w:rsid w:val="00CC65EE"/>
    <w:rsid w:val="00CC66B5"/>
    <w:rsid w:val="00CC6703"/>
    <w:rsid w:val="00CC6995"/>
    <w:rsid w:val="00CC6EA8"/>
    <w:rsid w:val="00CC72E5"/>
    <w:rsid w:val="00CC7559"/>
    <w:rsid w:val="00CC79D0"/>
    <w:rsid w:val="00CC7E16"/>
    <w:rsid w:val="00CD0147"/>
    <w:rsid w:val="00CD0238"/>
    <w:rsid w:val="00CD076B"/>
    <w:rsid w:val="00CD0866"/>
    <w:rsid w:val="00CD0A2E"/>
    <w:rsid w:val="00CD0F06"/>
    <w:rsid w:val="00CD1128"/>
    <w:rsid w:val="00CD120E"/>
    <w:rsid w:val="00CD1229"/>
    <w:rsid w:val="00CD1408"/>
    <w:rsid w:val="00CD177C"/>
    <w:rsid w:val="00CD17F5"/>
    <w:rsid w:val="00CD18CC"/>
    <w:rsid w:val="00CD1C15"/>
    <w:rsid w:val="00CD1D6F"/>
    <w:rsid w:val="00CD1E15"/>
    <w:rsid w:val="00CD2188"/>
    <w:rsid w:val="00CD2297"/>
    <w:rsid w:val="00CD26A5"/>
    <w:rsid w:val="00CD272E"/>
    <w:rsid w:val="00CD2A44"/>
    <w:rsid w:val="00CD2C52"/>
    <w:rsid w:val="00CD2C81"/>
    <w:rsid w:val="00CD3389"/>
    <w:rsid w:val="00CD3491"/>
    <w:rsid w:val="00CD34E4"/>
    <w:rsid w:val="00CD36B6"/>
    <w:rsid w:val="00CD3806"/>
    <w:rsid w:val="00CD38B7"/>
    <w:rsid w:val="00CD3901"/>
    <w:rsid w:val="00CD3C0E"/>
    <w:rsid w:val="00CD3D74"/>
    <w:rsid w:val="00CD3DBF"/>
    <w:rsid w:val="00CD3E4A"/>
    <w:rsid w:val="00CD3E93"/>
    <w:rsid w:val="00CD4095"/>
    <w:rsid w:val="00CD409E"/>
    <w:rsid w:val="00CD42DA"/>
    <w:rsid w:val="00CD4411"/>
    <w:rsid w:val="00CD488F"/>
    <w:rsid w:val="00CD4AEF"/>
    <w:rsid w:val="00CD4C92"/>
    <w:rsid w:val="00CD4CCD"/>
    <w:rsid w:val="00CD4E65"/>
    <w:rsid w:val="00CD5365"/>
    <w:rsid w:val="00CD576A"/>
    <w:rsid w:val="00CD5853"/>
    <w:rsid w:val="00CD635C"/>
    <w:rsid w:val="00CD6427"/>
    <w:rsid w:val="00CD648F"/>
    <w:rsid w:val="00CD66D6"/>
    <w:rsid w:val="00CD6D15"/>
    <w:rsid w:val="00CD6D31"/>
    <w:rsid w:val="00CD6E28"/>
    <w:rsid w:val="00CD6FD8"/>
    <w:rsid w:val="00CD736B"/>
    <w:rsid w:val="00CD778E"/>
    <w:rsid w:val="00CD7953"/>
    <w:rsid w:val="00CD79BE"/>
    <w:rsid w:val="00CD7D27"/>
    <w:rsid w:val="00CE02C8"/>
    <w:rsid w:val="00CE0404"/>
    <w:rsid w:val="00CE04BE"/>
    <w:rsid w:val="00CE0608"/>
    <w:rsid w:val="00CE09D1"/>
    <w:rsid w:val="00CE0BDF"/>
    <w:rsid w:val="00CE0C54"/>
    <w:rsid w:val="00CE0D19"/>
    <w:rsid w:val="00CE0E36"/>
    <w:rsid w:val="00CE0E5C"/>
    <w:rsid w:val="00CE100F"/>
    <w:rsid w:val="00CE12A6"/>
    <w:rsid w:val="00CE1374"/>
    <w:rsid w:val="00CE1966"/>
    <w:rsid w:val="00CE1978"/>
    <w:rsid w:val="00CE1A51"/>
    <w:rsid w:val="00CE1C89"/>
    <w:rsid w:val="00CE1ED0"/>
    <w:rsid w:val="00CE2117"/>
    <w:rsid w:val="00CE2278"/>
    <w:rsid w:val="00CE249A"/>
    <w:rsid w:val="00CE2502"/>
    <w:rsid w:val="00CE25A4"/>
    <w:rsid w:val="00CE3250"/>
    <w:rsid w:val="00CE33AC"/>
    <w:rsid w:val="00CE34DA"/>
    <w:rsid w:val="00CE3867"/>
    <w:rsid w:val="00CE3893"/>
    <w:rsid w:val="00CE3964"/>
    <w:rsid w:val="00CE3F54"/>
    <w:rsid w:val="00CE40AA"/>
    <w:rsid w:val="00CE539B"/>
    <w:rsid w:val="00CE5401"/>
    <w:rsid w:val="00CE5475"/>
    <w:rsid w:val="00CE573A"/>
    <w:rsid w:val="00CE5929"/>
    <w:rsid w:val="00CE5A32"/>
    <w:rsid w:val="00CE5C37"/>
    <w:rsid w:val="00CE5CD6"/>
    <w:rsid w:val="00CE5D8B"/>
    <w:rsid w:val="00CE5DAE"/>
    <w:rsid w:val="00CE6457"/>
    <w:rsid w:val="00CE64E4"/>
    <w:rsid w:val="00CE67D6"/>
    <w:rsid w:val="00CE6E1B"/>
    <w:rsid w:val="00CE7092"/>
    <w:rsid w:val="00CE73C2"/>
    <w:rsid w:val="00CE744F"/>
    <w:rsid w:val="00CE74DB"/>
    <w:rsid w:val="00CE7807"/>
    <w:rsid w:val="00CE78CA"/>
    <w:rsid w:val="00CE7A90"/>
    <w:rsid w:val="00CE7B50"/>
    <w:rsid w:val="00CE7BF6"/>
    <w:rsid w:val="00CF03DC"/>
    <w:rsid w:val="00CF06BA"/>
    <w:rsid w:val="00CF082A"/>
    <w:rsid w:val="00CF0CEF"/>
    <w:rsid w:val="00CF103C"/>
    <w:rsid w:val="00CF111E"/>
    <w:rsid w:val="00CF1251"/>
    <w:rsid w:val="00CF14DF"/>
    <w:rsid w:val="00CF18A8"/>
    <w:rsid w:val="00CF1F3E"/>
    <w:rsid w:val="00CF1F6B"/>
    <w:rsid w:val="00CF2015"/>
    <w:rsid w:val="00CF2247"/>
    <w:rsid w:val="00CF234A"/>
    <w:rsid w:val="00CF235C"/>
    <w:rsid w:val="00CF288F"/>
    <w:rsid w:val="00CF2A64"/>
    <w:rsid w:val="00CF2D79"/>
    <w:rsid w:val="00CF2DC1"/>
    <w:rsid w:val="00CF2E52"/>
    <w:rsid w:val="00CF30A4"/>
    <w:rsid w:val="00CF31C1"/>
    <w:rsid w:val="00CF3218"/>
    <w:rsid w:val="00CF32DC"/>
    <w:rsid w:val="00CF335C"/>
    <w:rsid w:val="00CF346E"/>
    <w:rsid w:val="00CF3740"/>
    <w:rsid w:val="00CF38F9"/>
    <w:rsid w:val="00CF3C38"/>
    <w:rsid w:val="00CF3DF2"/>
    <w:rsid w:val="00CF405A"/>
    <w:rsid w:val="00CF416C"/>
    <w:rsid w:val="00CF42B8"/>
    <w:rsid w:val="00CF42C3"/>
    <w:rsid w:val="00CF42DF"/>
    <w:rsid w:val="00CF442C"/>
    <w:rsid w:val="00CF4833"/>
    <w:rsid w:val="00CF48FC"/>
    <w:rsid w:val="00CF4968"/>
    <w:rsid w:val="00CF4B04"/>
    <w:rsid w:val="00CF4B56"/>
    <w:rsid w:val="00CF508A"/>
    <w:rsid w:val="00CF528E"/>
    <w:rsid w:val="00CF52C7"/>
    <w:rsid w:val="00CF5932"/>
    <w:rsid w:val="00CF5B6B"/>
    <w:rsid w:val="00CF5B9A"/>
    <w:rsid w:val="00CF5C6A"/>
    <w:rsid w:val="00CF5E09"/>
    <w:rsid w:val="00CF618F"/>
    <w:rsid w:val="00CF61A7"/>
    <w:rsid w:val="00CF6756"/>
    <w:rsid w:val="00CF69C6"/>
    <w:rsid w:val="00CF6E2E"/>
    <w:rsid w:val="00CF7655"/>
    <w:rsid w:val="00CF7750"/>
    <w:rsid w:val="00CF78CA"/>
    <w:rsid w:val="00CF7C6E"/>
    <w:rsid w:val="00D00038"/>
    <w:rsid w:val="00D002A3"/>
    <w:rsid w:val="00D00311"/>
    <w:rsid w:val="00D00D86"/>
    <w:rsid w:val="00D012E2"/>
    <w:rsid w:val="00D0191E"/>
    <w:rsid w:val="00D01A61"/>
    <w:rsid w:val="00D01C1B"/>
    <w:rsid w:val="00D01D45"/>
    <w:rsid w:val="00D02297"/>
    <w:rsid w:val="00D02AF0"/>
    <w:rsid w:val="00D02C7F"/>
    <w:rsid w:val="00D02DD1"/>
    <w:rsid w:val="00D02F55"/>
    <w:rsid w:val="00D032AC"/>
    <w:rsid w:val="00D03826"/>
    <w:rsid w:val="00D03D1F"/>
    <w:rsid w:val="00D04692"/>
    <w:rsid w:val="00D04947"/>
    <w:rsid w:val="00D04BE0"/>
    <w:rsid w:val="00D04D5E"/>
    <w:rsid w:val="00D04E44"/>
    <w:rsid w:val="00D04E71"/>
    <w:rsid w:val="00D0556F"/>
    <w:rsid w:val="00D0561E"/>
    <w:rsid w:val="00D05646"/>
    <w:rsid w:val="00D056F7"/>
    <w:rsid w:val="00D05AAE"/>
    <w:rsid w:val="00D05CB6"/>
    <w:rsid w:val="00D05D68"/>
    <w:rsid w:val="00D061C7"/>
    <w:rsid w:val="00D068C6"/>
    <w:rsid w:val="00D069C9"/>
    <w:rsid w:val="00D06A4C"/>
    <w:rsid w:val="00D06C78"/>
    <w:rsid w:val="00D06F47"/>
    <w:rsid w:val="00D07440"/>
    <w:rsid w:val="00D0776C"/>
    <w:rsid w:val="00D0778C"/>
    <w:rsid w:val="00D07A4A"/>
    <w:rsid w:val="00D07D71"/>
    <w:rsid w:val="00D103A9"/>
    <w:rsid w:val="00D1043D"/>
    <w:rsid w:val="00D10A16"/>
    <w:rsid w:val="00D10C26"/>
    <w:rsid w:val="00D11339"/>
    <w:rsid w:val="00D1155C"/>
    <w:rsid w:val="00D11594"/>
    <w:rsid w:val="00D11983"/>
    <w:rsid w:val="00D11AFB"/>
    <w:rsid w:val="00D11D11"/>
    <w:rsid w:val="00D1217E"/>
    <w:rsid w:val="00D122FE"/>
    <w:rsid w:val="00D12A33"/>
    <w:rsid w:val="00D12F3D"/>
    <w:rsid w:val="00D12F70"/>
    <w:rsid w:val="00D13044"/>
    <w:rsid w:val="00D13169"/>
    <w:rsid w:val="00D132DF"/>
    <w:rsid w:val="00D134E3"/>
    <w:rsid w:val="00D13963"/>
    <w:rsid w:val="00D13C6E"/>
    <w:rsid w:val="00D13DF4"/>
    <w:rsid w:val="00D140C6"/>
    <w:rsid w:val="00D141BC"/>
    <w:rsid w:val="00D143FF"/>
    <w:rsid w:val="00D14511"/>
    <w:rsid w:val="00D14538"/>
    <w:rsid w:val="00D14D42"/>
    <w:rsid w:val="00D14DA5"/>
    <w:rsid w:val="00D150B1"/>
    <w:rsid w:val="00D15193"/>
    <w:rsid w:val="00D158D5"/>
    <w:rsid w:val="00D1595F"/>
    <w:rsid w:val="00D15BCB"/>
    <w:rsid w:val="00D15DD0"/>
    <w:rsid w:val="00D16E24"/>
    <w:rsid w:val="00D17107"/>
    <w:rsid w:val="00D17221"/>
    <w:rsid w:val="00D1748B"/>
    <w:rsid w:val="00D17742"/>
    <w:rsid w:val="00D178B7"/>
    <w:rsid w:val="00D1792E"/>
    <w:rsid w:val="00D17AD7"/>
    <w:rsid w:val="00D17DEB"/>
    <w:rsid w:val="00D17F4E"/>
    <w:rsid w:val="00D20204"/>
    <w:rsid w:val="00D20258"/>
    <w:rsid w:val="00D203F8"/>
    <w:rsid w:val="00D208D4"/>
    <w:rsid w:val="00D2099A"/>
    <w:rsid w:val="00D20B8E"/>
    <w:rsid w:val="00D20C73"/>
    <w:rsid w:val="00D20D5F"/>
    <w:rsid w:val="00D20E16"/>
    <w:rsid w:val="00D211F7"/>
    <w:rsid w:val="00D21D6E"/>
    <w:rsid w:val="00D221A2"/>
    <w:rsid w:val="00D223A6"/>
    <w:rsid w:val="00D224AF"/>
    <w:rsid w:val="00D227A7"/>
    <w:rsid w:val="00D22803"/>
    <w:rsid w:val="00D228EE"/>
    <w:rsid w:val="00D22CE9"/>
    <w:rsid w:val="00D22F5F"/>
    <w:rsid w:val="00D23803"/>
    <w:rsid w:val="00D24017"/>
    <w:rsid w:val="00D240FF"/>
    <w:rsid w:val="00D2413E"/>
    <w:rsid w:val="00D24568"/>
    <w:rsid w:val="00D2493C"/>
    <w:rsid w:val="00D24B71"/>
    <w:rsid w:val="00D24CE7"/>
    <w:rsid w:val="00D24ECE"/>
    <w:rsid w:val="00D24F67"/>
    <w:rsid w:val="00D25066"/>
    <w:rsid w:val="00D25251"/>
    <w:rsid w:val="00D2563B"/>
    <w:rsid w:val="00D261EC"/>
    <w:rsid w:val="00D26406"/>
    <w:rsid w:val="00D26764"/>
    <w:rsid w:val="00D26A13"/>
    <w:rsid w:val="00D26CA7"/>
    <w:rsid w:val="00D26E3D"/>
    <w:rsid w:val="00D26F32"/>
    <w:rsid w:val="00D27218"/>
    <w:rsid w:val="00D272C9"/>
    <w:rsid w:val="00D275E5"/>
    <w:rsid w:val="00D275EF"/>
    <w:rsid w:val="00D277C9"/>
    <w:rsid w:val="00D27888"/>
    <w:rsid w:val="00D27A7F"/>
    <w:rsid w:val="00D27FA9"/>
    <w:rsid w:val="00D303F9"/>
    <w:rsid w:val="00D305BC"/>
    <w:rsid w:val="00D3083E"/>
    <w:rsid w:val="00D30A36"/>
    <w:rsid w:val="00D30AF0"/>
    <w:rsid w:val="00D30CAC"/>
    <w:rsid w:val="00D30ED3"/>
    <w:rsid w:val="00D310E0"/>
    <w:rsid w:val="00D31684"/>
    <w:rsid w:val="00D31CA7"/>
    <w:rsid w:val="00D3221D"/>
    <w:rsid w:val="00D322C8"/>
    <w:rsid w:val="00D324E0"/>
    <w:rsid w:val="00D3253A"/>
    <w:rsid w:val="00D32585"/>
    <w:rsid w:val="00D3279C"/>
    <w:rsid w:val="00D328C5"/>
    <w:rsid w:val="00D3293D"/>
    <w:rsid w:val="00D32D9A"/>
    <w:rsid w:val="00D32E91"/>
    <w:rsid w:val="00D33114"/>
    <w:rsid w:val="00D33120"/>
    <w:rsid w:val="00D336DB"/>
    <w:rsid w:val="00D337BD"/>
    <w:rsid w:val="00D34093"/>
    <w:rsid w:val="00D3412F"/>
    <w:rsid w:val="00D342A2"/>
    <w:rsid w:val="00D34466"/>
    <w:rsid w:val="00D34506"/>
    <w:rsid w:val="00D34582"/>
    <w:rsid w:val="00D34680"/>
    <w:rsid w:val="00D347BC"/>
    <w:rsid w:val="00D349EF"/>
    <w:rsid w:val="00D34A46"/>
    <w:rsid w:val="00D34B50"/>
    <w:rsid w:val="00D34BB7"/>
    <w:rsid w:val="00D34CCB"/>
    <w:rsid w:val="00D34F7F"/>
    <w:rsid w:val="00D35261"/>
    <w:rsid w:val="00D35326"/>
    <w:rsid w:val="00D3558A"/>
    <w:rsid w:val="00D35A38"/>
    <w:rsid w:val="00D35AD2"/>
    <w:rsid w:val="00D35B63"/>
    <w:rsid w:val="00D35C07"/>
    <w:rsid w:val="00D35D89"/>
    <w:rsid w:val="00D35EC4"/>
    <w:rsid w:val="00D36373"/>
    <w:rsid w:val="00D36423"/>
    <w:rsid w:val="00D36426"/>
    <w:rsid w:val="00D36626"/>
    <w:rsid w:val="00D36A50"/>
    <w:rsid w:val="00D36CA1"/>
    <w:rsid w:val="00D371B2"/>
    <w:rsid w:val="00D37258"/>
    <w:rsid w:val="00D374E9"/>
    <w:rsid w:val="00D37529"/>
    <w:rsid w:val="00D378E8"/>
    <w:rsid w:val="00D37C80"/>
    <w:rsid w:val="00D37F47"/>
    <w:rsid w:val="00D400CA"/>
    <w:rsid w:val="00D4011C"/>
    <w:rsid w:val="00D4017D"/>
    <w:rsid w:val="00D4028C"/>
    <w:rsid w:val="00D40383"/>
    <w:rsid w:val="00D40635"/>
    <w:rsid w:val="00D4068D"/>
    <w:rsid w:val="00D40789"/>
    <w:rsid w:val="00D407A3"/>
    <w:rsid w:val="00D4088E"/>
    <w:rsid w:val="00D40B01"/>
    <w:rsid w:val="00D40BA9"/>
    <w:rsid w:val="00D40C17"/>
    <w:rsid w:val="00D40CC0"/>
    <w:rsid w:val="00D41006"/>
    <w:rsid w:val="00D4121D"/>
    <w:rsid w:val="00D41495"/>
    <w:rsid w:val="00D41526"/>
    <w:rsid w:val="00D416AB"/>
    <w:rsid w:val="00D41866"/>
    <w:rsid w:val="00D41A3B"/>
    <w:rsid w:val="00D41BF8"/>
    <w:rsid w:val="00D41CDF"/>
    <w:rsid w:val="00D41FAB"/>
    <w:rsid w:val="00D422BA"/>
    <w:rsid w:val="00D422DA"/>
    <w:rsid w:val="00D42381"/>
    <w:rsid w:val="00D426BF"/>
    <w:rsid w:val="00D42791"/>
    <w:rsid w:val="00D4284C"/>
    <w:rsid w:val="00D42A2B"/>
    <w:rsid w:val="00D42FCF"/>
    <w:rsid w:val="00D43081"/>
    <w:rsid w:val="00D43132"/>
    <w:rsid w:val="00D4345D"/>
    <w:rsid w:val="00D435C2"/>
    <w:rsid w:val="00D435EC"/>
    <w:rsid w:val="00D4365D"/>
    <w:rsid w:val="00D439E5"/>
    <w:rsid w:val="00D43BF2"/>
    <w:rsid w:val="00D43DA9"/>
    <w:rsid w:val="00D43EEA"/>
    <w:rsid w:val="00D44037"/>
    <w:rsid w:val="00D440EC"/>
    <w:rsid w:val="00D4412E"/>
    <w:rsid w:val="00D441B7"/>
    <w:rsid w:val="00D4450F"/>
    <w:rsid w:val="00D44754"/>
    <w:rsid w:val="00D448EC"/>
    <w:rsid w:val="00D44A5E"/>
    <w:rsid w:val="00D44B4E"/>
    <w:rsid w:val="00D44C57"/>
    <w:rsid w:val="00D44E7D"/>
    <w:rsid w:val="00D44FCC"/>
    <w:rsid w:val="00D453D8"/>
    <w:rsid w:val="00D45778"/>
    <w:rsid w:val="00D45784"/>
    <w:rsid w:val="00D459A2"/>
    <w:rsid w:val="00D45A93"/>
    <w:rsid w:val="00D45B67"/>
    <w:rsid w:val="00D45FD5"/>
    <w:rsid w:val="00D4660B"/>
    <w:rsid w:val="00D46B6D"/>
    <w:rsid w:val="00D46CA8"/>
    <w:rsid w:val="00D474F0"/>
    <w:rsid w:val="00D47820"/>
    <w:rsid w:val="00D47998"/>
    <w:rsid w:val="00D47C3A"/>
    <w:rsid w:val="00D47D34"/>
    <w:rsid w:val="00D47DE1"/>
    <w:rsid w:val="00D47F00"/>
    <w:rsid w:val="00D502CD"/>
    <w:rsid w:val="00D50458"/>
    <w:rsid w:val="00D50615"/>
    <w:rsid w:val="00D508EC"/>
    <w:rsid w:val="00D50C09"/>
    <w:rsid w:val="00D5103F"/>
    <w:rsid w:val="00D5111B"/>
    <w:rsid w:val="00D515DF"/>
    <w:rsid w:val="00D516DB"/>
    <w:rsid w:val="00D51998"/>
    <w:rsid w:val="00D519C5"/>
    <w:rsid w:val="00D519EA"/>
    <w:rsid w:val="00D51A43"/>
    <w:rsid w:val="00D51E1A"/>
    <w:rsid w:val="00D51FB2"/>
    <w:rsid w:val="00D520C8"/>
    <w:rsid w:val="00D5245B"/>
    <w:rsid w:val="00D52F66"/>
    <w:rsid w:val="00D53053"/>
    <w:rsid w:val="00D530DA"/>
    <w:rsid w:val="00D53189"/>
    <w:rsid w:val="00D532A0"/>
    <w:rsid w:val="00D536B6"/>
    <w:rsid w:val="00D53779"/>
    <w:rsid w:val="00D538F4"/>
    <w:rsid w:val="00D54020"/>
    <w:rsid w:val="00D545AB"/>
    <w:rsid w:val="00D5462F"/>
    <w:rsid w:val="00D5470A"/>
    <w:rsid w:val="00D54939"/>
    <w:rsid w:val="00D54A0C"/>
    <w:rsid w:val="00D54C95"/>
    <w:rsid w:val="00D54CFA"/>
    <w:rsid w:val="00D5515E"/>
    <w:rsid w:val="00D55A91"/>
    <w:rsid w:val="00D5637E"/>
    <w:rsid w:val="00D56570"/>
    <w:rsid w:val="00D568BB"/>
    <w:rsid w:val="00D56C39"/>
    <w:rsid w:val="00D56D4C"/>
    <w:rsid w:val="00D56D5D"/>
    <w:rsid w:val="00D57019"/>
    <w:rsid w:val="00D5729A"/>
    <w:rsid w:val="00D572C6"/>
    <w:rsid w:val="00D575E9"/>
    <w:rsid w:val="00D5790B"/>
    <w:rsid w:val="00D57941"/>
    <w:rsid w:val="00D57A78"/>
    <w:rsid w:val="00D57B9B"/>
    <w:rsid w:val="00D57BD1"/>
    <w:rsid w:val="00D57D8C"/>
    <w:rsid w:val="00D57F6B"/>
    <w:rsid w:val="00D601D9"/>
    <w:rsid w:val="00D60358"/>
    <w:rsid w:val="00D60411"/>
    <w:rsid w:val="00D605ED"/>
    <w:rsid w:val="00D606A3"/>
    <w:rsid w:val="00D60B62"/>
    <w:rsid w:val="00D60D06"/>
    <w:rsid w:val="00D60DA5"/>
    <w:rsid w:val="00D61046"/>
    <w:rsid w:val="00D6119E"/>
    <w:rsid w:val="00D612D2"/>
    <w:rsid w:val="00D615E0"/>
    <w:rsid w:val="00D61676"/>
    <w:rsid w:val="00D61883"/>
    <w:rsid w:val="00D619CB"/>
    <w:rsid w:val="00D61D8E"/>
    <w:rsid w:val="00D62040"/>
    <w:rsid w:val="00D623B7"/>
    <w:rsid w:val="00D6274D"/>
    <w:rsid w:val="00D62782"/>
    <w:rsid w:val="00D62903"/>
    <w:rsid w:val="00D62AAB"/>
    <w:rsid w:val="00D62B0F"/>
    <w:rsid w:val="00D62B93"/>
    <w:rsid w:val="00D62C06"/>
    <w:rsid w:val="00D62C9B"/>
    <w:rsid w:val="00D62F97"/>
    <w:rsid w:val="00D62F99"/>
    <w:rsid w:val="00D63250"/>
    <w:rsid w:val="00D6325B"/>
    <w:rsid w:val="00D633CC"/>
    <w:rsid w:val="00D635D9"/>
    <w:rsid w:val="00D6369A"/>
    <w:rsid w:val="00D63A2D"/>
    <w:rsid w:val="00D63B87"/>
    <w:rsid w:val="00D63C1A"/>
    <w:rsid w:val="00D63CBC"/>
    <w:rsid w:val="00D63DBD"/>
    <w:rsid w:val="00D6406B"/>
    <w:rsid w:val="00D640ED"/>
    <w:rsid w:val="00D64248"/>
    <w:rsid w:val="00D6456E"/>
    <w:rsid w:val="00D648CB"/>
    <w:rsid w:val="00D64B25"/>
    <w:rsid w:val="00D64B8D"/>
    <w:rsid w:val="00D64BAD"/>
    <w:rsid w:val="00D651E3"/>
    <w:rsid w:val="00D651EF"/>
    <w:rsid w:val="00D6552B"/>
    <w:rsid w:val="00D65555"/>
    <w:rsid w:val="00D65709"/>
    <w:rsid w:val="00D657D6"/>
    <w:rsid w:val="00D660FF"/>
    <w:rsid w:val="00D667E7"/>
    <w:rsid w:val="00D667F6"/>
    <w:rsid w:val="00D669CB"/>
    <w:rsid w:val="00D66C47"/>
    <w:rsid w:val="00D66EF2"/>
    <w:rsid w:val="00D66F91"/>
    <w:rsid w:val="00D67161"/>
    <w:rsid w:val="00D6719A"/>
    <w:rsid w:val="00D67371"/>
    <w:rsid w:val="00D67413"/>
    <w:rsid w:val="00D6754B"/>
    <w:rsid w:val="00D67A93"/>
    <w:rsid w:val="00D67B13"/>
    <w:rsid w:val="00D7039D"/>
    <w:rsid w:val="00D703E5"/>
    <w:rsid w:val="00D705B9"/>
    <w:rsid w:val="00D70CFA"/>
    <w:rsid w:val="00D70DDB"/>
    <w:rsid w:val="00D71000"/>
    <w:rsid w:val="00D71005"/>
    <w:rsid w:val="00D71148"/>
    <w:rsid w:val="00D711AA"/>
    <w:rsid w:val="00D7131E"/>
    <w:rsid w:val="00D71410"/>
    <w:rsid w:val="00D71543"/>
    <w:rsid w:val="00D715F9"/>
    <w:rsid w:val="00D71846"/>
    <w:rsid w:val="00D719A1"/>
    <w:rsid w:val="00D71C0E"/>
    <w:rsid w:val="00D71FE0"/>
    <w:rsid w:val="00D72449"/>
    <w:rsid w:val="00D729A4"/>
    <w:rsid w:val="00D72F92"/>
    <w:rsid w:val="00D730A2"/>
    <w:rsid w:val="00D730F3"/>
    <w:rsid w:val="00D73611"/>
    <w:rsid w:val="00D73776"/>
    <w:rsid w:val="00D73892"/>
    <w:rsid w:val="00D73962"/>
    <w:rsid w:val="00D73B16"/>
    <w:rsid w:val="00D73E17"/>
    <w:rsid w:val="00D73F64"/>
    <w:rsid w:val="00D7404A"/>
    <w:rsid w:val="00D7406F"/>
    <w:rsid w:val="00D74165"/>
    <w:rsid w:val="00D7432A"/>
    <w:rsid w:val="00D746AC"/>
    <w:rsid w:val="00D7488F"/>
    <w:rsid w:val="00D74CDD"/>
    <w:rsid w:val="00D7512E"/>
    <w:rsid w:val="00D755FF"/>
    <w:rsid w:val="00D756BC"/>
    <w:rsid w:val="00D757D9"/>
    <w:rsid w:val="00D758A2"/>
    <w:rsid w:val="00D762D4"/>
    <w:rsid w:val="00D7634A"/>
    <w:rsid w:val="00D763A8"/>
    <w:rsid w:val="00D76430"/>
    <w:rsid w:val="00D76483"/>
    <w:rsid w:val="00D768F4"/>
    <w:rsid w:val="00D76FBF"/>
    <w:rsid w:val="00D76FEC"/>
    <w:rsid w:val="00D770F6"/>
    <w:rsid w:val="00D77294"/>
    <w:rsid w:val="00D775D9"/>
    <w:rsid w:val="00D775DC"/>
    <w:rsid w:val="00D77B14"/>
    <w:rsid w:val="00D77BC2"/>
    <w:rsid w:val="00D77FDE"/>
    <w:rsid w:val="00D8013C"/>
    <w:rsid w:val="00D80158"/>
    <w:rsid w:val="00D802FE"/>
    <w:rsid w:val="00D8053C"/>
    <w:rsid w:val="00D80AA9"/>
    <w:rsid w:val="00D80CBD"/>
    <w:rsid w:val="00D80E72"/>
    <w:rsid w:val="00D815A0"/>
    <w:rsid w:val="00D815E5"/>
    <w:rsid w:val="00D81680"/>
    <w:rsid w:val="00D818E9"/>
    <w:rsid w:val="00D819F3"/>
    <w:rsid w:val="00D81B18"/>
    <w:rsid w:val="00D81F78"/>
    <w:rsid w:val="00D821A6"/>
    <w:rsid w:val="00D82354"/>
    <w:rsid w:val="00D82845"/>
    <w:rsid w:val="00D828CC"/>
    <w:rsid w:val="00D82A11"/>
    <w:rsid w:val="00D83841"/>
    <w:rsid w:val="00D83CCF"/>
    <w:rsid w:val="00D83E21"/>
    <w:rsid w:val="00D84487"/>
    <w:rsid w:val="00D844E5"/>
    <w:rsid w:val="00D8464B"/>
    <w:rsid w:val="00D848F9"/>
    <w:rsid w:val="00D84A31"/>
    <w:rsid w:val="00D84A94"/>
    <w:rsid w:val="00D84F9A"/>
    <w:rsid w:val="00D85271"/>
    <w:rsid w:val="00D85E3A"/>
    <w:rsid w:val="00D86038"/>
    <w:rsid w:val="00D86180"/>
    <w:rsid w:val="00D8654A"/>
    <w:rsid w:val="00D865D0"/>
    <w:rsid w:val="00D866D0"/>
    <w:rsid w:val="00D86780"/>
    <w:rsid w:val="00D86A63"/>
    <w:rsid w:val="00D86B20"/>
    <w:rsid w:val="00D86C64"/>
    <w:rsid w:val="00D8700E"/>
    <w:rsid w:val="00D875C2"/>
    <w:rsid w:val="00D87761"/>
    <w:rsid w:val="00D87A74"/>
    <w:rsid w:val="00D87D41"/>
    <w:rsid w:val="00D87DCC"/>
    <w:rsid w:val="00D902E2"/>
    <w:rsid w:val="00D9043E"/>
    <w:rsid w:val="00D907E9"/>
    <w:rsid w:val="00D90829"/>
    <w:rsid w:val="00D908C9"/>
    <w:rsid w:val="00D90974"/>
    <w:rsid w:val="00D9099B"/>
    <w:rsid w:val="00D90DC6"/>
    <w:rsid w:val="00D9130F"/>
    <w:rsid w:val="00D913A2"/>
    <w:rsid w:val="00D91931"/>
    <w:rsid w:val="00D91BC3"/>
    <w:rsid w:val="00D91E7D"/>
    <w:rsid w:val="00D9230B"/>
    <w:rsid w:val="00D92599"/>
    <w:rsid w:val="00D92A46"/>
    <w:rsid w:val="00D92B0C"/>
    <w:rsid w:val="00D92D04"/>
    <w:rsid w:val="00D935FF"/>
    <w:rsid w:val="00D93D57"/>
    <w:rsid w:val="00D93F65"/>
    <w:rsid w:val="00D94050"/>
    <w:rsid w:val="00D94139"/>
    <w:rsid w:val="00D942F5"/>
    <w:rsid w:val="00D94357"/>
    <w:rsid w:val="00D943E9"/>
    <w:rsid w:val="00D94485"/>
    <w:rsid w:val="00D944B6"/>
    <w:rsid w:val="00D9452C"/>
    <w:rsid w:val="00D94862"/>
    <w:rsid w:val="00D9492C"/>
    <w:rsid w:val="00D94D85"/>
    <w:rsid w:val="00D95009"/>
    <w:rsid w:val="00D957C4"/>
    <w:rsid w:val="00D958DF"/>
    <w:rsid w:val="00D95902"/>
    <w:rsid w:val="00D95B2A"/>
    <w:rsid w:val="00D95EE7"/>
    <w:rsid w:val="00D9600A"/>
    <w:rsid w:val="00D9635E"/>
    <w:rsid w:val="00D96474"/>
    <w:rsid w:val="00D967D7"/>
    <w:rsid w:val="00D96818"/>
    <w:rsid w:val="00D968A3"/>
    <w:rsid w:val="00D968AA"/>
    <w:rsid w:val="00D96925"/>
    <w:rsid w:val="00D96AA6"/>
    <w:rsid w:val="00D96AAC"/>
    <w:rsid w:val="00D96EDA"/>
    <w:rsid w:val="00D97411"/>
    <w:rsid w:val="00D9741D"/>
    <w:rsid w:val="00D978CE"/>
    <w:rsid w:val="00D97AA2"/>
    <w:rsid w:val="00DA0299"/>
    <w:rsid w:val="00DA057B"/>
    <w:rsid w:val="00DA0870"/>
    <w:rsid w:val="00DA0BBB"/>
    <w:rsid w:val="00DA0E70"/>
    <w:rsid w:val="00DA10C5"/>
    <w:rsid w:val="00DA10FE"/>
    <w:rsid w:val="00DA1795"/>
    <w:rsid w:val="00DA1B16"/>
    <w:rsid w:val="00DA20DA"/>
    <w:rsid w:val="00DA22A6"/>
    <w:rsid w:val="00DA2648"/>
    <w:rsid w:val="00DA27F1"/>
    <w:rsid w:val="00DA27FB"/>
    <w:rsid w:val="00DA2848"/>
    <w:rsid w:val="00DA2A87"/>
    <w:rsid w:val="00DA2AA5"/>
    <w:rsid w:val="00DA2BF2"/>
    <w:rsid w:val="00DA2E25"/>
    <w:rsid w:val="00DA34B7"/>
    <w:rsid w:val="00DA37AC"/>
    <w:rsid w:val="00DA3878"/>
    <w:rsid w:val="00DA391D"/>
    <w:rsid w:val="00DA3B1B"/>
    <w:rsid w:val="00DA3BC8"/>
    <w:rsid w:val="00DA3BDC"/>
    <w:rsid w:val="00DA45A6"/>
    <w:rsid w:val="00DA484A"/>
    <w:rsid w:val="00DA4C61"/>
    <w:rsid w:val="00DA4DA4"/>
    <w:rsid w:val="00DA5213"/>
    <w:rsid w:val="00DA54D4"/>
    <w:rsid w:val="00DA5597"/>
    <w:rsid w:val="00DA5645"/>
    <w:rsid w:val="00DA5CB9"/>
    <w:rsid w:val="00DA5F28"/>
    <w:rsid w:val="00DA5F5D"/>
    <w:rsid w:val="00DA659B"/>
    <w:rsid w:val="00DA6928"/>
    <w:rsid w:val="00DA6AAF"/>
    <w:rsid w:val="00DA6BAD"/>
    <w:rsid w:val="00DA6C9B"/>
    <w:rsid w:val="00DA70A1"/>
    <w:rsid w:val="00DA7213"/>
    <w:rsid w:val="00DA73BB"/>
    <w:rsid w:val="00DA7492"/>
    <w:rsid w:val="00DA74A5"/>
    <w:rsid w:val="00DA7523"/>
    <w:rsid w:val="00DA7555"/>
    <w:rsid w:val="00DA770E"/>
    <w:rsid w:val="00DA7849"/>
    <w:rsid w:val="00DA7BB3"/>
    <w:rsid w:val="00DA7C64"/>
    <w:rsid w:val="00DA7DF6"/>
    <w:rsid w:val="00DA7ECB"/>
    <w:rsid w:val="00DA7FCD"/>
    <w:rsid w:val="00DB03C6"/>
    <w:rsid w:val="00DB05C3"/>
    <w:rsid w:val="00DB0B8D"/>
    <w:rsid w:val="00DB153C"/>
    <w:rsid w:val="00DB15CA"/>
    <w:rsid w:val="00DB17CC"/>
    <w:rsid w:val="00DB191A"/>
    <w:rsid w:val="00DB1C13"/>
    <w:rsid w:val="00DB2106"/>
    <w:rsid w:val="00DB2519"/>
    <w:rsid w:val="00DB2618"/>
    <w:rsid w:val="00DB272F"/>
    <w:rsid w:val="00DB28A7"/>
    <w:rsid w:val="00DB2B2F"/>
    <w:rsid w:val="00DB3122"/>
    <w:rsid w:val="00DB321B"/>
    <w:rsid w:val="00DB3394"/>
    <w:rsid w:val="00DB33B5"/>
    <w:rsid w:val="00DB3461"/>
    <w:rsid w:val="00DB3491"/>
    <w:rsid w:val="00DB35FB"/>
    <w:rsid w:val="00DB38AC"/>
    <w:rsid w:val="00DB3EE0"/>
    <w:rsid w:val="00DB3F7E"/>
    <w:rsid w:val="00DB430E"/>
    <w:rsid w:val="00DB44D6"/>
    <w:rsid w:val="00DB4649"/>
    <w:rsid w:val="00DB48AB"/>
    <w:rsid w:val="00DB48D8"/>
    <w:rsid w:val="00DB4B0B"/>
    <w:rsid w:val="00DB4B18"/>
    <w:rsid w:val="00DB4B2A"/>
    <w:rsid w:val="00DB50D3"/>
    <w:rsid w:val="00DB517E"/>
    <w:rsid w:val="00DB56A2"/>
    <w:rsid w:val="00DB580D"/>
    <w:rsid w:val="00DB5C02"/>
    <w:rsid w:val="00DB5DA0"/>
    <w:rsid w:val="00DB676C"/>
    <w:rsid w:val="00DB67A0"/>
    <w:rsid w:val="00DB6884"/>
    <w:rsid w:val="00DB6895"/>
    <w:rsid w:val="00DB6E79"/>
    <w:rsid w:val="00DB6F46"/>
    <w:rsid w:val="00DB77B8"/>
    <w:rsid w:val="00DB7A62"/>
    <w:rsid w:val="00DB7C9B"/>
    <w:rsid w:val="00DB7CC1"/>
    <w:rsid w:val="00DC0054"/>
    <w:rsid w:val="00DC0238"/>
    <w:rsid w:val="00DC045F"/>
    <w:rsid w:val="00DC0654"/>
    <w:rsid w:val="00DC09D8"/>
    <w:rsid w:val="00DC0AC6"/>
    <w:rsid w:val="00DC0BD4"/>
    <w:rsid w:val="00DC1172"/>
    <w:rsid w:val="00DC13E3"/>
    <w:rsid w:val="00DC16E2"/>
    <w:rsid w:val="00DC1786"/>
    <w:rsid w:val="00DC1BA5"/>
    <w:rsid w:val="00DC2100"/>
    <w:rsid w:val="00DC237C"/>
    <w:rsid w:val="00DC2527"/>
    <w:rsid w:val="00DC2771"/>
    <w:rsid w:val="00DC2789"/>
    <w:rsid w:val="00DC284F"/>
    <w:rsid w:val="00DC339F"/>
    <w:rsid w:val="00DC36D2"/>
    <w:rsid w:val="00DC36FC"/>
    <w:rsid w:val="00DC3B1F"/>
    <w:rsid w:val="00DC3E19"/>
    <w:rsid w:val="00DC426D"/>
    <w:rsid w:val="00DC4F1E"/>
    <w:rsid w:val="00DC51A7"/>
    <w:rsid w:val="00DC5488"/>
    <w:rsid w:val="00DC5499"/>
    <w:rsid w:val="00DC58E9"/>
    <w:rsid w:val="00DC60A4"/>
    <w:rsid w:val="00DC60C8"/>
    <w:rsid w:val="00DC62EA"/>
    <w:rsid w:val="00DC638D"/>
    <w:rsid w:val="00DC65E5"/>
    <w:rsid w:val="00DC6945"/>
    <w:rsid w:val="00DC6C2D"/>
    <w:rsid w:val="00DC6DC3"/>
    <w:rsid w:val="00DC6DCD"/>
    <w:rsid w:val="00DC736F"/>
    <w:rsid w:val="00DC740F"/>
    <w:rsid w:val="00DC760D"/>
    <w:rsid w:val="00DC7678"/>
    <w:rsid w:val="00DC76B3"/>
    <w:rsid w:val="00DC7B59"/>
    <w:rsid w:val="00DC7CCD"/>
    <w:rsid w:val="00DC7CF1"/>
    <w:rsid w:val="00DC7D56"/>
    <w:rsid w:val="00DC7DC5"/>
    <w:rsid w:val="00DC7E8A"/>
    <w:rsid w:val="00DC7FC2"/>
    <w:rsid w:val="00DD0167"/>
    <w:rsid w:val="00DD0300"/>
    <w:rsid w:val="00DD0ADD"/>
    <w:rsid w:val="00DD0D72"/>
    <w:rsid w:val="00DD122C"/>
    <w:rsid w:val="00DD163F"/>
    <w:rsid w:val="00DD16EF"/>
    <w:rsid w:val="00DD1905"/>
    <w:rsid w:val="00DD194E"/>
    <w:rsid w:val="00DD1C93"/>
    <w:rsid w:val="00DD1DB2"/>
    <w:rsid w:val="00DD1E0F"/>
    <w:rsid w:val="00DD217C"/>
    <w:rsid w:val="00DD22EB"/>
    <w:rsid w:val="00DD233B"/>
    <w:rsid w:val="00DD2370"/>
    <w:rsid w:val="00DD2404"/>
    <w:rsid w:val="00DD2F84"/>
    <w:rsid w:val="00DD3213"/>
    <w:rsid w:val="00DD3364"/>
    <w:rsid w:val="00DD3BDD"/>
    <w:rsid w:val="00DD3C10"/>
    <w:rsid w:val="00DD3DB1"/>
    <w:rsid w:val="00DD4078"/>
    <w:rsid w:val="00DD41ED"/>
    <w:rsid w:val="00DD43E2"/>
    <w:rsid w:val="00DD45BD"/>
    <w:rsid w:val="00DD45EC"/>
    <w:rsid w:val="00DD4653"/>
    <w:rsid w:val="00DD483A"/>
    <w:rsid w:val="00DD4C71"/>
    <w:rsid w:val="00DD4EF9"/>
    <w:rsid w:val="00DD50EF"/>
    <w:rsid w:val="00DD5112"/>
    <w:rsid w:val="00DD5405"/>
    <w:rsid w:val="00DD58ED"/>
    <w:rsid w:val="00DD58F5"/>
    <w:rsid w:val="00DD59AB"/>
    <w:rsid w:val="00DD5C06"/>
    <w:rsid w:val="00DD6120"/>
    <w:rsid w:val="00DD61EC"/>
    <w:rsid w:val="00DD6386"/>
    <w:rsid w:val="00DD63D5"/>
    <w:rsid w:val="00DD6F80"/>
    <w:rsid w:val="00DD7053"/>
    <w:rsid w:val="00DD7124"/>
    <w:rsid w:val="00DD742A"/>
    <w:rsid w:val="00DD74AD"/>
    <w:rsid w:val="00DD774B"/>
    <w:rsid w:val="00DD78D8"/>
    <w:rsid w:val="00DD7A63"/>
    <w:rsid w:val="00DD7B4C"/>
    <w:rsid w:val="00DD7C48"/>
    <w:rsid w:val="00DE0049"/>
    <w:rsid w:val="00DE018A"/>
    <w:rsid w:val="00DE01B4"/>
    <w:rsid w:val="00DE01CF"/>
    <w:rsid w:val="00DE033B"/>
    <w:rsid w:val="00DE0687"/>
    <w:rsid w:val="00DE0BA0"/>
    <w:rsid w:val="00DE0D70"/>
    <w:rsid w:val="00DE0ED8"/>
    <w:rsid w:val="00DE0F1A"/>
    <w:rsid w:val="00DE0FFF"/>
    <w:rsid w:val="00DE1073"/>
    <w:rsid w:val="00DE12CB"/>
    <w:rsid w:val="00DE14D6"/>
    <w:rsid w:val="00DE1604"/>
    <w:rsid w:val="00DE169D"/>
    <w:rsid w:val="00DE17B9"/>
    <w:rsid w:val="00DE192D"/>
    <w:rsid w:val="00DE196B"/>
    <w:rsid w:val="00DE1D7F"/>
    <w:rsid w:val="00DE1DBE"/>
    <w:rsid w:val="00DE1E62"/>
    <w:rsid w:val="00DE1EA3"/>
    <w:rsid w:val="00DE1F43"/>
    <w:rsid w:val="00DE2227"/>
    <w:rsid w:val="00DE22D9"/>
    <w:rsid w:val="00DE265E"/>
    <w:rsid w:val="00DE2EDA"/>
    <w:rsid w:val="00DE3170"/>
    <w:rsid w:val="00DE31BB"/>
    <w:rsid w:val="00DE39E4"/>
    <w:rsid w:val="00DE39F0"/>
    <w:rsid w:val="00DE3CEE"/>
    <w:rsid w:val="00DE3DD2"/>
    <w:rsid w:val="00DE41C3"/>
    <w:rsid w:val="00DE44A0"/>
    <w:rsid w:val="00DE45E1"/>
    <w:rsid w:val="00DE46B4"/>
    <w:rsid w:val="00DE4A05"/>
    <w:rsid w:val="00DE4DEA"/>
    <w:rsid w:val="00DE4E1B"/>
    <w:rsid w:val="00DE4F03"/>
    <w:rsid w:val="00DE4FA9"/>
    <w:rsid w:val="00DE51AC"/>
    <w:rsid w:val="00DE53C5"/>
    <w:rsid w:val="00DE5550"/>
    <w:rsid w:val="00DE5FF7"/>
    <w:rsid w:val="00DE601A"/>
    <w:rsid w:val="00DE684F"/>
    <w:rsid w:val="00DE68E5"/>
    <w:rsid w:val="00DE6F16"/>
    <w:rsid w:val="00DE718A"/>
    <w:rsid w:val="00DE7522"/>
    <w:rsid w:val="00DF02F5"/>
    <w:rsid w:val="00DF0684"/>
    <w:rsid w:val="00DF07E8"/>
    <w:rsid w:val="00DF0872"/>
    <w:rsid w:val="00DF09F0"/>
    <w:rsid w:val="00DF0A22"/>
    <w:rsid w:val="00DF139D"/>
    <w:rsid w:val="00DF168B"/>
    <w:rsid w:val="00DF19A4"/>
    <w:rsid w:val="00DF1AED"/>
    <w:rsid w:val="00DF2667"/>
    <w:rsid w:val="00DF27B5"/>
    <w:rsid w:val="00DF27EF"/>
    <w:rsid w:val="00DF2A81"/>
    <w:rsid w:val="00DF2D9C"/>
    <w:rsid w:val="00DF2EA4"/>
    <w:rsid w:val="00DF317E"/>
    <w:rsid w:val="00DF3655"/>
    <w:rsid w:val="00DF36C3"/>
    <w:rsid w:val="00DF3B4B"/>
    <w:rsid w:val="00DF3B8B"/>
    <w:rsid w:val="00DF3C0C"/>
    <w:rsid w:val="00DF3FE8"/>
    <w:rsid w:val="00DF4046"/>
    <w:rsid w:val="00DF43B3"/>
    <w:rsid w:val="00DF4840"/>
    <w:rsid w:val="00DF4873"/>
    <w:rsid w:val="00DF4E43"/>
    <w:rsid w:val="00DF517B"/>
    <w:rsid w:val="00DF52B9"/>
    <w:rsid w:val="00DF53F5"/>
    <w:rsid w:val="00DF53FE"/>
    <w:rsid w:val="00DF558A"/>
    <w:rsid w:val="00DF5592"/>
    <w:rsid w:val="00DF55B6"/>
    <w:rsid w:val="00DF560F"/>
    <w:rsid w:val="00DF597A"/>
    <w:rsid w:val="00DF5A99"/>
    <w:rsid w:val="00DF5BC0"/>
    <w:rsid w:val="00DF606F"/>
    <w:rsid w:val="00DF647E"/>
    <w:rsid w:val="00DF6778"/>
    <w:rsid w:val="00DF6862"/>
    <w:rsid w:val="00DF6CB1"/>
    <w:rsid w:val="00DF73B6"/>
    <w:rsid w:val="00DF74BC"/>
    <w:rsid w:val="00DF758E"/>
    <w:rsid w:val="00DF7674"/>
    <w:rsid w:val="00DF7967"/>
    <w:rsid w:val="00DF7A37"/>
    <w:rsid w:val="00DF7DF1"/>
    <w:rsid w:val="00DF7F92"/>
    <w:rsid w:val="00DF7FA7"/>
    <w:rsid w:val="00E001AD"/>
    <w:rsid w:val="00E003A7"/>
    <w:rsid w:val="00E004F7"/>
    <w:rsid w:val="00E00629"/>
    <w:rsid w:val="00E00654"/>
    <w:rsid w:val="00E0073B"/>
    <w:rsid w:val="00E00C92"/>
    <w:rsid w:val="00E00CCB"/>
    <w:rsid w:val="00E00DAA"/>
    <w:rsid w:val="00E00DD2"/>
    <w:rsid w:val="00E00FC1"/>
    <w:rsid w:val="00E00FD4"/>
    <w:rsid w:val="00E01037"/>
    <w:rsid w:val="00E010D6"/>
    <w:rsid w:val="00E01110"/>
    <w:rsid w:val="00E02327"/>
    <w:rsid w:val="00E02715"/>
    <w:rsid w:val="00E02A26"/>
    <w:rsid w:val="00E0316C"/>
    <w:rsid w:val="00E031C8"/>
    <w:rsid w:val="00E034CD"/>
    <w:rsid w:val="00E03F85"/>
    <w:rsid w:val="00E04451"/>
    <w:rsid w:val="00E048E2"/>
    <w:rsid w:val="00E04D21"/>
    <w:rsid w:val="00E04D5C"/>
    <w:rsid w:val="00E04F60"/>
    <w:rsid w:val="00E050C6"/>
    <w:rsid w:val="00E053E4"/>
    <w:rsid w:val="00E054D8"/>
    <w:rsid w:val="00E05529"/>
    <w:rsid w:val="00E05539"/>
    <w:rsid w:val="00E05B4F"/>
    <w:rsid w:val="00E05C04"/>
    <w:rsid w:val="00E05DFF"/>
    <w:rsid w:val="00E05FB4"/>
    <w:rsid w:val="00E06B3A"/>
    <w:rsid w:val="00E06DCE"/>
    <w:rsid w:val="00E06E43"/>
    <w:rsid w:val="00E06E6F"/>
    <w:rsid w:val="00E07217"/>
    <w:rsid w:val="00E076F1"/>
    <w:rsid w:val="00E0778E"/>
    <w:rsid w:val="00E07964"/>
    <w:rsid w:val="00E07DF0"/>
    <w:rsid w:val="00E07F9C"/>
    <w:rsid w:val="00E10065"/>
    <w:rsid w:val="00E1040F"/>
    <w:rsid w:val="00E105C1"/>
    <w:rsid w:val="00E108B0"/>
    <w:rsid w:val="00E10CDA"/>
    <w:rsid w:val="00E11418"/>
    <w:rsid w:val="00E1159D"/>
    <w:rsid w:val="00E11A65"/>
    <w:rsid w:val="00E11ACC"/>
    <w:rsid w:val="00E11B3E"/>
    <w:rsid w:val="00E11E54"/>
    <w:rsid w:val="00E12080"/>
    <w:rsid w:val="00E12237"/>
    <w:rsid w:val="00E123ED"/>
    <w:rsid w:val="00E12630"/>
    <w:rsid w:val="00E126ED"/>
    <w:rsid w:val="00E12882"/>
    <w:rsid w:val="00E12B6B"/>
    <w:rsid w:val="00E12EF5"/>
    <w:rsid w:val="00E13067"/>
    <w:rsid w:val="00E139FC"/>
    <w:rsid w:val="00E13A61"/>
    <w:rsid w:val="00E13C63"/>
    <w:rsid w:val="00E13C95"/>
    <w:rsid w:val="00E13EB2"/>
    <w:rsid w:val="00E140DC"/>
    <w:rsid w:val="00E14564"/>
    <w:rsid w:val="00E15136"/>
    <w:rsid w:val="00E153C5"/>
    <w:rsid w:val="00E156F0"/>
    <w:rsid w:val="00E15738"/>
    <w:rsid w:val="00E1578D"/>
    <w:rsid w:val="00E158A3"/>
    <w:rsid w:val="00E162DD"/>
    <w:rsid w:val="00E16312"/>
    <w:rsid w:val="00E16351"/>
    <w:rsid w:val="00E169CE"/>
    <w:rsid w:val="00E16B19"/>
    <w:rsid w:val="00E16B72"/>
    <w:rsid w:val="00E17043"/>
    <w:rsid w:val="00E1722D"/>
    <w:rsid w:val="00E17241"/>
    <w:rsid w:val="00E1727D"/>
    <w:rsid w:val="00E173C2"/>
    <w:rsid w:val="00E17446"/>
    <w:rsid w:val="00E17860"/>
    <w:rsid w:val="00E179E0"/>
    <w:rsid w:val="00E17E18"/>
    <w:rsid w:val="00E17F74"/>
    <w:rsid w:val="00E20072"/>
    <w:rsid w:val="00E201F9"/>
    <w:rsid w:val="00E2032D"/>
    <w:rsid w:val="00E20493"/>
    <w:rsid w:val="00E2078F"/>
    <w:rsid w:val="00E20874"/>
    <w:rsid w:val="00E20B71"/>
    <w:rsid w:val="00E21446"/>
    <w:rsid w:val="00E2150C"/>
    <w:rsid w:val="00E219AA"/>
    <w:rsid w:val="00E21F48"/>
    <w:rsid w:val="00E224CF"/>
    <w:rsid w:val="00E228A4"/>
    <w:rsid w:val="00E2315B"/>
    <w:rsid w:val="00E23187"/>
    <w:rsid w:val="00E232A2"/>
    <w:rsid w:val="00E233CD"/>
    <w:rsid w:val="00E233F7"/>
    <w:rsid w:val="00E236C3"/>
    <w:rsid w:val="00E23779"/>
    <w:rsid w:val="00E237C9"/>
    <w:rsid w:val="00E23909"/>
    <w:rsid w:val="00E239D0"/>
    <w:rsid w:val="00E23A28"/>
    <w:rsid w:val="00E23A4A"/>
    <w:rsid w:val="00E23D31"/>
    <w:rsid w:val="00E23D6C"/>
    <w:rsid w:val="00E2444C"/>
    <w:rsid w:val="00E244D1"/>
    <w:rsid w:val="00E2461B"/>
    <w:rsid w:val="00E247F8"/>
    <w:rsid w:val="00E24B36"/>
    <w:rsid w:val="00E24C53"/>
    <w:rsid w:val="00E2503A"/>
    <w:rsid w:val="00E253A2"/>
    <w:rsid w:val="00E25526"/>
    <w:rsid w:val="00E2552F"/>
    <w:rsid w:val="00E25558"/>
    <w:rsid w:val="00E25976"/>
    <w:rsid w:val="00E25A68"/>
    <w:rsid w:val="00E25CA6"/>
    <w:rsid w:val="00E25DE0"/>
    <w:rsid w:val="00E25E1C"/>
    <w:rsid w:val="00E26219"/>
    <w:rsid w:val="00E265AC"/>
    <w:rsid w:val="00E26602"/>
    <w:rsid w:val="00E27127"/>
    <w:rsid w:val="00E272CD"/>
    <w:rsid w:val="00E27609"/>
    <w:rsid w:val="00E27839"/>
    <w:rsid w:val="00E2795D"/>
    <w:rsid w:val="00E27B9F"/>
    <w:rsid w:val="00E27D03"/>
    <w:rsid w:val="00E30199"/>
    <w:rsid w:val="00E30381"/>
    <w:rsid w:val="00E30879"/>
    <w:rsid w:val="00E30A68"/>
    <w:rsid w:val="00E30D79"/>
    <w:rsid w:val="00E30F38"/>
    <w:rsid w:val="00E3105C"/>
    <w:rsid w:val="00E31063"/>
    <w:rsid w:val="00E3115A"/>
    <w:rsid w:val="00E313DB"/>
    <w:rsid w:val="00E3170F"/>
    <w:rsid w:val="00E3177D"/>
    <w:rsid w:val="00E31852"/>
    <w:rsid w:val="00E31B50"/>
    <w:rsid w:val="00E31C73"/>
    <w:rsid w:val="00E31CBD"/>
    <w:rsid w:val="00E31F10"/>
    <w:rsid w:val="00E327CB"/>
    <w:rsid w:val="00E32A57"/>
    <w:rsid w:val="00E32C2C"/>
    <w:rsid w:val="00E32C6C"/>
    <w:rsid w:val="00E32FFF"/>
    <w:rsid w:val="00E332AB"/>
    <w:rsid w:val="00E33682"/>
    <w:rsid w:val="00E3368D"/>
    <w:rsid w:val="00E33F64"/>
    <w:rsid w:val="00E34044"/>
    <w:rsid w:val="00E3530B"/>
    <w:rsid w:val="00E35491"/>
    <w:rsid w:val="00E35902"/>
    <w:rsid w:val="00E35A90"/>
    <w:rsid w:val="00E35CEE"/>
    <w:rsid w:val="00E35D07"/>
    <w:rsid w:val="00E36481"/>
    <w:rsid w:val="00E36DC7"/>
    <w:rsid w:val="00E370E7"/>
    <w:rsid w:val="00E37156"/>
    <w:rsid w:val="00E371D5"/>
    <w:rsid w:val="00E3733D"/>
    <w:rsid w:val="00E375F4"/>
    <w:rsid w:val="00E37947"/>
    <w:rsid w:val="00E37A51"/>
    <w:rsid w:val="00E37C21"/>
    <w:rsid w:val="00E37C61"/>
    <w:rsid w:val="00E37C69"/>
    <w:rsid w:val="00E37CDC"/>
    <w:rsid w:val="00E37D3A"/>
    <w:rsid w:val="00E37E2C"/>
    <w:rsid w:val="00E37EE1"/>
    <w:rsid w:val="00E401E9"/>
    <w:rsid w:val="00E40369"/>
    <w:rsid w:val="00E40545"/>
    <w:rsid w:val="00E405C8"/>
    <w:rsid w:val="00E4062E"/>
    <w:rsid w:val="00E40A2B"/>
    <w:rsid w:val="00E40B91"/>
    <w:rsid w:val="00E40FA2"/>
    <w:rsid w:val="00E4102D"/>
    <w:rsid w:val="00E4130D"/>
    <w:rsid w:val="00E41E40"/>
    <w:rsid w:val="00E420B4"/>
    <w:rsid w:val="00E42471"/>
    <w:rsid w:val="00E42630"/>
    <w:rsid w:val="00E426D7"/>
    <w:rsid w:val="00E4276D"/>
    <w:rsid w:val="00E427B8"/>
    <w:rsid w:val="00E428AB"/>
    <w:rsid w:val="00E428E0"/>
    <w:rsid w:val="00E4295B"/>
    <w:rsid w:val="00E42A95"/>
    <w:rsid w:val="00E42C47"/>
    <w:rsid w:val="00E42CC6"/>
    <w:rsid w:val="00E42D43"/>
    <w:rsid w:val="00E42D77"/>
    <w:rsid w:val="00E42DE9"/>
    <w:rsid w:val="00E42E25"/>
    <w:rsid w:val="00E42E97"/>
    <w:rsid w:val="00E42EDF"/>
    <w:rsid w:val="00E42F7E"/>
    <w:rsid w:val="00E432E1"/>
    <w:rsid w:val="00E43321"/>
    <w:rsid w:val="00E43AD5"/>
    <w:rsid w:val="00E43DEF"/>
    <w:rsid w:val="00E44075"/>
    <w:rsid w:val="00E4452E"/>
    <w:rsid w:val="00E44C7A"/>
    <w:rsid w:val="00E44C99"/>
    <w:rsid w:val="00E44C9D"/>
    <w:rsid w:val="00E44D64"/>
    <w:rsid w:val="00E44FEB"/>
    <w:rsid w:val="00E452DF"/>
    <w:rsid w:val="00E45750"/>
    <w:rsid w:val="00E4577B"/>
    <w:rsid w:val="00E45DCC"/>
    <w:rsid w:val="00E45F6C"/>
    <w:rsid w:val="00E4650F"/>
    <w:rsid w:val="00E46649"/>
    <w:rsid w:val="00E46775"/>
    <w:rsid w:val="00E46926"/>
    <w:rsid w:val="00E46C32"/>
    <w:rsid w:val="00E46E64"/>
    <w:rsid w:val="00E472F5"/>
    <w:rsid w:val="00E474A1"/>
    <w:rsid w:val="00E47505"/>
    <w:rsid w:val="00E47D3F"/>
    <w:rsid w:val="00E47DCE"/>
    <w:rsid w:val="00E50074"/>
    <w:rsid w:val="00E501E8"/>
    <w:rsid w:val="00E50311"/>
    <w:rsid w:val="00E50369"/>
    <w:rsid w:val="00E505B1"/>
    <w:rsid w:val="00E50640"/>
    <w:rsid w:val="00E50BAD"/>
    <w:rsid w:val="00E5175D"/>
    <w:rsid w:val="00E5192F"/>
    <w:rsid w:val="00E51AA2"/>
    <w:rsid w:val="00E51AB0"/>
    <w:rsid w:val="00E52106"/>
    <w:rsid w:val="00E525CD"/>
    <w:rsid w:val="00E52711"/>
    <w:rsid w:val="00E52805"/>
    <w:rsid w:val="00E52816"/>
    <w:rsid w:val="00E52B7F"/>
    <w:rsid w:val="00E52CA6"/>
    <w:rsid w:val="00E52FA3"/>
    <w:rsid w:val="00E5344B"/>
    <w:rsid w:val="00E5345A"/>
    <w:rsid w:val="00E534EF"/>
    <w:rsid w:val="00E53642"/>
    <w:rsid w:val="00E536DE"/>
    <w:rsid w:val="00E53976"/>
    <w:rsid w:val="00E53E9E"/>
    <w:rsid w:val="00E53ECB"/>
    <w:rsid w:val="00E540FB"/>
    <w:rsid w:val="00E54335"/>
    <w:rsid w:val="00E544C0"/>
    <w:rsid w:val="00E546BE"/>
    <w:rsid w:val="00E546D4"/>
    <w:rsid w:val="00E54A55"/>
    <w:rsid w:val="00E54AFD"/>
    <w:rsid w:val="00E54D2E"/>
    <w:rsid w:val="00E54D4D"/>
    <w:rsid w:val="00E54EBC"/>
    <w:rsid w:val="00E54EC8"/>
    <w:rsid w:val="00E5526E"/>
    <w:rsid w:val="00E553A8"/>
    <w:rsid w:val="00E55714"/>
    <w:rsid w:val="00E55DA6"/>
    <w:rsid w:val="00E56042"/>
    <w:rsid w:val="00E5680A"/>
    <w:rsid w:val="00E56928"/>
    <w:rsid w:val="00E5693C"/>
    <w:rsid w:val="00E56B69"/>
    <w:rsid w:val="00E56B89"/>
    <w:rsid w:val="00E56CE1"/>
    <w:rsid w:val="00E56E72"/>
    <w:rsid w:val="00E56EED"/>
    <w:rsid w:val="00E5726C"/>
    <w:rsid w:val="00E57799"/>
    <w:rsid w:val="00E60258"/>
    <w:rsid w:val="00E6034B"/>
    <w:rsid w:val="00E60754"/>
    <w:rsid w:val="00E60CB7"/>
    <w:rsid w:val="00E61070"/>
    <w:rsid w:val="00E6126A"/>
    <w:rsid w:val="00E615A0"/>
    <w:rsid w:val="00E61920"/>
    <w:rsid w:val="00E61ECE"/>
    <w:rsid w:val="00E61F22"/>
    <w:rsid w:val="00E61F58"/>
    <w:rsid w:val="00E62525"/>
    <w:rsid w:val="00E625ED"/>
    <w:rsid w:val="00E62880"/>
    <w:rsid w:val="00E62C8B"/>
    <w:rsid w:val="00E62E7D"/>
    <w:rsid w:val="00E631BE"/>
    <w:rsid w:val="00E63232"/>
    <w:rsid w:val="00E6359F"/>
    <w:rsid w:val="00E63618"/>
    <w:rsid w:val="00E636C2"/>
    <w:rsid w:val="00E63756"/>
    <w:rsid w:val="00E6386D"/>
    <w:rsid w:val="00E638C6"/>
    <w:rsid w:val="00E63A8D"/>
    <w:rsid w:val="00E63B4F"/>
    <w:rsid w:val="00E63EE8"/>
    <w:rsid w:val="00E63EEF"/>
    <w:rsid w:val="00E640A8"/>
    <w:rsid w:val="00E642BA"/>
    <w:rsid w:val="00E644F3"/>
    <w:rsid w:val="00E644F5"/>
    <w:rsid w:val="00E64727"/>
    <w:rsid w:val="00E647F1"/>
    <w:rsid w:val="00E6487E"/>
    <w:rsid w:val="00E649CB"/>
    <w:rsid w:val="00E649E2"/>
    <w:rsid w:val="00E64A8C"/>
    <w:rsid w:val="00E6507A"/>
    <w:rsid w:val="00E65112"/>
    <w:rsid w:val="00E65141"/>
    <w:rsid w:val="00E65339"/>
    <w:rsid w:val="00E65388"/>
    <w:rsid w:val="00E65395"/>
    <w:rsid w:val="00E65453"/>
    <w:rsid w:val="00E655A7"/>
    <w:rsid w:val="00E6597F"/>
    <w:rsid w:val="00E65BC3"/>
    <w:rsid w:val="00E660CB"/>
    <w:rsid w:val="00E66150"/>
    <w:rsid w:val="00E665D4"/>
    <w:rsid w:val="00E669F2"/>
    <w:rsid w:val="00E66BC8"/>
    <w:rsid w:val="00E66C37"/>
    <w:rsid w:val="00E66E95"/>
    <w:rsid w:val="00E670AF"/>
    <w:rsid w:val="00E6754F"/>
    <w:rsid w:val="00E677B9"/>
    <w:rsid w:val="00E67B8D"/>
    <w:rsid w:val="00E67CD0"/>
    <w:rsid w:val="00E67D52"/>
    <w:rsid w:val="00E67D69"/>
    <w:rsid w:val="00E67F23"/>
    <w:rsid w:val="00E7011D"/>
    <w:rsid w:val="00E704FA"/>
    <w:rsid w:val="00E70800"/>
    <w:rsid w:val="00E71247"/>
    <w:rsid w:val="00E715B3"/>
    <w:rsid w:val="00E71605"/>
    <w:rsid w:val="00E71941"/>
    <w:rsid w:val="00E719DC"/>
    <w:rsid w:val="00E71B50"/>
    <w:rsid w:val="00E71CCA"/>
    <w:rsid w:val="00E72022"/>
    <w:rsid w:val="00E72130"/>
    <w:rsid w:val="00E722B2"/>
    <w:rsid w:val="00E7237D"/>
    <w:rsid w:val="00E72599"/>
    <w:rsid w:val="00E72750"/>
    <w:rsid w:val="00E72800"/>
    <w:rsid w:val="00E72918"/>
    <w:rsid w:val="00E72949"/>
    <w:rsid w:val="00E72BCB"/>
    <w:rsid w:val="00E72DAD"/>
    <w:rsid w:val="00E73223"/>
    <w:rsid w:val="00E73943"/>
    <w:rsid w:val="00E73C46"/>
    <w:rsid w:val="00E73C54"/>
    <w:rsid w:val="00E73CB0"/>
    <w:rsid w:val="00E73DDF"/>
    <w:rsid w:val="00E741B5"/>
    <w:rsid w:val="00E742E3"/>
    <w:rsid w:val="00E74A35"/>
    <w:rsid w:val="00E74B30"/>
    <w:rsid w:val="00E74CD4"/>
    <w:rsid w:val="00E74DE8"/>
    <w:rsid w:val="00E74F9B"/>
    <w:rsid w:val="00E751E3"/>
    <w:rsid w:val="00E7583D"/>
    <w:rsid w:val="00E758DE"/>
    <w:rsid w:val="00E75A98"/>
    <w:rsid w:val="00E75B24"/>
    <w:rsid w:val="00E75C61"/>
    <w:rsid w:val="00E75D6D"/>
    <w:rsid w:val="00E75DCC"/>
    <w:rsid w:val="00E76915"/>
    <w:rsid w:val="00E76C05"/>
    <w:rsid w:val="00E76CE2"/>
    <w:rsid w:val="00E76D14"/>
    <w:rsid w:val="00E76F61"/>
    <w:rsid w:val="00E76FB4"/>
    <w:rsid w:val="00E77101"/>
    <w:rsid w:val="00E77ADB"/>
    <w:rsid w:val="00E8024C"/>
    <w:rsid w:val="00E8042C"/>
    <w:rsid w:val="00E80666"/>
    <w:rsid w:val="00E806E1"/>
    <w:rsid w:val="00E809ED"/>
    <w:rsid w:val="00E80EC6"/>
    <w:rsid w:val="00E80EE5"/>
    <w:rsid w:val="00E80F5A"/>
    <w:rsid w:val="00E80FB8"/>
    <w:rsid w:val="00E8118B"/>
    <w:rsid w:val="00E81931"/>
    <w:rsid w:val="00E81CE8"/>
    <w:rsid w:val="00E81CEC"/>
    <w:rsid w:val="00E8213A"/>
    <w:rsid w:val="00E827E7"/>
    <w:rsid w:val="00E82AE9"/>
    <w:rsid w:val="00E82E2A"/>
    <w:rsid w:val="00E831A6"/>
    <w:rsid w:val="00E83747"/>
    <w:rsid w:val="00E83AA1"/>
    <w:rsid w:val="00E83CF2"/>
    <w:rsid w:val="00E83E63"/>
    <w:rsid w:val="00E83ED3"/>
    <w:rsid w:val="00E8442C"/>
    <w:rsid w:val="00E8459D"/>
    <w:rsid w:val="00E848D1"/>
    <w:rsid w:val="00E84AC5"/>
    <w:rsid w:val="00E84C82"/>
    <w:rsid w:val="00E84DC9"/>
    <w:rsid w:val="00E84E4F"/>
    <w:rsid w:val="00E84EC2"/>
    <w:rsid w:val="00E84F99"/>
    <w:rsid w:val="00E856EB"/>
    <w:rsid w:val="00E85786"/>
    <w:rsid w:val="00E8582D"/>
    <w:rsid w:val="00E8589C"/>
    <w:rsid w:val="00E85DE1"/>
    <w:rsid w:val="00E85EAB"/>
    <w:rsid w:val="00E860AB"/>
    <w:rsid w:val="00E8621B"/>
    <w:rsid w:val="00E8628A"/>
    <w:rsid w:val="00E862E0"/>
    <w:rsid w:val="00E86635"/>
    <w:rsid w:val="00E86B0F"/>
    <w:rsid w:val="00E86C2A"/>
    <w:rsid w:val="00E86D5B"/>
    <w:rsid w:val="00E8704F"/>
    <w:rsid w:val="00E87136"/>
    <w:rsid w:val="00E875DC"/>
    <w:rsid w:val="00E87927"/>
    <w:rsid w:val="00E9016C"/>
    <w:rsid w:val="00E9048C"/>
    <w:rsid w:val="00E9062E"/>
    <w:rsid w:val="00E906A7"/>
    <w:rsid w:val="00E90C77"/>
    <w:rsid w:val="00E90FC4"/>
    <w:rsid w:val="00E910EA"/>
    <w:rsid w:val="00E91459"/>
    <w:rsid w:val="00E91506"/>
    <w:rsid w:val="00E91C6A"/>
    <w:rsid w:val="00E920D4"/>
    <w:rsid w:val="00E922AF"/>
    <w:rsid w:val="00E924AB"/>
    <w:rsid w:val="00E9256C"/>
    <w:rsid w:val="00E92809"/>
    <w:rsid w:val="00E92817"/>
    <w:rsid w:val="00E92B04"/>
    <w:rsid w:val="00E9302F"/>
    <w:rsid w:val="00E9307E"/>
    <w:rsid w:val="00E93C4A"/>
    <w:rsid w:val="00E93DA2"/>
    <w:rsid w:val="00E942AB"/>
    <w:rsid w:val="00E94416"/>
    <w:rsid w:val="00E94576"/>
    <w:rsid w:val="00E9481A"/>
    <w:rsid w:val="00E9482A"/>
    <w:rsid w:val="00E948D7"/>
    <w:rsid w:val="00E9543D"/>
    <w:rsid w:val="00E9564F"/>
    <w:rsid w:val="00E95A99"/>
    <w:rsid w:val="00E95C26"/>
    <w:rsid w:val="00E960F9"/>
    <w:rsid w:val="00E96482"/>
    <w:rsid w:val="00E96AC9"/>
    <w:rsid w:val="00E97008"/>
    <w:rsid w:val="00E9738A"/>
    <w:rsid w:val="00E974AA"/>
    <w:rsid w:val="00E977C4"/>
    <w:rsid w:val="00E97A66"/>
    <w:rsid w:val="00E97A6A"/>
    <w:rsid w:val="00E97A6B"/>
    <w:rsid w:val="00EA0278"/>
    <w:rsid w:val="00EA029A"/>
    <w:rsid w:val="00EA036C"/>
    <w:rsid w:val="00EA03DD"/>
    <w:rsid w:val="00EA0885"/>
    <w:rsid w:val="00EA09A2"/>
    <w:rsid w:val="00EA0A64"/>
    <w:rsid w:val="00EA0A8A"/>
    <w:rsid w:val="00EA0B32"/>
    <w:rsid w:val="00EA0E22"/>
    <w:rsid w:val="00EA116A"/>
    <w:rsid w:val="00EA116C"/>
    <w:rsid w:val="00EA12E0"/>
    <w:rsid w:val="00EA132E"/>
    <w:rsid w:val="00EA1395"/>
    <w:rsid w:val="00EA1435"/>
    <w:rsid w:val="00EA165E"/>
    <w:rsid w:val="00EA1737"/>
    <w:rsid w:val="00EA1837"/>
    <w:rsid w:val="00EA1B2B"/>
    <w:rsid w:val="00EA1BAB"/>
    <w:rsid w:val="00EA1BE1"/>
    <w:rsid w:val="00EA1CB5"/>
    <w:rsid w:val="00EA1E72"/>
    <w:rsid w:val="00EA1F1D"/>
    <w:rsid w:val="00EA1FE5"/>
    <w:rsid w:val="00EA20B4"/>
    <w:rsid w:val="00EA2113"/>
    <w:rsid w:val="00EA244E"/>
    <w:rsid w:val="00EA25BB"/>
    <w:rsid w:val="00EA26DD"/>
    <w:rsid w:val="00EA276C"/>
    <w:rsid w:val="00EA289D"/>
    <w:rsid w:val="00EA2A7A"/>
    <w:rsid w:val="00EA2C3A"/>
    <w:rsid w:val="00EA2D27"/>
    <w:rsid w:val="00EA30A4"/>
    <w:rsid w:val="00EA316C"/>
    <w:rsid w:val="00EA3708"/>
    <w:rsid w:val="00EA3A41"/>
    <w:rsid w:val="00EA3B6D"/>
    <w:rsid w:val="00EA3D28"/>
    <w:rsid w:val="00EA3F08"/>
    <w:rsid w:val="00EA401A"/>
    <w:rsid w:val="00EA4146"/>
    <w:rsid w:val="00EA41AE"/>
    <w:rsid w:val="00EA4456"/>
    <w:rsid w:val="00EA44F0"/>
    <w:rsid w:val="00EA4684"/>
    <w:rsid w:val="00EA4806"/>
    <w:rsid w:val="00EA4E81"/>
    <w:rsid w:val="00EA5515"/>
    <w:rsid w:val="00EA5C4B"/>
    <w:rsid w:val="00EA5DF4"/>
    <w:rsid w:val="00EA6167"/>
    <w:rsid w:val="00EA6467"/>
    <w:rsid w:val="00EA6765"/>
    <w:rsid w:val="00EA67D5"/>
    <w:rsid w:val="00EA683C"/>
    <w:rsid w:val="00EA6878"/>
    <w:rsid w:val="00EA6D8A"/>
    <w:rsid w:val="00EA6ED9"/>
    <w:rsid w:val="00EA71B6"/>
    <w:rsid w:val="00EA7738"/>
    <w:rsid w:val="00EA7B5A"/>
    <w:rsid w:val="00EA7E0F"/>
    <w:rsid w:val="00EB02F0"/>
    <w:rsid w:val="00EB0573"/>
    <w:rsid w:val="00EB0583"/>
    <w:rsid w:val="00EB07B6"/>
    <w:rsid w:val="00EB0FAF"/>
    <w:rsid w:val="00EB1003"/>
    <w:rsid w:val="00EB10E0"/>
    <w:rsid w:val="00EB1300"/>
    <w:rsid w:val="00EB1566"/>
    <w:rsid w:val="00EB1574"/>
    <w:rsid w:val="00EB158F"/>
    <w:rsid w:val="00EB161C"/>
    <w:rsid w:val="00EB1906"/>
    <w:rsid w:val="00EB1926"/>
    <w:rsid w:val="00EB1C92"/>
    <w:rsid w:val="00EB1C99"/>
    <w:rsid w:val="00EB1EAB"/>
    <w:rsid w:val="00EB2176"/>
    <w:rsid w:val="00EB21A2"/>
    <w:rsid w:val="00EB2288"/>
    <w:rsid w:val="00EB2356"/>
    <w:rsid w:val="00EB2412"/>
    <w:rsid w:val="00EB24CF"/>
    <w:rsid w:val="00EB2895"/>
    <w:rsid w:val="00EB2990"/>
    <w:rsid w:val="00EB2A65"/>
    <w:rsid w:val="00EB34B4"/>
    <w:rsid w:val="00EB3552"/>
    <w:rsid w:val="00EB3559"/>
    <w:rsid w:val="00EB360F"/>
    <w:rsid w:val="00EB36ED"/>
    <w:rsid w:val="00EB3A59"/>
    <w:rsid w:val="00EB3DB1"/>
    <w:rsid w:val="00EB3E2F"/>
    <w:rsid w:val="00EB3E42"/>
    <w:rsid w:val="00EB40A9"/>
    <w:rsid w:val="00EB41D2"/>
    <w:rsid w:val="00EB430D"/>
    <w:rsid w:val="00EB4465"/>
    <w:rsid w:val="00EB46BF"/>
    <w:rsid w:val="00EB5107"/>
    <w:rsid w:val="00EB5658"/>
    <w:rsid w:val="00EB57EB"/>
    <w:rsid w:val="00EB5806"/>
    <w:rsid w:val="00EB5AC6"/>
    <w:rsid w:val="00EB5B11"/>
    <w:rsid w:val="00EB5B9C"/>
    <w:rsid w:val="00EB5C24"/>
    <w:rsid w:val="00EB5CA0"/>
    <w:rsid w:val="00EB62DF"/>
    <w:rsid w:val="00EB6894"/>
    <w:rsid w:val="00EB68FB"/>
    <w:rsid w:val="00EB6CD0"/>
    <w:rsid w:val="00EB6DB5"/>
    <w:rsid w:val="00EB712C"/>
    <w:rsid w:val="00EB7191"/>
    <w:rsid w:val="00EB71CB"/>
    <w:rsid w:val="00EB7281"/>
    <w:rsid w:val="00EB728B"/>
    <w:rsid w:val="00EB75F5"/>
    <w:rsid w:val="00EB7848"/>
    <w:rsid w:val="00EB7C8C"/>
    <w:rsid w:val="00EC05E0"/>
    <w:rsid w:val="00EC06BD"/>
    <w:rsid w:val="00EC0ACE"/>
    <w:rsid w:val="00EC0B82"/>
    <w:rsid w:val="00EC0DD9"/>
    <w:rsid w:val="00EC0E6A"/>
    <w:rsid w:val="00EC0F77"/>
    <w:rsid w:val="00EC11DE"/>
    <w:rsid w:val="00EC121E"/>
    <w:rsid w:val="00EC1344"/>
    <w:rsid w:val="00EC13FA"/>
    <w:rsid w:val="00EC1484"/>
    <w:rsid w:val="00EC157B"/>
    <w:rsid w:val="00EC17C0"/>
    <w:rsid w:val="00EC189F"/>
    <w:rsid w:val="00EC1D26"/>
    <w:rsid w:val="00EC21E1"/>
    <w:rsid w:val="00EC2262"/>
    <w:rsid w:val="00EC22F9"/>
    <w:rsid w:val="00EC237A"/>
    <w:rsid w:val="00EC248B"/>
    <w:rsid w:val="00EC24C1"/>
    <w:rsid w:val="00EC28B9"/>
    <w:rsid w:val="00EC2D86"/>
    <w:rsid w:val="00EC2F32"/>
    <w:rsid w:val="00EC2FDE"/>
    <w:rsid w:val="00EC3261"/>
    <w:rsid w:val="00EC38DA"/>
    <w:rsid w:val="00EC3F42"/>
    <w:rsid w:val="00EC3FE2"/>
    <w:rsid w:val="00EC429F"/>
    <w:rsid w:val="00EC4465"/>
    <w:rsid w:val="00EC474D"/>
    <w:rsid w:val="00EC486A"/>
    <w:rsid w:val="00EC4A89"/>
    <w:rsid w:val="00EC4D5F"/>
    <w:rsid w:val="00EC4EED"/>
    <w:rsid w:val="00EC565E"/>
    <w:rsid w:val="00EC5845"/>
    <w:rsid w:val="00EC5963"/>
    <w:rsid w:val="00EC5BEE"/>
    <w:rsid w:val="00EC5D0C"/>
    <w:rsid w:val="00EC5F05"/>
    <w:rsid w:val="00EC5F9D"/>
    <w:rsid w:val="00EC6116"/>
    <w:rsid w:val="00EC62EE"/>
    <w:rsid w:val="00EC63DE"/>
    <w:rsid w:val="00EC644E"/>
    <w:rsid w:val="00EC67E6"/>
    <w:rsid w:val="00EC68D4"/>
    <w:rsid w:val="00EC6CC3"/>
    <w:rsid w:val="00EC71A5"/>
    <w:rsid w:val="00EC74B6"/>
    <w:rsid w:val="00EC77C7"/>
    <w:rsid w:val="00EC7FF6"/>
    <w:rsid w:val="00ED017F"/>
    <w:rsid w:val="00ED0329"/>
    <w:rsid w:val="00ED043E"/>
    <w:rsid w:val="00ED0496"/>
    <w:rsid w:val="00ED0962"/>
    <w:rsid w:val="00ED1109"/>
    <w:rsid w:val="00ED135C"/>
    <w:rsid w:val="00ED1755"/>
    <w:rsid w:val="00ED1AEA"/>
    <w:rsid w:val="00ED1C2A"/>
    <w:rsid w:val="00ED1E37"/>
    <w:rsid w:val="00ED1F47"/>
    <w:rsid w:val="00ED2157"/>
    <w:rsid w:val="00ED295B"/>
    <w:rsid w:val="00ED29FF"/>
    <w:rsid w:val="00ED2F8D"/>
    <w:rsid w:val="00ED30FD"/>
    <w:rsid w:val="00ED3750"/>
    <w:rsid w:val="00ED3BBF"/>
    <w:rsid w:val="00ED3CD3"/>
    <w:rsid w:val="00ED3EA4"/>
    <w:rsid w:val="00ED3FAB"/>
    <w:rsid w:val="00ED4470"/>
    <w:rsid w:val="00ED4481"/>
    <w:rsid w:val="00ED4657"/>
    <w:rsid w:val="00ED46D2"/>
    <w:rsid w:val="00ED4AB0"/>
    <w:rsid w:val="00ED548B"/>
    <w:rsid w:val="00ED5547"/>
    <w:rsid w:val="00ED5A9C"/>
    <w:rsid w:val="00ED5E25"/>
    <w:rsid w:val="00ED623B"/>
    <w:rsid w:val="00ED6274"/>
    <w:rsid w:val="00ED6332"/>
    <w:rsid w:val="00ED6747"/>
    <w:rsid w:val="00ED67E2"/>
    <w:rsid w:val="00ED6A05"/>
    <w:rsid w:val="00ED6CDF"/>
    <w:rsid w:val="00ED7473"/>
    <w:rsid w:val="00ED750C"/>
    <w:rsid w:val="00ED7DE6"/>
    <w:rsid w:val="00EE00C8"/>
    <w:rsid w:val="00EE04C8"/>
    <w:rsid w:val="00EE0631"/>
    <w:rsid w:val="00EE07EE"/>
    <w:rsid w:val="00EE0F6D"/>
    <w:rsid w:val="00EE0FDF"/>
    <w:rsid w:val="00EE11A4"/>
    <w:rsid w:val="00EE135F"/>
    <w:rsid w:val="00EE16A1"/>
    <w:rsid w:val="00EE17D0"/>
    <w:rsid w:val="00EE1823"/>
    <w:rsid w:val="00EE1828"/>
    <w:rsid w:val="00EE184E"/>
    <w:rsid w:val="00EE1912"/>
    <w:rsid w:val="00EE1A3A"/>
    <w:rsid w:val="00EE1ABD"/>
    <w:rsid w:val="00EE1C11"/>
    <w:rsid w:val="00EE2061"/>
    <w:rsid w:val="00EE20DF"/>
    <w:rsid w:val="00EE25CA"/>
    <w:rsid w:val="00EE28CF"/>
    <w:rsid w:val="00EE28F0"/>
    <w:rsid w:val="00EE2B0F"/>
    <w:rsid w:val="00EE2B30"/>
    <w:rsid w:val="00EE2D39"/>
    <w:rsid w:val="00EE2EA6"/>
    <w:rsid w:val="00EE3419"/>
    <w:rsid w:val="00EE3754"/>
    <w:rsid w:val="00EE3787"/>
    <w:rsid w:val="00EE3CD1"/>
    <w:rsid w:val="00EE40CE"/>
    <w:rsid w:val="00EE42DD"/>
    <w:rsid w:val="00EE46BD"/>
    <w:rsid w:val="00EE46F1"/>
    <w:rsid w:val="00EE4A0F"/>
    <w:rsid w:val="00EE50DD"/>
    <w:rsid w:val="00EE50EA"/>
    <w:rsid w:val="00EE5133"/>
    <w:rsid w:val="00EE5301"/>
    <w:rsid w:val="00EE535A"/>
    <w:rsid w:val="00EE5993"/>
    <w:rsid w:val="00EE5A17"/>
    <w:rsid w:val="00EE5C44"/>
    <w:rsid w:val="00EE5E29"/>
    <w:rsid w:val="00EE5E6C"/>
    <w:rsid w:val="00EE6003"/>
    <w:rsid w:val="00EE62E8"/>
    <w:rsid w:val="00EE63D6"/>
    <w:rsid w:val="00EE6896"/>
    <w:rsid w:val="00EE6939"/>
    <w:rsid w:val="00EE6D94"/>
    <w:rsid w:val="00EE71F0"/>
    <w:rsid w:val="00EE74F5"/>
    <w:rsid w:val="00EE7558"/>
    <w:rsid w:val="00EE7CFC"/>
    <w:rsid w:val="00EF00BC"/>
    <w:rsid w:val="00EF02AD"/>
    <w:rsid w:val="00EF0393"/>
    <w:rsid w:val="00EF05B9"/>
    <w:rsid w:val="00EF0B50"/>
    <w:rsid w:val="00EF0C17"/>
    <w:rsid w:val="00EF0E3F"/>
    <w:rsid w:val="00EF12EE"/>
    <w:rsid w:val="00EF18AF"/>
    <w:rsid w:val="00EF1A5A"/>
    <w:rsid w:val="00EF1C55"/>
    <w:rsid w:val="00EF1E99"/>
    <w:rsid w:val="00EF1EA3"/>
    <w:rsid w:val="00EF1EB2"/>
    <w:rsid w:val="00EF2054"/>
    <w:rsid w:val="00EF20C7"/>
    <w:rsid w:val="00EF21D2"/>
    <w:rsid w:val="00EF228A"/>
    <w:rsid w:val="00EF23E8"/>
    <w:rsid w:val="00EF260C"/>
    <w:rsid w:val="00EF276A"/>
    <w:rsid w:val="00EF2D1F"/>
    <w:rsid w:val="00EF31E3"/>
    <w:rsid w:val="00EF322A"/>
    <w:rsid w:val="00EF34A1"/>
    <w:rsid w:val="00EF390D"/>
    <w:rsid w:val="00EF3C01"/>
    <w:rsid w:val="00EF3C4E"/>
    <w:rsid w:val="00EF3D17"/>
    <w:rsid w:val="00EF3DA6"/>
    <w:rsid w:val="00EF40C4"/>
    <w:rsid w:val="00EF4385"/>
    <w:rsid w:val="00EF4397"/>
    <w:rsid w:val="00EF4431"/>
    <w:rsid w:val="00EF44C3"/>
    <w:rsid w:val="00EF46AC"/>
    <w:rsid w:val="00EF46E4"/>
    <w:rsid w:val="00EF49E6"/>
    <w:rsid w:val="00EF4E35"/>
    <w:rsid w:val="00EF4F2D"/>
    <w:rsid w:val="00EF4FD4"/>
    <w:rsid w:val="00EF51DE"/>
    <w:rsid w:val="00EF5243"/>
    <w:rsid w:val="00EF52EC"/>
    <w:rsid w:val="00EF56BE"/>
    <w:rsid w:val="00EF57E4"/>
    <w:rsid w:val="00EF5BEA"/>
    <w:rsid w:val="00EF5C3E"/>
    <w:rsid w:val="00EF7133"/>
    <w:rsid w:val="00EF7540"/>
    <w:rsid w:val="00EF7990"/>
    <w:rsid w:val="00EF7A93"/>
    <w:rsid w:val="00F00397"/>
    <w:rsid w:val="00F00744"/>
    <w:rsid w:val="00F008B9"/>
    <w:rsid w:val="00F008C2"/>
    <w:rsid w:val="00F008D1"/>
    <w:rsid w:val="00F01010"/>
    <w:rsid w:val="00F01158"/>
    <w:rsid w:val="00F01542"/>
    <w:rsid w:val="00F015FC"/>
    <w:rsid w:val="00F016C0"/>
    <w:rsid w:val="00F019EC"/>
    <w:rsid w:val="00F01C1A"/>
    <w:rsid w:val="00F01DA9"/>
    <w:rsid w:val="00F023E7"/>
    <w:rsid w:val="00F023EA"/>
    <w:rsid w:val="00F024CC"/>
    <w:rsid w:val="00F0276B"/>
    <w:rsid w:val="00F02A5D"/>
    <w:rsid w:val="00F02E79"/>
    <w:rsid w:val="00F02E7A"/>
    <w:rsid w:val="00F02F40"/>
    <w:rsid w:val="00F02FEE"/>
    <w:rsid w:val="00F0317B"/>
    <w:rsid w:val="00F0341B"/>
    <w:rsid w:val="00F037A1"/>
    <w:rsid w:val="00F0384C"/>
    <w:rsid w:val="00F04052"/>
    <w:rsid w:val="00F04081"/>
    <w:rsid w:val="00F04624"/>
    <w:rsid w:val="00F04773"/>
    <w:rsid w:val="00F0478E"/>
    <w:rsid w:val="00F047FA"/>
    <w:rsid w:val="00F0519D"/>
    <w:rsid w:val="00F051E7"/>
    <w:rsid w:val="00F057BD"/>
    <w:rsid w:val="00F0584E"/>
    <w:rsid w:val="00F05B63"/>
    <w:rsid w:val="00F05CA2"/>
    <w:rsid w:val="00F05FF9"/>
    <w:rsid w:val="00F060B5"/>
    <w:rsid w:val="00F0637B"/>
    <w:rsid w:val="00F066F2"/>
    <w:rsid w:val="00F0670C"/>
    <w:rsid w:val="00F06D46"/>
    <w:rsid w:val="00F06E9B"/>
    <w:rsid w:val="00F0719B"/>
    <w:rsid w:val="00F073A2"/>
    <w:rsid w:val="00F0747B"/>
    <w:rsid w:val="00F07766"/>
    <w:rsid w:val="00F078FD"/>
    <w:rsid w:val="00F07F71"/>
    <w:rsid w:val="00F1033E"/>
    <w:rsid w:val="00F10431"/>
    <w:rsid w:val="00F105B0"/>
    <w:rsid w:val="00F10637"/>
    <w:rsid w:val="00F10929"/>
    <w:rsid w:val="00F10A21"/>
    <w:rsid w:val="00F10E1E"/>
    <w:rsid w:val="00F1159B"/>
    <w:rsid w:val="00F116D4"/>
    <w:rsid w:val="00F11A05"/>
    <w:rsid w:val="00F11AA1"/>
    <w:rsid w:val="00F11B23"/>
    <w:rsid w:val="00F11D89"/>
    <w:rsid w:val="00F11EA1"/>
    <w:rsid w:val="00F11FFA"/>
    <w:rsid w:val="00F12172"/>
    <w:rsid w:val="00F1278E"/>
    <w:rsid w:val="00F12AEF"/>
    <w:rsid w:val="00F12F39"/>
    <w:rsid w:val="00F13045"/>
    <w:rsid w:val="00F130CE"/>
    <w:rsid w:val="00F131F2"/>
    <w:rsid w:val="00F13355"/>
    <w:rsid w:val="00F13986"/>
    <w:rsid w:val="00F13E84"/>
    <w:rsid w:val="00F13EC4"/>
    <w:rsid w:val="00F140DF"/>
    <w:rsid w:val="00F14546"/>
    <w:rsid w:val="00F14685"/>
    <w:rsid w:val="00F148A0"/>
    <w:rsid w:val="00F14949"/>
    <w:rsid w:val="00F149E3"/>
    <w:rsid w:val="00F14C52"/>
    <w:rsid w:val="00F14DD5"/>
    <w:rsid w:val="00F150B0"/>
    <w:rsid w:val="00F154B0"/>
    <w:rsid w:val="00F15A81"/>
    <w:rsid w:val="00F15B12"/>
    <w:rsid w:val="00F15BBB"/>
    <w:rsid w:val="00F15F00"/>
    <w:rsid w:val="00F16B5C"/>
    <w:rsid w:val="00F171D9"/>
    <w:rsid w:val="00F17209"/>
    <w:rsid w:val="00F17336"/>
    <w:rsid w:val="00F174C3"/>
    <w:rsid w:val="00F17606"/>
    <w:rsid w:val="00F17997"/>
    <w:rsid w:val="00F20199"/>
    <w:rsid w:val="00F20209"/>
    <w:rsid w:val="00F20232"/>
    <w:rsid w:val="00F206CB"/>
    <w:rsid w:val="00F20905"/>
    <w:rsid w:val="00F2090B"/>
    <w:rsid w:val="00F20953"/>
    <w:rsid w:val="00F209E2"/>
    <w:rsid w:val="00F20FF1"/>
    <w:rsid w:val="00F21116"/>
    <w:rsid w:val="00F21481"/>
    <w:rsid w:val="00F214EE"/>
    <w:rsid w:val="00F217FD"/>
    <w:rsid w:val="00F21925"/>
    <w:rsid w:val="00F21E70"/>
    <w:rsid w:val="00F22298"/>
    <w:rsid w:val="00F224A3"/>
    <w:rsid w:val="00F22E59"/>
    <w:rsid w:val="00F23257"/>
    <w:rsid w:val="00F234FD"/>
    <w:rsid w:val="00F2351E"/>
    <w:rsid w:val="00F23681"/>
    <w:rsid w:val="00F23793"/>
    <w:rsid w:val="00F23C6D"/>
    <w:rsid w:val="00F249EB"/>
    <w:rsid w:val="00F25001"/>
    <w:rsid w:val="00F25104"/>
    <w:rsid w:val="00F2515F"/>
    <w:rsid w:val="00F256FB"/>
    <w:rsid w:val="00F2591B"/>
    <w:rsid w:val="00F25BA4"/>
    <w:rsid w:val="00F25BCD"/>
    <w:rsid w:val="00F261B8"/>
    <w:rsid w:val="00F2631E"/>
    <w:rsid w:val="00F26996"/>
    <w:rsid w:val="00F26CE9"/>
    <w:rsid w:val="00F26DF9"/>
    <w:rsid w:val="00F26EF9"/>
    <w:rsid w:val="00F26F70"/>
    <w:rsid w:val="00F27107"/>
    <w:rsid w:val="00F2730E"/>
    <w:rsid w:val="00F2733D"/>
    <w:rsid w:val="00F273E2"/>
    <w:rsid w:val="00F27716"/>
    <w:rsid w:val="00F27AA6"/>
    <w:rsid w:val="00F27C6A"/>
    <w:rsid w:val="00F30141"/>
    <w:rsid w:val="00F302F3"/>
    <w:rsid w:val="00F30329"/>
    <w:rsid w:val="00F3044B"/>
    <w:rsid w:val="00F308C9"/>
    <w:rsid w:val="00F311A8"/>
    <w:rsid w:val="00F31459"/>
    <w:rsid w:val="00F31785"/>
    <w:rsid w:val="00F317A6"/>
    <w:rsid w:val="00F31834"/>
    <w:rsid w:val="00F31DB1"/>
    <w:rsid w:val="00F321F0"/>
    <w:rsid w:val="00F3234A"/>
    <w:rsid w:val="00F3239A"/>
    <w:rsid w:val="00F3249B"/>
    <w:rsid w:val="00F3276F"/>
    <w:rsid w:val="00F32A25"/>
    <w:rsid w:val="00F32CB4"/>
    <w:rsid w:val="00F331E4"/>
    <w:rsid w:val="00F33518"/>
    <w:rsid w:val="00F335DC"/>
    <w:rsid w:val="00F33684"/>
    <w:rsid w:val="00F33731"/>
    <w:rsid w:val="00F33955"/>
    <w:rsid w:val="00F33B32"/>
    <w:rsid w:val="00F33F21"/>
    <w:rsid w:val="00F34245"/>
    <w:rsid w:val="00F34540"/>
    <w:rsid w:val="00F3482D"/>
    <w:rsid w:val="00F3498E"/>
    <w:rsid w:val="00F349BA"/>
    <w:rsid w:val="00F34B5D"/>
    <w:rsid w:val="00F34BB8"/>
    <w:rsid w:val="00F34C75"/>
    <w:rsid w:val="00F356F4"/>
    <w:rsid w:val="00F357A8"/>
    <w:rsid w:val="00F35AA6"/>
    <w:rsid w:val="00F35C19"/>
    <w:rsid w:val="00F35C1F"/>
    <w:rsid w:val="00F35C4F"/>
    <w:rsid w:val="00F3613F"/>
    <w:rsid w:val="00F364AF"/>
    <w:rsid w:val="00F364FE"/>
    <w:rsid w:val="00F36600"/>
    <w:rsid w:val="00F368DB"/>
    <w:rsid w:val="00F36D59"/>
    <w:rsid w:val="00F36DEC"/>
    <w:rsid w:val="00F3708C"/>
    <w:rsid w:val="00F37309"/>
    <w:rsid w:val="00F3746F"/>
    <w:rsid w:val="00F37481"/>
    <w:rsid w:val="00F374E1"/>
    <w:rsid w:val="00F3754B"/>
    <w:rsid w:val="00F37771"/>
    <w:rsid w:val="00F37C11"/>
    <w:rsid w:val="00F37F4E"/>
    <w:rsid w:val="00F4031C"/>
    <w:rsid w:val="00F40902"/>
    <w:rsid w:val="00F40F0E"/>
    <w:rsid w:val="00F410D0"/>
    <w:rsid w:val="00F411A5"/>
    <w:rsid w:val="00F41429"/>
    <w:rsid w:val="00F41791"/>
    <w:rsid w:val="00F41795"/>
    <w:rsid w:val="00F418D8"/>
    <w:rsid w:val="00F41A99"/>
    <w:rsid w:val="00F41AA2"/>
    <w:rsid w:val="00F41AAD"/>
    <w:rsid w:val="00F41CF3"/>
    <w:rsid w:val="00F41EC4"/>
    <w:rsid w:val="00F41F8E"/>
    <w:rsid w:val="00F41FE5"/>
    <w:rsid w:val="00F4215E"/>
    <w:rsid w:val="00F42194"/>
    <w:rsid w:val="00F423FD"/>
    <w:rsid w:val="00F4287A"/>
    <w:rsid w:val="00F42CD0"/>
    <w:rsid w:val="00F4368F"/>
    <w:rsid w:val="00F43732"/>
    <w:rsid w:val="00F43758"/>
    <w:rsid w:val="00F43960"/>
    <w:rsid w:val="00F43A17"/>
    <w:rsid w:val="00F43C50"/>
    <w:rsid w:val="00F43DE1"/>
    <w:rsid w:val="00F43F4A"/>
    <w:rsid w:val="00F44399"/>
    <w:rsid w:val="00F44518"/>
    <w:rsid w:val="00F44F05"/>
    <w:rsid w:val="00F45487"/>
    <w:rsid w:val="00F458B0"/>
    <w:rsid w:val="00F45EC3"/>
    <w:rsid w:val="00F460F1"/>
    <w:rsid w:val="00F466D8"/>
    <w:rsid w:val="00F466FD"/>
    <w:rsid w:val="00F467E7"/>
    <w:rsid w:val="00F46CD4"/>
    <w:rsid w:val="00F46FF9"/>
    <w:rsid w:val="00F47162"/>
    <w:rsid w:val="00F47177"/>
    <w:rsid w:val="00F47292"/>
    <w:rsid w:val="00F47361"/>
    <w:rsid w:val="00F47530"/>
    <w:rsid w:val="00F4788C"/>
    <w:rsid w:val="00F47C22"/>
    <w:rsid w:val="00F50146"/>
    <w:rsid w:val="00F501D7"/>
    <w:rsid w:val="00F50762"/>
    <w:rsid w:val="00F50783"/>
    <w:rsid w:val="00F5086C"/>
    <w:rsid w:val="00F50F75"/>
    <w:rsid w:val="00F5124D"/>
    <w:rsid w:val="00F51433"/>
    <w:rsid w:val="00F515CD"/>
    <w:rsid w:val="00F517A8"/>
    <w:rsid w:val="00F518EA"/>
    <w:rsid w:val="00F51911"/>
    <w:rsid w:val="00F51E1B"/>
    <w:rsid w:val="00F52221"/>
    <w:rsid w:val="00F524E0"/>
    <w:rsid w:val="00F527AD"/>
    <w:rsid w:val="00F52AD0"/>
    <w:rsid w:val="00F52F78"/>
    <w:rsid w:val="00F53290"/>
    <w:rsid w:val="00F533CE"/>
    <w:rsid w:val="00F535C4"/>
    <w:rsid w:val="00F53928"/>
    <w:rsid w:val="00F539CC"/>
    <w:rsid w:val="00F53BCB"/>
    <w:rsid w:val="00F53C41"/>
    <w:rsid w:val="00F53F11"/>
    <w:rsid w:val="00F5444E"/>
    <w:rsid w:val="00F54682"/>
    <w:rsid w:val="00F54842"/>
    <w:rsid w:val="00F54D53"/>
    <w:rsid w:val="00F54D8F"/>
    <w:rsid w:val="00F54F19"/>
    <w:rsid w:val="00F55226"/>
    <w:rsid w:val="00F5575E"/>
    <w:rsid w:val="00F55A98"/>
    <w:rsid w:val="00F55E40"/>
    <w:rsid w:val="00F5647B"/>
    <w:rsid w:val="00F566D9"/>
    <w:rsid w:val="00F567CF"/>
    <w:rsid w:val="00F56A0A"/>
    <w:rsid w:val="00F56D63"/>
    <w:rsid w:val="00F56F04"/>
    <w:rsid w:val="00F57232"/>
    <w:rsid w:val="00F576A4"/>
    <w:rsid w:val="00F60252"/>
    <w:rsid w:val="00F60485"/>
    <w:rsid w:val="00F60771"/>
    <w:rsid w:val="00F60773"/>
    <w:rsid w:val="00F60812"/>
    <w:rsid w:val="00F60B65"/>
    <w:rsid w:val="00F60C9C"/>
    <w:rsid w:val="00F61244"/>
    <w:rsid w:val="00F6131D"/>
    <w:rsid w:val="00F61913"/>
    <w:rsid w:val="00F61F02"/>
    <w:rsid w:val="00F62D33"/>
    <w:rsid w:val="00F62E1A"/>
    <w:rsid w:val="00F62F80"/>
    <w:rsid w:val="00F632C4"/>
    <w:rsid w:val="00F63A87"/>
    <w:rsid w:val="00F64280"/>
    <w:rsid w:val="00F6461E"/>
    <w:rsid w:val="00F64A03"/>
    <w:rsid w:val="00F64AEC"/>
    <w:rsid w:val="00F64ECC"/>
    <w:rsid w:val="00F64F07"/>
    <w:rsid w:val="00F65327"/>
    <w:rsid w:val="00F6561E"/>
    <w:rsid w:val="00F6598C"/>
    <w:rsid w:val="00F65BB8"/>
    <w:rsid w:val="00F65E77"/>
    <w:rsid w:val="00F662A5"/>
    <w:rsid w:val="00F6663E"/>
    <w:rsid w:val="00F666D5"/>
    <w:rsid w:val="00F66775"/>
    <w:rsid w:val="00F667A4"/>
    <w:rsid w:val="00F667D5"/>
    <w:rsid w:val="00F66C18"/>
    <w:rsid w:val="00F66D4F"/>
    <w:rsid w:val="00F67308"/>
    <w:rsid w:val="00F674FD"/>
    <w:rsid w:val="00F677CD"/>
    <w:rsid w:val="00F67C20"/>
    <w:rsid w:val="00F70719"/>
    <w:rsid w:val="00F7072F"/>
    <w:rsid w:val="00F70F91"/>
    <w:rsid w:val="00F710A8"/>
    <w:rsid w:val="00F71508"/>
    <w:rsid w:val="00F71509"/>
    <w:rsid w:val="00F71623"/>
    <w:rsid w:val="00F7176C"/>
    <w:rsid w:val="00F717EB"/>
    <w:rsid w:val="00F71986"/>
    <w:rsid w:val="00F720CC"/>
    <w:rsid w:val="00F724E8"/>
    <w:rsid w:val="00F72538"/>
    <w:rsid w:val="00F725C3"/>
    <w:rsid w:val="00F72679"/>
    <w:rsid w:val="00F7270F"/>
    <w:rsid w:val="00F72805"/>
    <w:rsid w:val="00F72A48"/>
    <w:rsid w:val="00F72C85"/>
    <w:rsid w:val="00F72E7D"/>
    <w:rsid w:val="00F72F8D"/>
    <w:rsid w:val="00F730ED"/>
    <w:rsid w:val="00F73176"/>
    <w:rsid w:val="00F732EC"/>
    <w:rsid w:val="00F736F1"/>
    <w:rsid w:val="00F73845"/>
    <w:rsid w:val="00F7399C"/>
    <w:rsid w:val="00F73AFF"/>
    <w:rsid w:val="00F73D20"/>
    <w:rsid w:val="00F73E85"/>
    <w:rsid w:val="00F73EC7"/>
    <w:rsid w:val="00F73F05"/>
    <w:rsid w:val="00F743C2"/>
    <w:rsid w:val="00F74678"/>
    <w:rsid w:val="00F74746"/>
    <w:rsid w:val="00F7491C"/>
    <w:rsid w:val="00F74993"/>
    <w:rsid w:val="00F74BD3"/>
    <w:rsid w:val="00F75060"/>
    <w:rsid w:val="00F755F7"/>
    <w:rsid w:val="00F756FF"/>
    <w:rsid w:val="00F75793"/>
    <w:rsid w:val="00F758FD"/>
    <w:rsid w:val="00F75A40"/>
    <w:rsid w:val="00F75CBF"/>
    <w:rsid w:val="00F76098"/>
    <w:rsid w:val="00F76403"/>
    <w:rsid w:val="00F76417"/>
    <w:rsid w:val="00F765BB"/>
    <w:rsid w:val="00F766B8"/>
    <w:rsid w:val="00F766F9"/>
    <w:rsid w:val="00F76C16"/>
    <w:rsid w:val="00F76EDA"/>
    <w:rsid w:val="00F77422"/>
    <w:rsid w:val="00F77C79"/>
    <w:rsid w:val="00F77CCB"/>
    <w:rsid w:val="00F8004D"/>
    <w:rsid w:val="00F802FF"/>
    <w:rsid w:val="00F8051A"/>
    <w:rsid w:val="00F80526"/>
    <w:rsid w:val="00F805A4"/>
    <w:rsid w:val="00F80764"/>
    <w:rsid w:val="00F807AD"/>
    <w:rsid w:val="00F80C59"/>
    <w:rsid w:val="00F80C64"/>
    <w:rsid w:val="00F81468"/>
    <w:rsid w:val="00F81767"/>
    <w:rsid w:val="00F819BB"/>
    <w:rsid w:val="00F81B60"/>
    <w:rsid w:val="00F82170"/>
    <w:rsid w:val="00F826D1"/>
    <w:rsid w:val="00F82906"/>
    <w:rsid w:val="00F8291D"/>
    <w:rsid w:val="00F82B4B"/>
    <w:rsid w:val="00F82E82"/>
    <w:rsid w:val="00F830E3"/>
    <w:rsid w:val="00F831C4"/>
    <w:rsid w:val="00F832FE"/>
    <w:rsid w:val="00F83728"/>
    <w:rsid w:val="00F838E5"/>
    <w:rsid w:val="00F8396B"/>
    <w:rsid w:val="00F83A78"/>
    <w:rsid w:val="00F83B5D"/>
    <w:rsid w:val="00F841B5"/>
    <w:rsid w:val="00F84290"/>
    <w:rsid w:val="00F8429D"/>
    <w:rsid w:val="00F844D1"/>
    <w:rsid w:val="00F84CCF"/>
    <w:rsid w:val="00F84DBD"/>
    <w:rsid w:val="00F84F38"/>
    <w:rsid w:val="00F84F62"/>
    <w:rsid w:val="00F84FFB"/>
    <w:rsid w:val="00F85046"/>
    <w:rsid w:val="00F8538B"/>
    <w:rsid w:val="00F85A87"/>
    <w:rsid w:val="00F85A92"/>
    <w:rsid w:val="00F85AAC"/>
    <w:rsid w:val="00F85E18"/>
    <w:rsid w:val="00F86295"/>
    <w:rsid w:val="00F865D6"/>
    <w:rsid w:val="00F8677B"/>
    <w:rsid w:val="00F867B3"/>
    <w:rsid w:val="00F8694F"/>
    <w:rsid w:val="00F86B73"/>
    <w:rsid w:val="00F86C1F"/>
    <w:rsid w:val="00F8763A"/>
    <w:rsid w:val="00F87C79"/>
    <w:rsid w:val="00F87CC2"/>
    <w:rsid w:val="00F901C7"/>
    <w:rsid w:val="00F903B3"/>
    <w:rsid w:val="00F90D21"/>
    <w:rsid w:val="00F90DD7"/>
    <w:rsid w:val="00F910FD"/>
    <w:rsid w:val="00F911C5"/>
    <w:rsid w:val="00F9154F"/>
    <w:rsid w:val="00F91930"/>
    <w:rsid w:val="00F91CEF"/>
    <w:rsid w:val="00F92545"/>
    <w:rsid w:val="00F92DA1"/>
    <w:rsid w:val="00F92DB2"/>
    <w:rsid w:val="00F933DF"/>
    <w:rsid w:val="00F937C9"/>
    <w:rsid w:val="00F93915"/>
    <w:rsid w:val="00F93B27"/>
    <w:rsid w:val="00F93E95"/>
    <w:rsid w:val="00F94044"/>
    <w:rsid w:val="00F94370"/>
    <w:rsid w:val="00F945AD"/>
    <w:rsid w:val="00F94D81"/>
    <w:rsid w:val="00F94F2C"/>
    <w:rsid w:val="00F950D1"/>
    <w:rsid w:val="00F953C9"/>
    <w:rsid w:val="00F9544D"/>
    <w:rsid w:val="00F957F3"/>
    <w:rsid w:val="00F9592B"/>
    <w:rsid w:val="00F95A85"/>
    <w:rsid w:val="00F95CE8"/>
    <w:rsid w:val="00F95E29"/>
    <w:rsid w:val="00F9615F"/>
    <w:rsid w:val="00F962B0"/>
    <w:rsid w:val="00F969A9"/>
    <w:rsid w:val="00F96B62"/>
    <w:rsid w:val="00F96BD9"/>
    <w:rsid w:val="00F96D32"/>
    <w:rsid w:val="00F970BE"/>
    <w:rsid w:val="00F979BF"/>
    <w:rsid w:val="00F97A48"/>
    <w:rsid w:val="00F97A66"/>
    <w:rsid w:val="00F97B48"/>
    <w:rsid w:val="00F97CB5"/>
    <w:rsid w:val="00FA001F"/>
    <w:rsid w:val="00FA0113"/>
    <w:rsid w:val="00FA013F"/>
    <w:rsid w:val="00FA0265"/>
    <w:rsid w:val="00FA0522"/>
    <w:rsid w:val="00FA099F"/>
    <w:rsid w:val="00FA0C53"/>
    <w:rsid w:val="00FA0C75"/>
    <w:rsid w:val="00FA0D4E"/>
    <w:rsid w:val="00FA0D6F"/>
    <w:rsid w:val="00FA0FE1"/>
    <w:rsid w:val="00FA115B"/>
    <w:rsid w:val="00FA14BA"/>
    <w:rsid w:val="00FA1532"/>
    <w:rsid w:val="00FA163D"/>
    <w:rsid w:val="00FA17AD"/>
    <w:rsid w:val="00FA17CB"/>
    <w:rsid w:val="00FA17F9"/>
    <w:rsid w:val="00FA1902"/>
    <w:rsid w:val="00FA1B85"/>
    <w:rsid w:val="00FA1EFA"/>
    <w:rsid w:val="00FA252D"/>
    <w:rsid w:val="00FA2635"/>
    <w:rsid w:val="00FA278C"/>
    <w:rsid w:val="00FA27EC"/>
    <w:rsid w:val="00FA2CA1"/>
    <w:rsid w:val="00FA2CC9"/>
    <w:rsid w:val="00FA3240"/>
    <w:rsid w:val="00FA347F"/>
    <w:rsid w:val="00FA3736"/>
    <w:rsid w:val="00FA3789"/>
    <w:rsid w:val="00FA37B9"/>
    <w:rsid w:val="00FA3947"/>
    <w:rsid w:val="00FA3BDD"/>
    <w:rsid w:val="00FA3CD2"/>
    <w:rsid w:val="00FA48B0"/>
    <w:rsid w:val="00FA4AD4"/>
    <w:rsid w:val="00FA4DB5"/>
    <w:rsid w:val="00FA5231"/>
    <w:rsid w:val="00FA5999"/>
    <w:rsid w:val="00FA5A93"/>
    <w:rsid w:val="00FA5DE4"/>
    <w:rsid w:val="00FA63A6"/>
    <w:rsid w:val="00FA649C"/>
    <w:rsid w:val="00FA6649"/>
    <w:rsid w:val="00FA67A1"/>
    <w:rsid w:val="00FA692F"/>
    <w:rsid w:val="00FA693E"/>
    <w:rsid w:val="00FA6A2A"/>
    <w:rsid w:val="00FA6CA8"/>
    <w:rsid w:val="00FA6E9A"/>
    <w:rsid w:val="00FA6EDE"/>
    <w:rsid w:val="00FA7038"/>
    <w:rsid w:val="00FA7094"/>
    <w:rsid w:val="00FA70A9"/>
    <w:rsid w:val="00FA7548"/>
    <w:rsid w:val="00FA7647"/>
    <w:rsid w:val="00FA76CE"/>
    <w:rsid w:val="00FA7A98"/>
    <w:rsid w:val="00FA7C17"/>
    <w:rsid w:val="00FB010B"/>
    <w:rsid w:val="00FB0879"/>
    <w:rsid w:val="00FB0971"/>
    <w:rsid w:val="00FB0C5C"/>
    <w:rsid w:val="00FB0E8C"/>
    <w:rsid w:val="00FB0F05"/>
    <w:rsid w:val="00FB10CA"/>
    <w:rsid w:val="00FB1160"/>
    <w:rsid w:val="00FB1684"/>
    <w:rsid w:val="00FB1989"/>
    <w:rsid w:val="00FB19A8"/>
    <w:rsid w:val="00FB1B45"/>
    <w:rsid w:val="00FB1CB3"/>
    <w:rsid w:val="00FB2341"/>
    <w:rsid w:val="00FB23AD"/>
    <w:rsid w:val="00FB23D9"/>
    <w:rsid w:val="00FB255D"/>
    <w:rsid w:val="00FB2602"/>
    <w:rsid w:val="00FB2772"/>
    <w:rsid w:val="00FB2A88"/>
    <w:rsid w:val="00FB2D78"/>
    <w:rsid w:val="00FB2F56"/>
    <w:rsid w:val="00FB314B"/>
    <w:rsid w:val="00FB32CE"/>
    <w:rsid w:val="00FB3339"/>
    <w:rsid w:val="00FB36D0"/>
    <w:rsid w:val="00FB3D65"/>
    <w:rsid w:val="00FB3E56"/>
    <w:rsid w:val="00FB3FA7"/>
    <w:rsid w:val="00FB40B4"/>
    <w:rsid w:val="00FB421E"/>
    <w:rsid w:val="00FB429C"/>
    <w:rsid w:val="00FB4437"/>
    <w:rsid w:val="00FB4546"/>
    <w:rsid w:val="00FB473F"/>
    <w:rsid w:val="00FB4750"/>
    <w:rsid w:val="00FB47FD"/>
    <w:rsid w:val="00FB4918"/>
    <w:rsid w:val="00FB4A57"/>
    <w:rsid w:val="00FB4CC9"/>
    <w:rsid w:val="00FB4D01"/>
    <w:rsid w:val="00FB4EE1"/>
    <w:rsid w:val="00FB50EB"/>
    <w:rsid w:val="00FB5952"/>
    <w:rsid w:val="00FB5A43"/>
    <w:rsid w:val="00FB5DBC"/>
    <w:rsid w:val="00FB6198"/>
    <w:rsid w:val="00FB6297"/>
    <w:rsid w:val="00FB62E0"/>
    <w:rsid w:val="00FB655E"/>
    <w:rsid w:val="00FB6783"/>
    <w:rsid w:val="00FB685B"/>
    <w:rsid w:val="00FB6C45"/>
    <w:rsid w:val="00FB6F44"/>
    <w:rsid w:val="00FB706E"/>
    <w:rsid w:val="00FB7AE2"/>
    <w:rsid w:val="00FB7DD0"/>
    <w:rsid w:val="00FB7E89"/>
    <w:rsid w:val="00FC0480"/>
    <w:rsid w:val="00FC08A3"/>
    <w:rsid w:val="00FC08AA"/>
    <w:rsid w:val="00FC08B6"/>
    <w:rsid w:val="00FC1242"/>
    <w:rsid w:val="00FC1266"/>
    <w:rsid w:val="00FC12CF"/>
    <w:rsid w:val="00FC148B"/>
    <w:rsid w:val="00FC1795"/>
    <w:rsid w:val="00FC17BD"/>
    <w:rsid w:val="00FC17F8"/>
    <w:rsid w:val="00FC1A94"/>
    <w:rsid w:val="00FC1BA0"/>
    <w:rsid w:val="00FC1DBA"/>
    <w:rsid w:val="00FC1DCE"/>
    <w:rsid w:val="00FC1E06"/>
    <w:rsid w:val="00FC20D1"/>
    <w:rsid w:val="00FC2258"/>
    <w:rsid w:val="00FC2427"/>
    <w:rsid w:val="00FC242A"/>
    <w:rsid w:val="00FC2584"/>
    <w:rsid w:val="00FC25F9"/>
    <w:rsid w:val="00FC2730"/>
    <w:rsid w:val="00FC29E1"/>
    <w:rsid w:val="00FC2A8B"/>
    <w:rsid w:val="00FC2BBD"/>
    <w:rsid w:val="00FC3209"/>
    <w:rsid w:val="00FC328E"/>
    <w:rsid w:val="00FC3866"/>
    <w:rsid w:val="00FC3C7E"/>
    <w:rsid w:val="00FC3CBE"/>
    <w:rsid w:val="00FC405B"/>
    <w:rsid w:val="00FC45EF"/>
    <w:rsid w:val="00FC4794"/>
    <w:rsid w:val="00FC47CC"/>
    <w:rsid w:val="00FC48FE"/>
    <w:rsid w:val="00FC4916"/>
    <w:rsid w:val="00FC4B4B"/>
    <w:rsid w:val="00FC525E"/>
    <w:rsid w:val="00FC5369"/>
    <w:rsid w:val="00FC5766"/>
    <w:rsid w:val="00FC5A26"/>
    <w:rsid w:val="00FC5BC6"/>
    <w:rsid w:val="00FC5EC5"/>
    <w:rsid w:val="00FC6042"/>
    <w:rsid w:val="00FC6287"/>
    <w:rsid w:val="00FC6365"/>
    <w:rsid w:val="00FC6FE1"/>
    <w:rsid w:val="00FC7094"/>
    <w:rsid w:val="00FC7289"/>
    <w:rsid w:val="00FC73A2"/>
    <w:rsid w:val="00FC757A"/>
    <w:rsid w:val="00FC75F7"/>
    <w:rsid w:val="00FC78A4"/>
    <w:rsid w:val="00FC7F0F"/>
    <w:rsid w:val="00FD0001"/>
    <w:rsid w:val="00FD0083"/>
    <w:rsid w:val="00FD014C"/>
    <w:rsid w:val="00FD04FD"/>
    <w:rsid w:val="00FD09AC"/>
    <w:rsid w:val="00FD0E32"/>
    <w:rsid w:val="00FD0FE3"/>
    <w:rsid w:val="00FD154E"/>
    <w:rsid w:val="00FD1740"/>
    <w:rsid w:val="00FD17E4"/>
    <w:rsid w:val="00FD1874"/>
    <w:rsid w:val="00FD1E61"/>
    <w:rsid w:val="00FD1EEE"/>
    <w:rsid w:val="00FD2141"/>
    <w:rsid w:val="00FD23CA"/>
    <w:rsid w:val="00FD263C"/>
    <w:rsid w:val="00FD28CF"/>
    <w:rsid w:val="00FD291A"/>
    <w:rsid w:val="00FD296A"/>
    <w:rsid w:val="00FD2AFD"/>
    <w:rsid w:val="00FD2B30"/>
    <w:rsid w:val="00FD2B6F"/>
    <w:rsid w:val="00FD2EE9"/>
    <w:rsid w:val="00FD2FB8"/>
    <w:rsid w:val="00FD35DE"/>
    <w:rsid w:val="00FD3702"/>
    <w:rsid w:val="00FD371A"/>
    <w:rsid w:val="00FD3C49"/>
    <w:rsid w:val="00FD3FF3"/>
    <w:rsid w:val="00FD4052"/>
    <w:rsid w:val="00FD42A4"/>
    <w:rsid w:val="00FD439D"/>
    <w:rsid w:val="00FD449B"/>
    <w:rsid w:val="00FD479F"/>
    <w:rsid w:val="00FD4AB3"/>
    <w:rsid w:val="00FD4E45"/>
    <w:rsid w:val="00FD505D"/>
    <w:rsid w:val="00FD56AD"/>
    <w:rsid w:val="00FD5B7E"/>
    <w:rsid w:val="00FD5BF9"/>
    <w:rsid w:val="00FD600E"/>
    <w:rsid w:val="00FD648B"/>
    <w:rsid w:val="00FD6591"/>
    <w:rsid w:val="00FD681A"/>
    <w:rsid w:val="00FD6D9C"/>
    <w:rsid w:val="00FD7549"/>
    <w:rsid w:val="00FD754F"/>
    <w:rsid w:val="00FD75FB"/>
    <w:rsid w:val="00FD76B1"/>
    <w:rsid w:val="00FD7884"/>
    <w:rsid w:val="00FD7A29"/>
    <w:rsid w:val="00FD7A5A"/>
    <w:rsid w:val="00FD7ADD"/>
    <w:rsid w:val="00FE04B8"/>
    <w:rsid w:val="00FE0513"/>
    <w:rsid w:val="00FE05D6"/>
    <w:rsid w:val="00FE069A"/>
    <w:rsid w:val="00FE06E0"/>
    <w:rsid w:val="00FE086D"/>
    <w:rsid w:val="00FE0A1D"/>
    <w:rsid w:val="00FE0AE2"/>
    <w:rsid w:val="00FE0B9E"/>
    <w:rsid w:val="00FE120E"/>
    <w:rsid w:val="00FE1414"/>
    <w:rsid w:val="00FE166E"/>
    <w:rsid w:val="00FE185E"/>
    <w:rsid w:val="00FE21B3"/>
    <w:rsid w:val="00FE2333"/>
    <w:rsid w:val="00FE24AC"/>
    <w:rsid w:val="00FE2789"/>
    <w:rsid w:val="00FE27F4"/>
    <w:rsid w:val="00FE29DB"/>
    <w:rsid w:val="00FE2A6B"/>
    <w:rsid w:val="00FE2E9F"/>
    <w:rsid w:val="00FE30F6"/>
    <w:rsid w:val="00FE3186"/>
    <w:rsid w:val="00FE3877"/>
    <w:rsid w:val="00FE3ABA"/>
    <w:rsid w:val="00FE3AF1"/>
    <w:rsid w:val="00FE3FF7"/>
    <w:rsid w:val="00FE4297"/>
    <w:rsid w:val="00FE44C9"/>
    <w:rsid w:val="00FE4A51"/>
    <w:rsid w:val="00FE4A60"/>
    <w:rsid w:val="00FE4C3C"/>
    <w:rsid w:val="00FE4CD8"/>
    <w:rsid w:val="00FE4D9B"/>
    <w:rsid w:val="00FE4DA1"/>
    <w:rsid w:val="00FE4DE3"/>
    <w:rsid w:val="00FE4E8D"/>
    <w:rsid w:val="00FE5421"/>
    <w:rsid w:val="00FE5540"/>
    <w:rsid w:val="00FE560B"/>
    <w:rsid w:val="00FE5743"/>
    <w:rsid w:val="00FE5B80"/>
    <w:rsid w:val="00FE5F3B"/>
    <w:rsid w:val="00FE6021"/>
    <w:rsid w:val="00FE60FD"/>
    <w:rsid w:val="00FE6115"/>
    <w:rsid w:val="00FE6300"/>
    <w:rsid w:val="00FE634B"/>
    <w:rsid w:val="00FE63FD"/>
    <w:rsid w:val="00FE6C4F"/>
    <w:rsid w:val="00FE6D6E"/>
    <w:rsid w:val="00FE6E67"/>
    <w:rsid w:val="00FE6EB2"/>
    <w:rsid w:val="00FE76FC"/>
    <w:rsid w:val="00FE7A6C"/>
    <w:rsid w:val="00FE7FD9"/>
    <w:rsid w:val="00FF0061"/>
    <w:rsid w:val="00FF0A05"/>
    <w:rsid w:val="00FF0CFB"/>
    <w:rsid w:val="00FF0DA2"/>
    <w:rsid w:val="00FF0E7D"/>
    <w:rsid w:val="00FF0EE0"/>
    <w:rsid w:val="00FF1095"/>
    <w:rsid w:val="00FF1163"/>
    <w:rsid w:val="00FF13DC"/>
    <w:rsid w:val="00FF16BE"/>
    <w:rsid w:val="00FF18B5"/>
    <w:rsid w:val="00FF1A1A"/>
    <w:rsid w:val="00FF1B48"/>
    <w:rsid w:val="00FF1CC5"/>
    <w:rsid w:val="00FF1EDE"/>
    <w:rsid w:val="00FF208B"/>
    <w:rsid w:val="00FF2163"/>
    <w:rsid w:val="00FF2237"/>
    <w:rsid w:val="00FF241E"/>
    <w:rsid w:val="00FF2766"/>
    <w:rsid w:val="00FF2ADE"/>
    <w:rsid w:val="00FF2BD7"/>
    <w:rsid w:val="00FF2D1C"/>
    <w:rsid w:val="00FF2D24"/>
    <w:rsid w:val="00FF2D9D"/>
    <w:rsid w:val="00FF2FCA"/>
    <w:rsid w:val="00FF3528"/>
    <w:rsid w:val="00FF3564"/>
    <w:rsid w:val="00FF360A"/>
    <w:rsid w:val="00FF3804"/>
    <w:rsid w:val="00FF3A5E"/>
    <w:rsid w:val="00FF3B0B"/>
    <w:rsid w:val="00FF3B8E"/>
    <w:rsid w:val="00FF3F9E"/>
    <w:rsid w:val="00FF4083"/>
    <w:rsid w:val="00FF4176"/>
    <w:rsid w:val="00FF4194"/>
    <w:rsid w:val="00FF4B37"/>
    <w:rsid w:val="00FF4E67"/>
    <w:rsid w:val="00FF4F6A"/>
    <w:rsid w:val="00FF5327"/>
    <w:rsid w:val="00FF54AF"/>
    <w:rsid w:val="00FF56E1"/>
    <w:rsid w:val="00FF582A"/>
    <w:rsid w:val="00FF5AFE"/>
    <w:rsid w:val="00FF61C6"/>
    <w:rsid w:val="00FF64E7"/>
    <w:rsid w:val="00FF65A5"/>
    <w:rsid w:val="00FF65BA"/>
    <w:rsid w:val="00FF6B87"/>
    <w:rsid w:val="00FF6BBB"/>
    <w:rsid w:val="00FF6E19"/>
    <w:rsid w:val="00FF701E"/>
    <w:rsid w:val="00FF744F"/>
    <w:rsid w:val="00FF7535"/>
    <w:rsid w:val="00FF7713"/>
    <w:rsid w:val="00FF782A"/>
    <w:rsid w:val="00FF7B0E"/>
    <w:rsid w:val="00FF7D47"/>
    <w:rsid w:val="00FF7EB5"/>
    <w:rsid w:val="00FF7FD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center;mso-width-percent:400;mso-height-percent:200;mso-width-relative:margin;mso-height-relative:margin" fillcolor="white">
      <v:fill color="white"/>
      <v:textbox style="mso-fit-shape-to-text:t"/>
    </o:shapedefaults>
    <o:shapelayout v:ext="edit">
      <o:idmap v:ext="edit" data="1"/>
    </o:shapelayout>
  </w:shapeDefaults>
  <w:decimalSymbol w:val=","/>
  <w:listSeparator w:val=";"/>
  <w14:docId w14:val="686C4AA8"/>
  <w15:docId w15:val="{A1374678-BEC0-455C-B887-FF70DA025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4"/>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90451"/>
    <w:rPr>
      <w:sz w:val="24"/>
      <w:szCs w:val="24"/>
    </w:rPr>
  </w:style>
  <w:style w:type="paragraph" w:styleId="Titolo1">
    <w:name w:val="heading 1"/>
    <w:basedOn w:val="Normale"/>
    <w:next w:val="Normale"/>
    <w:link w:val="Titolo1Carattere"/>
    <w:uiPriority w:val="99"/>
    <w:qFormat/>
    <w:rsid w:val="00BC3FFD"/>
    <w:pPr>
      <w:keepNext/>
      <w:spacing w:after="120"/>
      <w:jc w:val="both"/>
      <w:outlineLvl w:val="0"/>
    </w:pPr>
    <w:rPr>
      <w:rFonts w:ascii="Cambria" w:hAnsi="Cambria"/>
      <w:b/>
      <w:kern w:val="32"/>
      <w:sz w:val="32"/>
    </w:rPr>
  </w:style>
  <w:style w:type="paragraph" w:styleId="Titolo2">
    <w:name w:val="heading 2"/>
    <w:basedOn w:val="Normale"/>
    <w:next w:val="Normale"/>
    <w:link w:val="Titolo2Carattere"/>
    <w:semiHidden/>
    <w:unhideWhenUsed/>
    <w:qFormat/>
    <w:locked/>
    <w:rsid w:val="00BF702B"/>
    <w:pPr>
      <w:keepNext/>
      <w:spacing w:before="240" w:after="60"/>
      <w:outlineLvl w:val="1"/>
    </w:pPr>
    <w:rPr>
      <w:rFonts w:ascii="Cambria" w:hAnsi="Cambria"/>
      <w:b/>
      <w:bCs/>
      <w:i/>
      <w:iCs/>
      <w:sz w:val="28"/>
      <w:szCs w:val="28"/>
    </w:rPr>
  </w:style>
  <w:style w:type="paragraph" w:styleId="Titolo4">
    <w:name w:val="heading 4"/>
    <w:basedOn w:val="Normale"/>
    <w:next w:val="Normale"/>
    <w:link w:val="Titolo4Carattere"/>
    <w:qFormat/>
    <w:locked/>
    <w:rsid w:val="00CD17F5"/>
    <w:pPr>
      <w:keepNext/>
      <w:keepLines/>
      <w:spacing w:before="200"/>
      <w:outlineLvl w:val="3"/>
    </w:pPr>
    <w:rPr>
      <w:rFonts w:ascii="Cambria" w:hAnsi="Cambria"/>
      <w:b/>
      <w:bCs/>
      <w:i/>
      <w:iCs/>
      <w:color w:val="4F81BD"/>
    </w:rPr>
  </w:style>
  <w:style w:type="paragraph" w:styleId="Titolo8">
    <w:name w:val="heading 8"/>
    <w:basedOn w:val="Normale"/>
    <w:next w:val="Normale"/>
    <w:link w:val="Titolo8Carattere"/>
    <w:unhideWhenUsed/>
    <w:qFormat/>
    <w:locked/>
    <w:rsid w:val="003A6105"/>
    <w:pPr>
      <w:spacing w:before="240" w:after="60"/>
      <w:outlineLvl w:val="7"/>
    </w:pPr>
    <w:rPr>
      <w:rFonts w:ascii="Calibri" w:hAnsi="Calibri"/>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226782"/>
    <w:rPr>
      <w:rFonts w:ascii="Cambria" w:hAnsi="Cambria" w:cs="Times New Roman"/>
      <w:b/>
      <w:kern w:val="32"/>
      <w:sz w:val="32"/>
    </w:rPr>
  </w:style>
  <w:style w:type="paragraph" w:styleId="Corpotesto">
    <w:name w:val="Body Text"/>
    <w:basedOn w:val="Normale"/>
    <w:link w:val="CorpotestoCarattere"/>
    <w:uiPriority w:val="99"/>
    <w:rsid w:val="00BC3FFD"/>
    <w:pPr>
      <w:spacing w:line="360" w:lineRule="auto"/>
    </w:pPr>
  </w:style>
  <w:style w:type="character" w:customStyle="1" w:styleId="CorpotestoCarattere">
    <w:name w:val="Corpo testo Carattere"/>
    <w:link w:val="Corpotesto"/>
    <w:uiPriority w:val="99"/>
    <w:locked/>
    <w:rsid w:val="00226782"/>
    <w:rPr>
      <w:rFonts w:cs="Times New Roman"/>
      <w:kern w:val="28"/>
      <w:sz w:val="20"/>
    </w:rPr>
  </w:style>
  <w:style w:type="paragraph" w:styleId="Pidipagina">
    <w:name w:val="footer"/>
    <w:basedOn w:val="Normale"/>
    <w:link w:val="PidipaginaCarattere"/>
    <w:rsid w:val="00BC3FFD"/>
    <w:pPr>
      <w:tabs>
        <w:tab w:val="center" w:pos="4818"/>
        <w:tab w:val="right" w:pos="9637"/>
      </w:tabs>
      <w:jc w:val="both"/>
    </w:pPr>
  </w:style>
  <w:style w:type="character" w:customStyle="1" w:styleId="PidipaginaCarattere">
    <w:name w:val="Piè di pagina Carattere"/>
    <w:link w:val="Pidipagina"/>
    <w:uiPriority w:val="99"/>
    <w:locked/>
    <w:rsid w:val="00226782"/>
    <w:rPr>
      <w:rFonts w:cs="Times New Roman"/>
      <w:kern w:val="28"/>
      <w:sz w:val="20"/>
    </w:rPr>
  </w:style>
  <w:style w:type="character" w:styleId="Collegamentoipertestuale">
    <w:name w:val="Hyperlink"/>
    <w:uiPriority w:val="99"/>
    <w:rsid w:val="001F7282"/>
    <w:rPr>
      <w:rFonts w:cs="Times New Roman"/>
      <w:color w:val="0000FF"/>
      <w:u w:val="single"/>
    </w:rPr>
  </w:style>
  <w:style w:type="paragraph" w:styleId="Intestazione">
    <w:name w:val="header"/>
    <w:basedOn w:val="Normale"/>
    <w:link w:val="IntestazioneCarattere"/>
    <w:uiPriority w:val="99"/>
    <w:rsid w:val="000F6161"/>
    <w:pPr>
      <w:tabs>
        <w:tab w:val="center" w:pos="4819"/>
        <w:tab w:val="right" w:pos="9638"/>
      </w:tabs>
    </w:pPr>
  </w:style>
  <w:style w:type="character" w:customStyle="1" w:styleId="IntestazioneCarattere">
    <w:name w:val="Intestazione Carattere"/>
    <w:link w:val="Intestazione"/>
    <w:uiPriority w:val="99"/>
    <w:locked/>
    <w:rsid w:val="00226782"/>
    <w:rPr>
      <w:rFonts w:cs="Times New Roman"/>
      <w:kern w:val="28"/>
      <w:sz w:val="20"/>
    </w:rPr>
  </w:style>
  <w:style w:type="character" w:styleId="Numeropagina">
    <w:name w:val="page number"/>
    <w:uiPriority w:val="99"/>
    <w:rsid w:val="0026018C"/>
    <w:rPr>
      <w:rFonts w:cs="Times New Roman"/>
    </w:rPr>
  </w:style>
  <w:style w:type="paragraph" w:styleId="Testofumetto">
    <w:name w:val="Balloon Text"/>
    <w:basedOn w:val="Normale"/>
    <w:link w:val="TestofumettoCarattere"/>
    <w:uiPriority w:val="99"/>
    <w:semiHidden/>
    <w:rsid w:val="00486F36"/>
    <w:rPr>
      <w:sz w:val="2"/>
    </w:rPr>
  </w:style>
  <w:style w:type="character" w:customStyle="1" w:styleId="TestofumettoCarattere">
    <w:name w:val="Testo fumetto Carattere"/>
    <w:link w:val="Testofumetto"/>
    <w:uiPriority w:val="99"/>
    <w:semiHidden/>
    <w:locked/>
    <w:rsid w:val="00226782"/>
    <w:rPr>
      <w:rFonts w:cs="Times New Roman"/>
      <w:kern w:val="28"/>
      <w:sz w:val="2"/>
    </w:rPr>
  </w:style>
  <w:style w:type="paragraph" w:styleId="NormaleWeb">
    <w:name w:val="Normal (Web)"/>
    <w:basedOn w:val="Normale"/>
    <w:uiPriority w:val="99"/>
    <w:rsid w:val="00100058"/>
    <w:pPr>
      <w:spacing w:beforeAutospacing="1" w:afterAutospacing="1"/>
    </w:pPr>
  </w:style>
  <w:style w:type="paragraph" w:styleId="PreformattatoHTML">
    <w:name w:val="HTML Preformatted"/>
    <w:basedOn w:val="Normale"/>
    <w:link w:val="PreformattatoHTMLCarattere"/>
    <w:uiPriority w:val="99"/>
    <w:rsid w:val="00906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PreformattatoHTMLCarattere">
    <w:name w:val="Preformattato HTML Carattere"/>
    <w:link w:val="PreformattatoHTML"/>
    <w:uiPriority w:val="99"/>
    <w:semiHidden/>
    <w:locked/>
    <w:rsid w:val="00226782"/>
    <w:rPr>
      <w:rFonts w:ascii="Courier New" w:hAnsi="Courier New" w:cs="Times New Roman"/>
      <w:kern w:val="28"/>
      <w:sz w:val="20"/>
    </w:rPr>
  </w:style>
  <w:style w:type="character" w:styleId="Enfasigrassetto">
    <w:name w:val="Strong"/>
    <w:uiPriority w:val="22"/>
    <w:qFormat/>
    <w:rsid w:val="008C6EAA"/>
    <w:rPr>
      <w:rFonts w:cs="Times New Roman"/>
      <w:b/>
    </w:rPr>
  </w:style>
  <w:style w:type="table" w:styleId="Grigliatabella">
    <w:name w:val="Table Grid"/>
    <w:basedOn w:val="Tabellanormale"/>
    <w:uiPriority w:val="59"/>
    <w:locked/>
    <w:rsid w:val="00E75DC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uiPriority w:val="99"/>
    <w:rsid w:val="00E75DCC"/>
  </w:style>
  <w:style w:type="paragraph" w:styleId="Testonotaapidipagina">
    <w:name w:val="footnote text"/>
    <w:aliases w:val="Testo nota a piè di pagina Carattere Carattere,Testo nota a piè di pagina Carattere Carattere Carattere Carattere Carattere Carattere"/>
    <w:basedOn w:val="Normale"/>
    <w:link w:val="TestonotaapidipaginaCarattere"/>
    <w:uiPriority w:val="99"/>
    <w:rsid w:val="006C145B"/>
  </w:style>
  <w:style w:type="character" w:customStyle="1" w:styleId="TestonotaapidipaginaCarattere">
    <w:name w:val="Testo nota a piè di pagina Carattere"/>
    <w:aliases w:val="Testo nota a piè di pagina Carattere Carattere Carattere,Testo nota a piè di pagina Carattere Carattere Carattere Carattere Carattere Carattere Carattere"/>
    <w:link w:val="Testonotaapidipagina"/>
    <w:uiPriority w:val="99"/>
    <w:locked/>
    <w:rsid w:val="00F05FF9"/>
    <w:rPr>
      <w:rFonts w:cs="Times New Roman"/>
      <w:kern w:val="28"/>
      <w:sz w:val="20"/>
    </w:rPr>
  </w:style>
  <w:style w:type="character" w:styleId="Rimandonotaapidipagina">
    <w:name w:val="footnote reference"/>
    <w:uiPriority w:val="99"/>
    <w:rsid w:val="006C145B"/>
    <w:rPr>
      <w:rFonts w:cs="Times New Roman"/>
      <w:vertAlign w:val="superscript"/>
    </w:rPr>
  </w:style>
  <w:style w:type="character" w:styleId="Enfasicorsivo">
    <w:name w:val="Emphasis"/>
    <w:uiPriority w:val="20"/>
    <w:qFormat/>
    <w:locked/>
    <w:rsid w:val="00E80FB8"/>
    <w:rPr>
      <w:rFonts w:cs="Times New Roman"/>
      <w:i/>
    </w:rPr>
  </w:style>
  <w:style w:type="paragraph" w:customStyle="1" w:styleId="Grigliamedia1-Colore21">
    <w:name w:val="Griglia media 1 - Colore 21"/>
    <w:basedOn w:val="Normale"/>
    <w:uiPriority w:val="34"/>
    <w:qFormat/>
    <w:rsid w:val="0022535F"/>
    <w:pPr>
      <w:ind w:left="720"/>
      <w:contextualSpacing/>
    </w:pPr>
  </w:style>
  <w:style w:type="character" w:styleId="Rimandocommento">
    <w:name w:val="annotation reference"/>
    <w:uiPriority w:val="99"/>
    <w:semiHidden/>
    <w:unhideWhenUsed/>
    <w:rsid w:val="00407D29"/>
    <w:rPr>
      <w:sz w:val="16"/>
      <w:szCs w:val="16"/>
    </w:rPr>
  </w:style>
  <w:style w:type="paragraph" w:styleId="Testocommento">
    <w:name w:val="annotation text"/>
    <w:basedOn w:val="Normale"/>
    <w:link w:val="TestocommentoCarattere"/>
    <w:uiPriority w:val="99"/>
    <w:semiHidden/>
    <w:unhideWhenUsed/>
    <w:rsid w:val="00E338F3"/>
    <w:rPr>
      <w:sz w:val="20"/>
      <w:szCs w:val="20"/>
    </w:rPr>
  </w:style>
  <w:style w:type="character" w:customStyle="1" w:styleId="TestocommentoCarattere">
    <w:name w:val="Testo commento Carattere"/>
    <w:link w:val="Testocommento"/>
    <w:uiPriority w:val="99"/>
    <w:semiHidden/>
    <w:rsid w:val="00407D29"/>
    <w:rPr>
      <w:kern w:val="28"/>
      <w:sz w:val="20"/>
      <w:szCs w:val="20"/>
    </w:rPr>
  </w:style>
  <w:style w:type="paragraph" w:styleId="Soggettocommento">
    <w:name w:val="annotation subject"/>
    <w:basedOn w:val="Testocommento"/>
    <w:next w:val="Testocommento"/>
    <w:link w:val="SoggettocommentoCarattere"/>
    <w:unhideWhenUsed/>
    <w:rsid w:val="00407D29"/>
    <w:rPr>
      <w:b/>
      <w:bCs/>
    </w:rPr>
  </w:style>
  <w:style w:type="character" w:customStyle="1" w:styleId="SoggettocommentoCarattere">
    <w:name w:val="Soggetto commento Carattere"/>
    <w:link w:val="Soggettocommento"/>
    <w:rsid w:val="00407D29"/>
    <w:rPr>
      <w:b/>
      <w:bCs/>
      <w:kern w:val="28"/>
      <w:sz w:val="20"/>
      <w:szCs w:val="20"/>
    </w:rPr>
  </w:style>
  <w:style w:type="paragraph" w:styleId="Sottotitolo">
    <w:name w:val="Subtitle"/>
    <w:basedOn w:val="Normale"/>
    <w:next w:val="Normale"/>
    <w:link w:val="SottotitoloCarattere"/>
    <w:qFormat/>
    <w:locked/>
    <w:rsid w:val="006166D3"/>
    <w:pPr>
      <w:numPr>
        <w:ilvl w:val="1"/>
      </w:numPr>
    </w:pPr>
    <w:rPr>
      <w:rFonts w:ascii="Cambria" w:hAnsi="Cambria"/>
      <w:i/>
      <w:iCs/>
      <w:color w:val="4F81BD"/>
      <w:spacing w:val="15"/>
    </w:rPr>
  </w:style>
  <w:style w:type="character" w:customStyle="1" w:styleId="SottotitoloCarattere">
    <w:name w:val="Sottotitolo Carattere"/>
    <w:link w:val="Sottotitolo"/>
    <w:rsid w:val="006166D3"/>
    <w:rPr>
      <w:rFonts w:ascii="Cambria" w:eastAsia="Times New Roman" w:hAnsi="Cambria" w:cs="Times New Roman"/>
      <w:i/>
      <w:iCs/>
      <w:color w:val="4F81BD"/>
      <w:spacing w:val="15"/>
      <w:kern w:val="28"/>
      <w:sz w:val="24"/>
      <w:szCs w:val="24"/>
    </w:rPr>
  </w:style>
  <w:style w:type="character" w:customStyle="1" w:styleId="Titolo4Carattere">
    <w:name w:val="Titolo 4 Carattere"/>
    <w:link w:val="Titolo4"/>
    <w:uiPriority w:val="9"/>
    <w:rsid w:val="00CD17F5"/>
    <w:rPr>
      <w:rFonts w:ascii="Cambria" w:eastAsia="Times New Roman" w:hAnsi="Cambria" w:cs="Times New Roman"/>
      <w:b/>
      <w:bCs/>
      <w:i/>
      <w:iCs/>
      <w:color w:val="4F81BD"/>
      <w:kern w:val="28"/>
      <w:sz w:val="20"/>
      <w:szCs w:val="20"/>
    </w:rPr>
  </w:style>
  <w:style w:type="paragraph" w:customStyle="1" w:styleId="Default">
    <w:name w:val="Default"/>
    <w:rsid w:val="00417ECD"/>
    <w:pPr>
      <w:autoSpaceDE w:val="0"/>
      <w:autoSpaceDN w:val="0"/>
      <w:adjustRightInd w:val="0"/>
    </w:pPr>
    <w:rPr>
      <w:rFonts w:ascii="Arial Narrow" w:hAnsi="Arial Narrow"/>
      <w:color w:val="000000"/>
      <w:sz w:val="24"/>
      <w:szCs w:val="24"/>
    </w:rPr>
  </w:style>
  <w:style w:type="paragraph" w:customStyle="1" w:styleId="Paragrafobase">
    <w:name w:val="[Paragrafo base]"/>
    <w:basedOn w:val="Normale"/>
    <w:uiPriority w:val="99"/>
    <w:rsid w:val="00083173"/>
    <w:pPr>
      <w:spacing w:line="288" w:lineRule="auto"/>
      <w:textAlignment w:val="center"/>
    </w:pPr>
    <w:rPr>
      <w:rFonts w:ascii="Times-Roman" w:hAnsi="Times-Roman" w:cs="Times-Roman"/>
      <w:color w:val="000000"/>
    </w:rPr>
  </w:style>
  <w:style w:type="table" w:customStyle="1" w:styleId="Grigliatabella1">
    <w:name w:val="Griglia tabella1"/>
    <w:basedOn w:val="Tabellanormale"/>
    <w:next w:val="Grigliatabella"/>
    <w:uiPriority w:val="99"/>
    <w:rsid w:val="00A36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1TitoGra">
    <w:name w:val="001TitoGra"/>
    <w:basedOn w:val="Normale"/>
    <w:qFormat/>
    <w:rsid w:val="00FF1163"/>
    <w:pPr>
      <w:spacing w:line="240" w:lineRule="exact"/>
    </w:pPr>
    <w:rPr>
      <w:rFonts w:ascii="Arial Narrow" w:hAnsi="Arial Narrow" w:cs="Arial"/>
      <w:b/>
      <w:color w:val="5F5F5F"/>
      <w:sz w:val="22"/>
      <w:szCs w:val="22"/>
    </w:rPr>
  </w:style>
  <w:style w:type="paragraph" w:customStyle="1" w:styleId="001TitoloBolocco">
    <w:name w:val="001TitoloBolocco"/>
    <w:basedOn w:val="Titolo1"/>
    <w:link w:val="001TitoloBoloccoCarattere"/>
    <w:qFormat/>
    <w:rsid w:val="00E53642"/>
    <w:pPr>
      <w:pBdr>
        <w:bottom w:val="single" w:sz="18" w:space="1" w:color="E31C18"/>
      </w:pBdr>
      <w:spacing w:after="240" w:line="240" w:lineRule="exact"/>
    </w:pPr>
    <w:rPr>
      <w:rFonts w:ascii="Calibri" w:hAnsi="Calibri" w:cs="Arial"/>
      <w:bCs/>
      <w:caps/>
      <w:color w:val="000000"/>
      <w:sz w:val="26"/>
      <w:szCs w:val="28"/>
    </w:rPr>
  </w:style>
  <w:style w:type="character" w:customStyle="1" w:styleId="001TitoloBoloccoCarattere">
    <w:name w:val="001TitoloBolocco Carattere"/>
    <w:link w:val="001TitoloBolocco"/>
    <w:rsid w:val="00E53642"/>
    <w:rPr>
      <w:rFonts w:ascii="Calibri" w:hAnsi="Calibri" w:cs="Arial"/>
      <w:b/>
      <w:bCs/>
      <w:caps/>
      <w:color w:val="000000"/>
      <w:kern w:val="32"/>
      <w:sz w:val="26"/>
      <w:szCs w:val="28"/>
    </w:rPr>
  </w:style>
  <w:style w:type="paragraph" w:customStyle="1" w:styleId="00TitoGra1">
    <w:name w:val="00TitoGra1"/>
    <w:basedOn w:val="Normale"/>
    <w:qFormat/>
    <w:rsid w:val="00E53642"/>
    <w:pPr>
      <w:spacing w:line="280" w:lineRule="exact"/>
    </w:pPr>
    <w:rPr>
      <w:rFonts w:ascii="Calibri" w:hAnsi="Calibri" w:cs="Arial"/>
      <w:b/>
      <w:color w:val="D90B13"/>
      <w:sz w:val="28"/>
      <w:szCs w:val="28"/>
    </w:rPr>
  </w:style>
  <w:style w:type="character" w:customStyle="1" w:styleId="001TitoGraRed">
    <w:name w:val="001TitoGraRed"/>
    <w:uiPriority w:val="1"/>
    <w:qFormat/>
    <w:rsid w:val="00FF1163"/>
    <w:rPr>
      <w:color w:val="E31C18"/>
    </w:rPr>
  </w:style>
  <w:style w:type="paragraph" w:customStyle="1" w:styleId="001SottotitoloGra">
    <w:name w:val="001SottotitoloGra"/>
    <w:basedOn w:val="001TitoGra"/>
    <w:qFormat/>
    <w:rsid w:val="00FF1163"/>
    <w:pPr>
      <w:spacing w:after="120"/>
    </w:pPr>
    <w:rPr>
      <w:b w:val="0"/>
      <w:sz w:val="20"/>
      <w:szCs w:val="20"/>
    </w:rPr>
  </w:style>
  <w:style w:type="paragraph" w:styleId="Rientrocorpodeltesto">
    <w:name w:val="Body Text Indent"/>
    <w:basedOn w:val="Normale"/>
    <w:link w:val="RientrocorpodeltestoCarattere"/>
    <w:uiPriority w:val="99"/>
    <w:unhideWhenUsed/>
    <w:rsid w:val="00A53D09"/>
    <w:pPr>
      <w:spacing w:after="120"/>
      <w:ind w:left="283"/>
    </w:pPr>
  </w:style>
  <w:style w:type="character" w:customStyle="1" w:styleId="RientrocorpodeltestoCarattere">
    <w:name w:val="Rientro corpo del testo Carattere"/>
    <w:link w:val="Rientrocorpodeltesto"/>
    <w:uiPriority w:val="99"/>
    <w:rsid w:val="00A53D09"/>
    <w:rPr>
      <w:kern w:val="28"/>
    </w:rPr>
  </w:style>
  <w:style w:type="character" w:customStyle="1" w:styleId="st">
    <w:name w:val="st"/>
    <w:rsid w:val="00431975"/>
  </w:style>
  <w:style w:type="paragraph" w:styleId="Corpodeltesto3">
    <w:name w:val="Body Text 3"/>
    <w:basedOn w:val="Normale"/>
    <w:link w:val="Corpodeltesto3Carattere"/>
    <w:rsid w:val="000B233D"/>
    <w:pPr>
      <w:spacing w:after="120"/>
    </w:pPr>
    <w:rPr>
      <w:sz w:val="16"/>
      <w:szCs w:val="16"/>
    </w:rPr>
  </w:style>
  <w:style w:type="character" w:customStyle="1" w:styleId="Corpodeltesto3Carattere">
    <w:name w:val="Corpo del testo 3 Carattere"/>
    <w:link w:val="Corpodeltesto3"/>
    <w:rsid w:val="000B233D"/>
    <w:rPr>
      <w:sz w:val="16"/>
      <w:szCs w:val="16"/>
    </w:rPr>
  </w:style>
  <w:style w:type="paragraph" w:customStyle="1" w:styleId="Corpotesto1">
    <w:name w:val="Corpo testo1"/>
    <w:basedOn w:val="Normale"/>
    <w:rsid w:val="00AE6AE5"/>
    <w:pPr>
      <w:jc w:val="both"/>
    </w:pPr>
    <w:rPr>
      <w:b/>
      <w:lang w:val="en-US" w:eastAsia="en-US"/>
    </w:rPr>
  </w:style>
  <w:style w:type="paragraph" w:styleId="Corpodeltesto2">
    <w:name w:val="Body Text 2"/>
    <w:basedOn w:val="Normale"/>
    <w:link w:val="Corpodeltesto2Carattere"/>
    <w:rsid w:val="00833A77"/>
    <w:pPr>
      <w:spacing w:after="120" w:line="480" w:lineRule="auto"/>
    </w:pPr>
  </w:style>
  <w:style w:type="character" w:customStyle="1" w:styleId="Corpodeltesto2Carattere">
    <w:name w:val="Corpo del testo 2 Carattere"/>
    <w:link w:val="Corpodeltesto2"/>
    <w:rsid w:val="00833A77"/>
    <w:rPr>
      <w:kern w:val="28"/>
    </w:rPr>
  </w:style>
  <w:style w:type="paragraph" w:customStyle="1" w:styleId="Corpodeltesto1">
    <w:name w:val="Corpo del testo1"/>
    <w:basedOn w:val="Normale"/>
    <w:rsid w:val="00833A77"/>
    <w:pPr>
      <w:jc w:val="both"/>
    </w:pPr>
    <w:rPr>
      <w:b/>
    </w:rPr>
  </w:style>
  <w:style w:type="character" w:customStyle="1" w:styleId="Titolo2Carattere">
    <w:name w:val="Titolo 2 Carattere"/>
    <w:link w:val="Titolo2"/>
    <w:semiHidden/>
    <w:rsid w:val="00BF702B"/>
    <w:rPr>
      <w:rFonts w:ascii="Cambria" w:eastAsia="Times New Roman" w:hAnsi="Cambria" w:cs="Times New Roman"/>
      <w:b/>
      <w:bCs/>
      <w:i/>
      <w:iCs/>
      <w:kern w:val="28"/>
      <w:sz w:val="28"/>
      <w:szCs w:val="28"/>
    </w:rPr>
  </w:style>
  <w:style w:type="paragraph" w:customStyle="1" w:styleId="Rientrocorpodeltesto31">
    <w:name w:val="Rientro corpo del testo 31"/>
    <w:basedOn w:val="Normale"/>
    <w:uiPriority w:val="99"/>
    <w:rsid w:val="000A2E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exact"/>
      <w:ind w:left="-567"/>
      <w:jc w:val="both"/>
    </w:pPr>
    <w:rPr>
      <w:spacing w:val="-3"/>
      <w:sz w:val="22"/>
      <w:lang w:eastAsia="ar-SA"/>
    </w:rPr>
  </w:style>
  <w:style w:type="paragraph" w:styleId="Paragrafoelenco">
    <w:name w:val="List Paragraph"/>
    <w:basedOn w:val="Normale"/>
    <w:link w:val="ParagrafoelencoCarattere"/>
    <w:uiPriority w:val="34"/>
    <w:qFormat/>
    <w:rsid w:val="000A2EFD"/>
    <w:pPr>
      <w:tabs>
        <w:tab w:val="left" w:pos="426"/>
      </w:tabs>
      <w:spacing w:after="120"/>
      <w:ind w:left="720"/>
      <w:contextualSpacing/>
      <w:jc w:val="both"/>
    </w:pPr>
    <w:rPr>
      <w:rFonts w:ascii="Calibri" w:hAnsi="Calibri" w:cs="Calibri"/>
      <w:color w:val="000000"/>
      <w:lang w:eastAsia="zh-CN"/>
    </w:rPr>
  </w:style>
  <w:style w:type="character" w:customStyle="1" w:styleId="ParagrafoelencoCarattere">
    <w:name w:val="Paragrafo elenco Carattere"/>
    <w:link w:val="Paragrafoelenco"/>
    <w:uiPriority w:val="34"/>
    <w:rsid w:val="000A2EFD"/>
    <w:rPr>
      <w:rFonts w:ascii="Calibri" w:hAnsi="Calibri" w:cs="Calibri"/>
      <w:color w:val="000000"/>
      <w:sz w:val="24"/>
      <w:szCs w:val="24"/>
      <w:lang w:eastAsia="zh-CN"/>
    </w:rPr>
  </w:style>
  <w:style w:type="table" w:styleId="Sfondomedio2-Colore5">
    <w:name w:val="Medium Shading 2 Accent 5"/>
    <w:basedOn w:val="Tabellanormale"/>
    <w:uiPriority w:val="64"/>
    <w:rsid w:val="000A2EFD"/>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itolo8Carattere">
    <w:name w:val="Titolo 8 Carattere"/>
    <w:link w:val="Titolo8"/>
    <w:rsid w:val="003A6105"/>
    <w:rPr>
      <w:rFonts w:ascii="Calibri" w:eastAsia="Times New Roman" w:hAnsi="Calibri" w:cs="Times New Roman"/>
      <w:i/>
      <w:iCs/>
      <w:kern w:val="28"/>
      <w:sz w:val="24"/>
      <w:szCs w:val="24"/>
    </w:rPr>
  </w:style>
  <w:style w:type="character" w:styleId="Collegamentovisitato">
    <w:name w:val="FollowedHyperlink"/>
    <w:uiPriority w:val="99"/>
    <w:semiHidden/>
    <w:unhideWhenUsed/>
    <w:rsid w:val="00A72740"/>
    <w:rPr>
      <w:color w:val="800080"/>
      <w:u w:val="single"/>
    </w:rPr>
  </w:style>
  <w:style w:type="paragraph" w:styleId="Revisione">
    <w:name w:val="Revision"/>
    <w:hidden/>
    <w:uiPriority w:val="71"/>
    <w:rsid w:val="005301CF"/>
    <w:rPr>
      <w:kern w:val="28"/>
    </w:rPr>
  </w:style>
  <w:style w:type="character" w:customStyle="1" w:styleId="seocontent">
    <w:name w:val="seocontent"/>
    <w:basedOn w:val="Carpredefinitoparagrafo"/>
    <w:rsid w:val="00EF7A93"/>
  </w:style>
  <w:style w:type="character" w:customStyle="1" w:styleId="object">
    <w:name w:val="object"/>
    <w:basedOn w:val="Carpredefinitoparagrafo"/>
    <w:rsid w:val="00A80789"/>
  </w:style>
  <w:style w:type="paragraph" w:customStyle="1" w:styleId="A">
    <w:name w:val="A"/>
    <w:basedOn w:val="Normale"/>
    <w:next w:val="Corpotesto"/>
    <w:uiPriority w:val="99"/>
    <w:rsid w:val="00282B90"/>
    <w:pPr>
      <w:jc w:val="both"/>
    </w:pPr>
    <w:rPr>
      <w:b/>
      <w:lang w:eastAsia="ar-SA"/>
    </w:rPr>
  </w:style>
  <w:style w:type="character" w:customStyle="1" w:styleId="markedcontent">
    <w:name w:val="markedcontent"/>
    <w:basedOn w:val="Carpredefinitoparagrafo"/>
    <w:rsid w:val="00C1395C"/>
  </w:style>
  <w:style w:type="paragraph" w:customStyle="1" w:styleId="Testocorrente">
    <w:name w:val="Testo corrente"/>
    <w:basedOn w:val="Titolo2"/>
    <w:rsid w:val="00501E02"/>
    <w:pPr>
      <w:spacing w:before="0"/>
      <w:jc w:val="both"/>
    </w:pPr>
    <w:rPr>
      <w:rFonts w:ascii="Times New Roman" w:hAnsi="Times New Roman"/>
      <w:bCs w:val="0"/>
      <w:iCs w:val="0"/>
      <w:sz w:val="24"/>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3486">
      <w:bodyDiv w:val="1"/>
      <w:marLeft w:val="0"/>
      <w:marRight w:val="0"/>
      <w:marTop w:val="0"/>
      <w:marBottom w:val="0"/>
      <w:divBdr>
        <w:top w:val="none" w:sz="0" w:space="0" w:color="auto"/>
        <w:left w:val="none" w:sz="0" w:space="0" w:color="auto"/>
        <w:bottom w:val="none" w:sz="0" w:space="0" w:color="auto"/>
        <w:right w:val="none" w:sz="0" w:space="0" w:color="auto"/>
      </w:divBdr>
    </w:div>
    <w:div w:id="6180447">
      <w:bodyDiv w:val="1"/>
      <w:marLeft w:val="0"/>
      <w:marRight w:val="0"/>
      <w:marTop w:val="0"/>
      <w:marBottom w:val="0"/>
      <w:divBdr>
        <w:top w:val="none" w:sz="0" w:space="0" w:color="auto"/>
        <w:left w:val="none" w:sz="0" w:space="0" w:color="auto"/>
        <w:bottom w:val="none" w:sz="0" w:space="0" w:color="auto"/>
        <w:right w:val="none" w:sz="0" w:space="0" w:color="auto"/>
      </w:divBdr>
    </w:div>
    <w:div w:id="29649862">
      <w:bodyDiv w:val="1"/>
      <w:marLeft w:val="0"/>
      <w:marRight w:val="0"/>
      <w:marTop w:val="0"/>
      <w:marBottom w:val="0"/>
      <w:divBdr>
        <w:top w:val="none" w:sz="0" w:space="0" w:color="auto"/>
        <w:left w:val="none" w:sz="0" w:space="0" w:color="auto"/>
        <w:bottom w:val="none" w:sz="0" w:space="0" w:color="auto"/>
        <w:right w:val="none" w:sz="0" w:space="0" w:color="auto"/>
      </w:divBdr>
    </w:div>
    <w:div w:id="69041894">
      <w:bodyDiv w:val="1"/>
      <w:marLeft w:val="0"/>
      <w:marRight w:val="0"/>
      <w:marTop w:val="0"/>
      <w:marBottom w:val="0"/>
      <w:divBdr>
        <w:top w:val="none" w:sz="0" w:space="0" w:color="auto"/>
        <w:left w:val="none" w:sz="0" w:space="0" w:color="auto"/>
        <w:bottom w:val="none" w:sz="0" w:space="0" w:color="auto"/>
        <w:right w:val="none" w:sz="0" w:space="0" w:color="auto"/>
      </w:divBdr>
    </w:div>
    <w:div w:id="72625743">
      <w:bodyDiv w:val="1"/>
      <w:marLeft w:val="0"/>
      <w:marRight w:val="0"/>
      <w:marTop w:val="0"/>
      <w:marBottom w:val="0"/>
      <w:divBdr>
        <w:top w:val="none" w:sz="0" w:space="0" w:color="auto"/>
        <w:left w:val="none" w:sz="0" w:space="0" w:color="auto"/>
        <w:bottom w:val="none" w:sz="0" w:space="0" w:color="auto"/>
        <w:right w:val="none" w:sz="0" w:space="0" w:color="auto"/>
      </w:divBdr>
    </w:div>
    <w:div w:id="81610097">
      <w:bodyDiv w:val="1"/>
      <w:marLeft w:val="0"/>
      <w:marRight w:val="0"/>
      <w:marTop w:val="0"/>
      <w:marBottom w:val="0"/>
      <w:divBdr>
        <w:top w:val="none" w:sz="0" w:space="0" w:color="auto"/>
        <w:left w:val="none" w:sz="0" w:space="0" w:color="auto"/>
        <w:bottom w:val="none" w:sz="0" w:space="0" w:color="auto"/>
        <w:right w:val="none" w:sz="0" w:space="0" w:color="auto"/>
      </w:divBdr>
    </w:div>
    <w:div w:id="111638430">
      <w:bodyDiv w:val="1"/>
      <w:marLeft w:val="0"/>
      <w:marRight w:val="0"/>
      <w:marTop w:val="0"/>
      <w:marBottom w:val="0"/>
      <w:divBdr>
        <w:top w:val="none" w:sz="0" w:space="0" w:color="auto"/>
        <w:left w:val="none" w:sz="0" w:space="0" w:color="auto"/>
        <w:bottom w:val="none" w:sz="0" w:space="0" w:color="auto"/>
        <w:right w:val="none" w:sz="0" w:space="0" w:color="auto"/>
      </w:divBdr>
    </w:div>
    <w:div w:id="163055204">
      <w:bodyDiv w:val="1"/>
      <w:marLeft w:val="0"/>
      <w:marRight w:val="0"/>
      <w:marTop w:val="0"/>
      <w:marBottom w:val="0"/>
      <w:divBdr>
        <w:top w:val="none" w:sz="0" w:space="0" w:color="auto"/>
        <w:left w:val="none" w:sz="0" w:space="0" w:color="auto"/>
        <w:bottom w:val="none" w:sz="0" w:space="0" w:color="auto"/>
        <w:right w:val="none" w:sz="0" w:space="0" w:color="auto"/>
      </w:divBdr>
      <w:divsChild>
        <w:div w:id="72774841">
          <w:marLeft w:val="0"/>
          <w:marRight w:val="0"/>
          <w:marTop w:val="0"/>
          <w:marBottom w:val="0"/>
          <w:divBdr>
            <w:top w:val="none" w:sz="0" w:space="0" w:color="auto"/>
            <w:left w:val="none" w:sz="0" w:space="0" w:color="auto"/>
            <w:bottom w:val="none" w:sz="0" w:space="0" w:color="auto"/>
            <w:right w:val="none" w:sz="0" w:space="0" w:color="auto"/>
          </w:divBdr>
        </w:div>
        <w:div w:id="112676843">
          <w:marLeft w:val="0"/>
          <w:marRight w:val="0"/>
          <w:marTop w:val="0"/>
          <w:marBottom w:val="0"/>
          <w:divBdr>
            <w:top w:val="none" w:sz="0" w:space="0" w:color="auto"/>
            <w:left w:val="none" w:sz="0" w:space="0" w:color="auto"/>
            <w:bottom w:val="none" w:sz="0" w:space="0" w:color="auto"/>
            <w:right w:val="none" w:sz="0" w:space="0" w:color="auto"/>
          </w:divBdr>
        </w:div>
        <w:div w:id="135799169">
          <w:marLeft w:val="0"/>
          <w:marRight w:val="0"/>
          <w:marTop w:val="0"/>
          <w:marBottom w:val="0"/>
          <w:divBdr>
            <w:top w:val="none" w:sz="0" w:space="0" w:color="auto"/>
            <w:left w:val="none" w:sz="0" w:space="0" w:color="auto"/>
            <w:bottom w:val="none" w:sz="0" w:space="0" w:color="auto"/>
            <w:right w:val="none" w:sz="0" w:space="0" w:color="auto"/>
          </w:divBdr>
        </w:div>
        <w:div w:id="1033112804">
          <w:marLeft w:val="0"/>
          <w:marRight w:val="0"/>
          <w:marTop w:val="0"/>
          <w:marBottom w:val="0"/>
          <w:divBdr>
            <w:top w:val="none" w:sz="0" w:space="0" w:color="auto"/>
            <w:left w:val="none" w:sz="0" w:space="0" w:color="auto"/>
            <w:bottom w:val="none" w:sz="0" w:space="0" w:color="auto"/>
            <w:right w:val="none" w:sz="0" w:space="0" w:color="auto"/>
          </w:divBdr>
        </w:div>
        <w:div w:id="1521511708">
          <w:marLeft w:val="0"/>
          <w:marRight w:val="0"/>
          <w:marTop w:val="0"/>
          <w:marBottom w:val="0"/>
          <w:divBdr>
            <w:top w:val="none" w:sz="0" w:space="0" w:color="auto"/>
            <w:left w:val="none" w:sz="0" w:space="0" w:color="auto"/>
            <w:bottom w:val="none" w:sz="0" w:space="0" w:color="auto"/>
            <w:right w:val="none" w:sz="0" w:space="0" w:color="auto"/>
          </w:divBdr>
        </w:div>
      </w:divsChild>
    </w:div>
    <w:div w:id="190270577">
      <w:bodyDiv w:val="1"/>
      <w:marLeft w:val="0"/>
      <w:marRight w:val="0"/>
      <w:marTop w:val="0"/>
      <w:marBottom w:val="0"/>
      <w:divBdr>
        <w:top w:val="none" w:sz="0" w:space="0" w:color="auto"/>
        <w:left w:val="none" w:sz="0" w:space="0" w:color="auto"/>
        <w:bottom w:val="none" w:sz="0" w:space="0" w:color="auto"/>
        <w:right w:val="none" w:sz="0" w:space="0" w:color="auto"/>
      </w:divBdr>
    </w:div>
    <w:div w:id="190531945">
      <w:bodyDiv w:val="1"/>
      <w:marLeft w:val="0"/>
      <w:marRight w:val="0"/>
      <w:marTop w:val="0"/>
      <w:marBottom w:val="0"/>
      <w:divBdr>
        <w:top w:val="none" w:sz="0" w:space="0" w:color="auto"/>
        <w:left w:val="none" w:sz="0" w:space="0" w:color="auto"/>
        <w:bottom w:val="none" w:sz="0" w:space="0" w:color="auto"/>
        <w:right w:val="none" w:sz="0" w:space="0" w:color="auto"/>
      </w:divBdr>
    </w:div>
    <w:div w:id="193345705">
      <w:bodyDiv w:val="1"/>
      <w:marLeft w:val="0"/>
      <w:marRight w:val="0"/>
      <w:marTop w:val="0"/>
      <w:marBottom w:val="0"/>
      <w:divBdr>
        <w:top w:val="none" w:sz="0" w:space="0" w:color="auto"/>
        <w:left w:val="none" w:sz="0" w:space="0" w:color="auto"/>
        <w:bottom w:val="none" w:sz="0" w:space="0" w:color="auto"/>
        <w:right w:val="none" w:sz="0" w:space="0" w:color="auto"/>
      </w:divBdr>
    </w:div>
    <w:div w:id="200484480">
      <w:bodyDiv w:val="1"/>
      <w:marLeft w:val="0"/>
      <w:marRight w:val="0"/>
      <w:marTop w:val="0"/>
      <w:marBottom w:val="0"/>
      <w:divBdr>
        <w:top w:val="none" w:sz="0" w:space="0" w:color="auto"/>
        <w:left w:val="none" w:sz="0" w:space="0" w:color="auto"/>
        <w:bottom w:val="none" w:sz="0" w:space="0" w:color="auto"/>
        <w:right w:val="none" w:sz="0" w:space="0" w:color="auto"/>
      </w:divBdr>
      <w:divsChild>
        <w:div w:id="160703322">
          <w:marLeft w:val="0"/>
          <w:marRight w:val="0"/>
          <w:marTop w:val="0"/>
          <w:marBottom w:val="0"/>
          <w:divBdr>
            <w:top w:val="none" w:sz="0" w:space="0" w:color="auto"/>
            <w:left w:val="none" w:sz="0" w:space="0" w:color="auto"/>
            <w:bottom w:val="none" w:sz="0" w:space="0" w:color="auto"/>
            <w:right w:val="none" w:sz="0" w:space="0" w:color="auto"/>
          </w:divBdr>
        </w:div>
        <w:div w:id="506092020">
          <w:marLeft w:val="0"/>
          <w:marRight w:val="0"/>
          <w:marTop w:val="0"/>
          <w:marBottom w:val="0"/>
          <w:divBdr>
            <w:top w:val="none" w:sz="0" w:space="0" w:color="auto"/>
            <w:left w:val="none" w:sz="0" w:space="0" w:color="auto"/>
            <w:bottom w:val="none" w:sz="0" w:space="0" w:color="auto"/>
            <w:right w:val="none" w:sz="0" w:space="0" w:color="auto"/>
          </w:divBdr>
        </w:div>
        <w:div w:id="1243643572">
          <w:marLeft w:val="0"/>
          <w:marRight w:val="0"/>
          <w:marTop w:val="0"/>
          <w:marBottom w:val="0"/>
          <w:divBdr>
            <w:top w:val="none" w:sz="0" w:space="0" w:color="auto"/>
            <w:left w:val="none" w:sz="0" w:space="0" w:color="auto"/>
            <w:bottom w:val="none" w:sz="0" w:space="0" w:color="auto"/>
            <w:right w:val="none" w:sz="0" w:space="0" w:color="auto"/>
          </w:divBdr>
        </w:div>
        <w:div w:id="1941789296">
          <w:marLeft w:val="0"/>
          <w:marRight w:val="0"/>
          <w:marTop w:val="0"/>
          <w:marBottom w:val="0"/>
          <w:divBdr>
            <w:top w:val="none" w:sz="0" w:space="0" w:color="auto"/>
            <w:left w:val="none" w:sz="0" w:space="0" w:color="auto"/>
            <w:bottom w:val="none" w:sz="0" w:space="0" w:color="auto"/>
            <w:right w:val="none" w:sz="0" w:space="0" w:color="auto"/>
          </w:divBdr>
        </w:div>
      </w:divsChild>
    </w:div>
    <w:div w:id="217282464">
      <w:bodyDiv w:val="1"/>
      <w:marLeft w:val="0"/>
      <w:marRight w:val="0"/>
      <w:marTop w:val="0"/>
      <w:marBottom w:val="0"/>
      <w:divBdr>
        <w:top w:val="none" w:sz="0" w:space="0" w:color="auto"/>
        <w:left w:val="none" w:sz="0" w:space="0" w:color="auto"/>
        <w:bottom w:val="none" w:sz="0" w:space="0" w:color="auto"/>
        <w:right w:val="none" w:sz="0" w:space="0" w:color="auto"/>
      </w:divBdr>
    </w:div>
    <w:div w:id="224222885">
      <w:bodyDiv w:val="1"/>
      <w:marLeft w:val="0"/>
      <w:marRight w:val="0"/>
      <w:marTop w:val="0"/>
      <w:marBottom w:val="0"/>
      <w:divBdr>
        <w:top w:val="none" w:sz="0" w:space="0" w:color="auto"/>
        <w:left w:val="none" w:sz="0" w:space="0" w:color="auto"/>
        <w:bottom w:val="none" w:sz="0" w:space="0" w:color="auto"/>
        <w:right w:val="none" w:sz="0" w:space="0" w:color="auto"/>
      </w:divBdr>
    </w:div>
    <w:div w:id="237443218">
      <w:bodyDiv w:val="1"/>
      <w:marLeft w:val="0"/>
      <w:marRight w:val="0"/>
      <w:marTop w:val="0"/>
      <w:marBottom w:val="0"/>
      <w:divBdr>
        <w:top w:val="none" w:sz="0" w:space="0" w:color="auto"/>
        <w:left w:val="none" w:sz="0" w:space="0" w:color="auto"/>
        <w:bottom w:val="none" w:sz="0" w:space="0" w:color="auto"/>
        <w:right w:val="none" w:sz="0" w:space="0" w:color="auto"/>
      </w:divBdr>
    </w:div>
    <w:div w:id="253520606">
      <w:bodyDiv w:val="1"/>
      <w:marLeft w:val="0"/>
      <w:marRight w:val="0"/>
      <w:marTop w:val="0"/>
      <w:marBottom w:val="0"/>
      <w:divBdr>
        <w:top w:val="none" w:sz="0" w:space="0" w:color="auto"/>
        <w:left w:val="none" w:sz="0" w:space="0" w:color="auto"/>
        <w:bottom w:val="none" w:sz="0" w:space="0" w:color="auto"/>
        <w:right w:val="none" w:sz="0" w:space="0" w:color="auto"/>
      </w:divBdr>
    </w:div>
    <w:div w:id="309137912">
      <w:bodyDiv w:val="1"/>
      <w:marLeft w:val="0"/>
      <w:marRight w:val="0"/>
      <w:marTop w:val="0"/>
      <w:marBottom w:val="0"/>
      <w:divBdr>
        <w:top w:val="none" w:sz="0" w:space="0" w:color="auto"/>
        <w:left w:val="none" w:sz="0" w:space="0" w:color="auto"/>
        <w:bottom w:val="none" w:sz="0" w:space="0" w:color="auto"/>
        <w:right w:val="none" w:sz="0" w:space="0" w:color="auto"/>
      </w:divBdr>
    </w:div>
    <w:div w:id="402219072">
      <w:bodyDiv w:val="1"/>
      <w:marLeft w:val="0"/>
      <w:marRight w:val="0"/>
      <w:marTop w:val="0"/>
      <w:marBottom w:val="0"/>
      <w:divBdr>
        <w:top w:val="none" w:sz="0" w:space="0" w:color="auto"/>
        <w:left w:val="none" w:sz="0" w:space="0" w:color="auto"/>
        <w:bottom w:val="none" w:sz="0" w:space="0" w:color="auto"/>
        <w:right w:val="none" w:sz="0" w:space="0" w:color="auto"/>
      </w:divBdr>
    </w:div>
    <w:div w:id="474226301">
      <w:bodyDiv w:val="1"/>
      <w:marLeft w:val="0"/>
      <w:marRight w:val="0"/>
      <w:marTop w:val="0"/>
      <w:marBottom w:val="0"/>
      <w:divBdr>
        <w:top w:val="none" w:sz="0" w:space="0" w:color="auto"/>
        <w:left w:val="none" w:sz="0" w:space="0" w:color="auto"/>
        <w:bottom w:val="none" w:sz="0" w:space="0" w:color="auto"/>
        <w:right w:val="none" w:sz="0" w:space="0" w:color="auto"/>
      </w:divBdr>
    </w:div>
    <w:div w:id="498884580">
      <w:bodyDiv w:val="1"/>
      <w:marLeft w:val="0"/>
      <w:marRight w:val="0"/>
      <w:marTop w:val="0"/>
      <w:marBottom w:val="0"/>
      <w:divBdr>
        <w:top w:val="none" w:sz="0" w:space="0" w:color="auto"/>
        <w:left w:val="none" w:sz="0" w:space="0" w:color="auto"/>
        <w:bottom w:val="none" w:sz="0" w:space="0" w:color="auto"/>
        <w:right w:val="none" w:sz="0" w:space="0" w:color="auto"/>
      </w:divBdr>
    </w:div>
    <w:div w:id="521630806">
      <w:bodyDiv w:val="1"/>
      <w:marLeft w:val="0"/>
      <w:marRight w:val="0"/>
      <w:marTop w:val="0"/>
      <w:marBottom w:val="0"/>
      <w:divBdr>
        <w:top w:val="none" w:sz="0" w:space="0" w:color="auto"/>
        <w:left w:val="none" w:sz="0" w:space="0" w:color="auto"/>
        <w:bottom w:val="none" w:sz="0" w:space="0" w:color="auto"/>
        <w:right w:val="none" w:sz="0" w:space="0" w:color="auto"/>
      </w:divBdr>
    </w:div>
    <w:div w:id="530411729">
      <w:bodyDiv w:val="1"/>
      <w:marLeft w:val="0"/>
      <w:marRight w:val="0"/>
      <w:marTop w:val="0"/>
      <w:marBottom w:val="0"/>
      <w:divBdr>
        <w:top w:val="none" w:sz="0" w:space="0" w:color="auto"/>
        <w:left w:val="none" w:sz="0" w:space="0" w:color="auto"/>
        <w:bottom w:val="none" w:sz="0" w:space="0" w:color="auto"/>
        <w:right w:val="none" w:sz="0" w:space="0" w:color="auto"/>
      </w:divBdr>
    </w:div>
    <w:div w:id="546995541">
      <w:bodyDiv w:val="1"/>
      <w:marLeft w:val="0"/>
      <w:marRight w:val="0"/>
      <w:marTop w:val="0"/>
      <w:marBottom w:val="0"/>
      <w:divBdr>
        <w:top w:val="none" w:sz="0" w:space="0" w:color="auto"/>
        <w:left w:val="none" w:sz="0" w:space="0" w:color="auto"/>
        <w:bottom w:val="none" w:sz="0" w:space="0" w:color="auto"/>
        <w:right w:val="none" w:sz="0" w:space="0" w:color="auto"/>
      </w:divBdr>
    </w:div>
    <w:div w:id="588998793">
      <w:bodyDiv w:val="1"/>
      <w:marLeft w:val="0"/>
      <w:marRight w:val="0"/>
      <w:marTop w:val="0"/>
      <w:marBottom w:val="0"/>
      <w:divBdr>
        <w:top w:val="none" w:sz="0" w:space="0" w:color="auto"/>
        <w:left w:val="none" w:sz="0" w:space="0" w:color="auto"/>
        <w:bottom w:val="none" w:sz="0" w:space="0" w:color="auto"/>
        <w:right w:val="none" w:sz="0" w:space="0" w:color="auto"/>
      </w:divBdr>
    </w:div>
    <w:div w:id="622662056">
      <w:bodyDiv w:val="1"/>
      <w:marLeft w:val="0"/>
      <w:marRight w:val="0"/>
      <w:marTop w:val="0"/>
      <w:marBottom w:val="0"/>
      <w:divBdr>
        <w:top w:val="none" w:sz="0" w:space="0" w:color="auto"/>
        <w:left w:val="none" w:sz="0" w:space="0" w:color="auto"/>
        <w:bottom w:val="none" w:sz="0" w:space="0" w:color="auto"/>
        <w:right w:val="none" w:sz="0" w:space="0" w:color="auto"/>
      </w:divBdr>
    </w:div>
    <w:div w:id="626863010">
      <w:bodyDiv w:val="1"/>
      <w:marLeft w:val="0"/>
      <w:marRight w:val="0"/>
      <w:marTop w:val="0"/>
      <w:marBottom w:val="0"/>
      <w:divBdr>
        <w:top w:val="none" w:sz="0" w:space="0" w:color="auto"/>
        <w:left w:val="none" w:sz="0" w:space="0" w:color="auto"/>
        <w:bottom w:val="none" w:sz="0" w:space="0" w:color="auto"/>
        <w:right w:val="none" w:sz="0" w:space="0" w:color="auto"/>
      </w:divBdr>
    </w:div>
    <w:div w:id="631524876">
      <w:bodyDiv w:val="1"/>
      <w:marLeft w:val="0"/>
      <w:marRight w:val="0"/>
      <w:marTop w:val="0"/>
      <w:marBottom w:val="0"/>
      <w:divBdr>
        <w:top w:val="none" w:sz="0" w:space="0" w:color="auto"/>
        <w:left w:val="none" w:sz="0" w:space="0" w:color="auto"/>
        <w:bottom w:val="none" w:sz="0" w:space="0" w:color="auto"/>
        <w:right w:val="none" w:sz="0" w:space="0" w:color="auto"/>
      </w:divBdr>
    </w:div>
    <w:div w:id="636954640">
      <w:bodyDiv w:val="1"/>
      <w:marLeft w:val="0"/>
      <w:marRight w:val="0"/>
      <w:marTop w:val="0"/>
      <w:marBottom w:val="0"/>
      <w:divBdr>
        <w:top w:val="none" w:sz="0" w:space="0" w:color="auto"/>
        <w:left w:val="none" w:sz="0" w:space="0" w:color="auto"/>
        <w:bottom w:val="none" w:sz="0" w:space="0" w:color="auto"/>
        <w:right w:val="none" w:sz="0" w:space="0" w:color="auto"/>
      </w:divBdr>
    </w:div>
    <w:div w:id="646596715">
      <w:bodyDiv w:val="1"/>
      <w:marLeft w:val="0"/>
      <w:marRight w:val="0"/>
      <w:marTop w:val="0"/>
      <w:marBottom w:val="0"/>
      <w:divBdr>
        <w:top w:val="none" w:sz="0" w:space="0" w:color="auto"/>
        <w:left w:val="none" w:sz="0" w:space="0" w:color="auto"/>
        <w:bottom w:val="none" w:sz="0" w:space="0" w:color="auto"/>
        <w:right w:val="none" w:sz="0" w:space="0" w:color="auto"/>
      </w:divBdr>
    </w:div>
    <w:div w:id="669018745">
      <w:bodyDiv w:val="1"/>
      <w:marLeft w:val="0"/>
      <w:marRight w:val="0"/>
      <w:marTop w:val="0"/>
      <w:marBottom w:val="0"/>
      <w:divBdr>
        <w:top w:val="none" w:sz="0" w:space="0" w:color="auto"/>
        <w:left w:val="none" w:sz="0" w:space="0" w:color="auto"/>
        <w:bottom w:val="none" w:sz="0" w:space="0" w:color="auto"/>
        <w:right w:val="none" w:sz="0" w:space="0" w:color="auto"/>
      </w:divBdr>
    </w:div>
    <w:div w:id="679351289">
      <w:bodyDiv w:val="1"/>
      <w:marLeft w:val="0"/>
      <w:marRight w:val="0"/>
      <w:marTop w:val="0"/>
      <w:marBottom w:val="0"/>
      <w:divBdr>
        <w:top w:val="none" w:sz="0" w:space="0" w:color="auto"/>
        <w:left w:val="none" w:sz="0" w:space="0" w:color="auto"/>
        <w:bottom w:val="none" w:sz="0" w:space="0" w:color="auto"/>
        <w:right w:val="none" w:sz="0" w:space="0" w:color="auto"/>
      </w:divBdr>
    </w:div>
    <w:div w:id="709768472">
      <w:bodyDiv w:val="1"/>
      <w:marLeft w:val="0"/>
      <w:marRight w:val="0"/>
      <w:marTop w:val="0"/>
      <w:marBottom w:val="0"/>
      <w:divBdr>
        <w:top w:val="none" w:sz="0" w:space="0" w:color="auto"/>
        <w:left w:val="none" w:sz="0" w:space="0" w:color="auto"/>
        <w:bottom w:val="none" w:sz="0" w:space="0" w:color="auto"/>
        <w:right w:val="none" w:sz="0" w:space="0" w:color="auto"/>
      </w:divBdr>
    </w:div>
    <w:div w:id="727991793">
      <w:bodyDiv w:val="1"/>
      <w:marLeft w:val="0"/>
      <w:marRight w:val="0"/>
      <w:marTop w:val="0"/>
      <w:marBottom w:val="0"/>
      <w:divBdr>
        <w:top w:val="none" w:sz="0" w:space="0" w:color="auto"/>
        <w:left w:val="none" w:sz="0" w:space="0" w:color="auto"/>
        <w:bottom w:val="none" w:sz="0" w:space="0" w:color="auto"/>
        <w:right w:val="none" w:sz="0" w:space="0" w:color="auto"/>
      </w:divBdr>
    </w:div>
    <w:div w:id="772897932">
      <w:bodyDiv w:val="1"/>
      <w:marLeft w:val="0"/>
      <w:marRight w:val="0"/>
      <w:marTop w:val="0"/>
      <w:marBottom w:val="0"/>
      <w:divBdr>
        <w:top w:val="none" w:sz="0" w:space="0" w:color="auto"/>
        <w:left w:val="none" w:sz="0" w:space="0" w:color="auto"/>
        <w:bottom w:val="none" w:sz="0" w:space="0" w:color="auto"/>
        <w:right w:val="none" w:sz="0" w:space="0" w:color="auto"/>
      </w:divBdr>
    </w:div>
    <w:div w:id="777142644">
      <w:bodyDiv w:val="1"/>
      <w:marLeft w:val="0"/>
      <w:marRight w:val="0"/>
      <w:marTop w:val="0"/>
      <w:marBottom w:val="0"/>
      <w:divBdr>
        <w:top w:val="none" w:sz="0" w:space="0" w:color="auto"/>
        <w:left w:val="none" w:sz="0" w:space="0" w:color="auto"/>
        <w:bottom w:val="none" w:sz="0" w:space="0" w:color="auto"/>
        <w:right w:val="none" w:sz="0" w:space="0" w:color="auto"/>
      </w:divBdr>
    </w:div>
    <w:div w:id="789978370">
      <w:marLeft w:val="0"/>
      <w:marRight w:val="0"/>
      <w:marTop w:val="0"/>
      <w:marBottom w:val="0"/>
      <w:divBdr>
        <w:top w:val="none" w:sz="0" w:space="0" w:color="auto"/>
        <w:left w:val="none" w:sz="0" w:space="0" w:color="auto"/>
        <w:bottom w:val="none" w:sz="0" w:space="0" w:color="auto"/>
        <w:right w:val="none" w:sz="0" w:space="0" w:color="auto"/>
      </w:divBdr>
    </w:div>
    <w:div w:id="789978371">
      <w:marLeft w:val="0"/>
      <w:marRight w:val="0"/>
      <w:marTop w:val="0"/>
      <w:marBottom w:val="0"/>
      <w:divBdr>
        <w:top w:val="none" w:sz="0" w:space="0" w:color="auto"/>
        <w:left w:val="none" w:sz="0" w:space="0" w:color="auto"/>
        <w:bottom w:val="none" w:sz="0" w:space="0" w:color="auto"/>
        <w:right w:val="none" w:sz="0" w:space="0" w:color="auto"/>
      </w:divBdr>
    </w:div>
    <w:div w:id="789978372">
      <w:marLeft w:val="0"/>
      <w:marRight w:val="0"/>
      <w:marTop w:val="0"/>
      <w:marBottom w:val="0"/>
      <w:divBdr>
        <w:top w:val="none" w:sz="0" w:space="0" w:color="auto"/>
        <w:left w:val="none" w:sz="0" w:space="0" w:color="auto"/>
        <w:bottom w:val="none" w:sz="0" w:space="0" w:color="auto"/>
        <w:right w:val="none" w:sz="0" w:space="0" w:color="auto"/>
      </w:divBdr>
    </w:div>
    <w:div w:id="789978373">
      <w:marLeft w:val="0"/>
      <w:marRight w:val="0"/>
      <w:marTop w:val="0"/>
      <w:marBottom w:val="0"/>
      <w:divBdr>
        <w:top w:val="none" w:sz="0" w:space="0" w:color="auto"/>
        <w:left w:val="none" w:sz="0" w:space="0" w:color="auto"/>
        <w:bottom w:val="none" w:sz="0" w:space="0" w:color="auto"/>
        <w:right w:val="none" w:sz="0" w:space="0" w:color="auto"/>
      </w:divBdr>
    </w:div>
    <w:div w:id="789978374">
      <w:marLeft w:val="0"/>
      <w:marRight w:val="0"/>
      <w:marTop w:val="0"/>
      <w:marBottom w:val="0"/>
      <w:divBdr>
        <w:top w:val="none" w:sz="0" w:space="0" w:color="auto"/>
        <w:left w:val="none" w:sz="0" w:space="0" w:color="auto"/>
        <w:bottom w:val="none" w:sz="0" w:space="0" w:color="auto"/>
        <w:right w:val="none" w:sz="0" w:space="0" w:color="auto"/>
      </w:divBdr>
    </w:div>
    <w:div w:id="789978375">
      <w:marLeft w:val="0"/>
      <w:marRight w:val="0"/>
      <w:marTop w:val="0"/>
      <w:marBottom w:val="0"/>
      <w:divBdr>
        <w:top w:val="none" w:sz="0" w:space="0" w:color="auto"/>
        <w:left w:val="none" w:sz="0" w:space="0" w:color="auto"/>
        <w:bottom w:val="none" w:sz="0" w:space="0" w:color="auto"/>
        <w:right w:val="none" w:sz="0" w:space="0" w:color="auto"/>
      </w:divBdr>
    </w:div>
    <w:div w:id="789978376">
      <w:marLeft w:val="0"/>
      <w:marRight w:val="0"/>
      <w:marTop w:val="0"/>
      <w:marBottom w:val="0"/>
      <w:divBdr>
        <w:top w:val="none" w:sz="0" w:space="0" w:color="auto"/>
        <w:left w:val="none" w:sz="0" w:space="0" w:color="auto"/>
        <w:bottom w:val="none" w:sz="0" w:space="0" w:color="auto"/>
        <w:right w:val="none" w:sz="0" w:space="0" w:color="auto"/>
      </w:divBdr>
    </w:div>
    <w:div w:id="789978377">
      <w:marLeft w:val="0"/>
      <w:marRight w:val="0"/>
      <w:marTop w:val="0"/>
      <w:marBottom w:val="0"/>
      <w:divBdr>
        <w:top w:val="none" w:sz="0" w:space="0" w:color="auto"/>
        <w:left w:val="none" w:sz="0" w:space="0" w:color="auto"/>
        <w:bottom w:val="none" w:sz="0" w:space="0" w:color="auto"/>
        <w:right w:val="none" w:sz="0" w:space="0" w:color="auto"/>
      </w:divBdr>
    </w:div>
    <w:div w:id="789978378">
      <w:marLeft w:val="0"/>
      <w:marRight w:val="0"/>
      <w:marTop w:val="0"/>
      <w:marBottom w:val="0"/>
      <w:divBdr>
        <w:top w:val="none" w:sz="0" w:space="0" w:color="auto"/>
        <w:left w:val="none" w:sz="0" w:space="0" w:color="auto"/>
        <w:bottom w:val="none" w:sz="0" w:space="0" w:color="auto"/>
        <w:right w:val="none" w:sz="0" w:space="0" w:color="auto"/>
      </w:divBdr>
    </w:div>
    <w:div w:id="789978379">
      <w:marLeft w:val="0"/>
      <w:marRight w:val="0"/>
      <w:marTop w:val="0"/>
      <w:marBottom w:val="0"/>
      <w:divBdr>
        <w:top w:val="none" w:sz="0" w:space="0" w:color="auto"/>
        <w:left w:val="none" w:sz="0" w:space="0" w:color="auto"/>
        <w:bottom w:val="none" w:sz="0" w:space="0" w:color="auto"/>
        <w:right w:val="none" w:sz="0" w:space="0" w:color="auto"/>
      </w:divBdr>
    </w:div>
    <w:div w:id="789978380">
      <w:marLeft w:val="0"/>
      <w:marRight w:val="0"/>
      <w:marTop w:val="0"/>
      <w:marBottom w:val="0"/>
      <w:divBdr>
        <w:top w:val="none" w:sz="0" w:space="0" w:color="auto"/>
        <w:left w:val="none" w:sz="0" w:space="0" w:color="auto"/>
        <w:bottom w:val="none" w:sz="0" w:space="0" w:color="auto"/>
        <w:right w:val="none" w:sz="0" w:space="0" w:color="auto"/>
      </w:divBdr>
    </w:div>
    <w:div w:id="789978381">
      <w:marLeft w:val="0"/>
      <w:marRight w:val="0"/>
      <w:marTop w:val="0"/>
      <w:marBottom w:val="0"/>
      <w:divBdr>
        <w:top w:val="none" w:sz="0" w:space="0" w:color="auto"/>
        <w:left w:val="none" w:sz="0" w:space="0" w:color="auto"/>
        <w:bottom w:val="none" w:sz="0" w:space="0" w:color="auto"/>
        <w:right w:val="none" w:sz="0" w:space="0" w:color="auto"/>
      </w:divBdr>
    </w:div>
    <w:div w:id="789978382">
      <w:marLeft w:val="0"/>
      <w:marRight w:val="0"/>
      <w:marTop w:val="0"/>
      <w:marBottom w:val="0"/>
      <w:divBdr>
        <w:top w:val="none" w:sz="0" w:space="0" w:color="auto"/>
        <w:left w:val="none" w:sz="0" w:space="0" w:color="auto"/>
        <w:bottom w:val="none" w:sz="0" w:space="0" w:color="auto"/>
        <w:right w:val="none" w:sz="0" w:space="0" w:color="auto"/>
      </w:divBdr>
    </w:div>
    <w:div w:id="789978383">
      <w:marLeft w:val="0"/>
      <w:marRight w:val="0"/>
      <w:marTop w:val="0"/>
      <w:marBottom w:val="0"/>
      <w:divBdr>
        <w:top w:val="none" w:sz="0" w:space="0" w:color="auto"/>
        <w:left w:val="none" w:sz="0" w:space="0" w:color="auto"/>
        <w:bottom w:val="none" w:sz="0" w:space="0" w:color="auto"/>
        <w:right w:val="none" w:sz="0" w:space="0" w:color="auto"/>
      </w:divBdr>
    </w:div>
    <w:div w:id="789978384">
      <w:marLeft w:val="0"/>
      <w:marRight w:val="0"/>
      <w:marTop w:val="0"/>
      <w:marBottom w:val="0"/>
      <w:divBdr>
        <w:top w:val="none" w:sz="0" w:space="0" w:color="auto"/>
        <w:left w:val="none" w:sz="0" w:space="0" w:color="auto"/>
        <w:bottom w:val="none" w:sz="0" w:space="0" w:color="auto"/>
        <w:right w:val="none" w:sz="0" w:space="0" w:color="auto"/>
      </w:divBdr>
    </w:div>
    <w:div w:id="789978385">
      <w:marLeft w:val="0"/>
      <w:marRight w:val="0"/>
      <w:marTop w:val="0"/>
      <w:marBottom w:val="0"/>
      <w:divBdr>
        <w:top w:val="none" w:sz="0" w:space="0" w:color="auto"/>
        <w:left w:val="none" w:sz="0" w:space="0" w:color="auto"/>
        <w:bottom w:val="none" w:sz="0" w:space="0" w:color="auto"/>
        <w:right w:val="none" w:sz="0" w:space="0" w:color="auto"/>
      </w:divBdr>
    </w:div>
    <w:div w:id="789978386">
      <w:marLeft w:val="0"/>
      <w:marRight w:val="0"/>
      <w:marTop w:val="0"/>
      <w:marBottom w:val="0"/>
      <w:divBdr>
        <w:top w:val="none" w:sz="0" w:space="0" w:color="auto"/>
        <w:left w:val="none" w:sz="0" w:space="0" w:color="auto"/>
        <w:bottom w:val="none" w:sz="0" w:space="0" w:color="auto"/>
        <w:right w:val="none" w:sz="0" w:space="0" w:color="auto"/>
      </w:divBdr>
    </w:div>
    <w:div w:id="789978387">
      <w:marLeft w:val="0"/>
      <w:marRight w:val="0"/>
      <w:marTop w:val="0"/>
      <w:marBottom w:val="0"/>
      <w:divBdr>
        <w:top w:val="none" w:sz="0" w:space="0" w:color="auto"/>
        <w:left w:val="none" w:sz="0" w:space="0" w:color="auto"/>
        <w:bottom w:val="none" w:sz="0" w:space="0" w:color="auto"/>
        <w:right w:val="none" w:sz="0" w:space="0" w:color="auto"/>
      </w:divBdr>
    </w:div>
    <w:div w:id="789978388">
      <w:marLeft w:val="0"/>
      <w:marRight w:val="0"/>
      <w:marTop w:val="0"/>
      <w:marBottom w:val="0"/>
      <w:divBdr>
        <w:top w:val="none" w:sz="0" w:space="0" w:color="auto"/>
        <w:left w:val="none" w:sz="0" w:space="0" w:color="auto"/>
        <w:bottom w:val="none" w:sz="0" w:space="0" w:color="auto"/>
        <w:right w:val="none" w:sz="0" w:space="0" w:color="auto"/>
      </w:divBdr>
    </w:div>
    <w:div w:id="789978389">
      <w:marLeft w:val="0"/>
      <w:marRight w:val="0"/>
      <w:marTop w:val="0"/>
      <w:marBottom w:val="0"/>
      <w:divBdr>
        <w:top w:val="none" w:sz="0" w:space="0" w:color="auto"/>
        <w:left w:val="none" w:sz="0" w:space="0" w:color="auto"/>
        <w:bottom w:val="none" w:sz="0" w:space="0" w:color="auto"/>
        <w:right w:val="none" w:sz="0" w:space="0" w:color="auto"/>
      </w:divBdr>
    </w:div>
    <w:div w:id="789978390">
      <w:marLeft w:val="0"/>
      <w:marRight w:val="0"/>
      <w:marTop w:val="0"/>
      <w:marBottom w:val="0"/>
      <w:divBdr>
        <w:top w:val="none" w:sz="0" w:space="0" w:color="auto"/>
        <w:left w:val="none" w:sz="0" w:space="0" w:color="auto"/>
        <w:bottom w:val="none" w:sz="0" w:space="0" w:color="auto"/>
        <w:right w:val="none" w:sz="0" w:space="0" w:color="auto"/>
      </w:divBdr>
    </w:div>
    <w:div w:id="789978391">
      <w:marLeft w:val="0"/>
      <w:marRight w:val="0"/>
      <w:marTop w:val="0"/>
      <w:marBottom w:val="0"/>
      <w:divBdr>
        <w:top w:val="none" w:sz="0" w:space="0" w:color="auto"/>
        <w:left w:val="none" w:sz="0" w:space="0" w:color="auto"/>
        <w:bottom w:val="none" w:sz="0" w:space="0" w:color="auto"/>
        <w:right w:val="none" w:sz="0" w:space="0" w:color="auto"/>
      </w:divBdr>
    </w:div>
    <w:div w:id="789978392">
      <w:marLeft w:val="0"/>
      <w:marRight w:val="0"/>
      <w:marTop w:val="0"/>
      <w:marBottom w:val="0"/>
      <w:divBdr>
        <w:top w:val="none" w:sz="0" w:space="0" w:color="auto"/>
        <w:left w:val="none" w:sz="0" w:space="0" w:color="auto"/>
        <w:bottom w:val="none" w:sz="0" w:space="0" w:color="auto"/>
        <w:right w:val="none" w:sz="0" w:space="0" w:color="auto"/>
      </w:divBdr>
    </w:div>
    <w:div w:id="789978393">
      <w:marLeft w:val="0"/>
      <w:marRight w:val="0"/>
      <w:marTop w:val="0"/>
      <w:marBottom w:val="0"/>
      <w:divBdr>
        <w:top w:val="none" w:sz="0" w:space="0" w:color="auto"/>
        <w:left w:val="none" w:sz="0" w:space="0" w:color="auto"/>
        <w:bottom w:val="none" w:sz="0" w:space="0" w:color="auto"/>
        <w:right w:val="none" w:sz="0" w:space="0" w:color="auto"/>
      </w:divBdr>
    </w:div>
    <w:div w:id="789978394">
      <w:marLeft w:val="0"/>
      <w:marRight w:val="0"/>
      <w:marTop w:val="0"/>
      <w:marBottom w:val="0"/>
      <w:divBdr>
        <w:top w:val="none" w:sz="0" w:space="0" w:color="auto"/>
        <w:left w:val="none" w:sz="0" w:space="0" w:color="auto"/>
        <w:bottom w:val="none" w:sz="0" w:space="0" w:color="auto"/>
        <w:right w:val="none" w:sz="0" w:space="0" w:color="auto"/>
      </w:divBdr>
    </w:div>
    <w:div w:id="789978395">
      <w:marLeft w:val="0"/>
      <w:marRight w:val="0"/>
      <w:marTop w:val="0"/>
      <w:marBottom w:val="0"/>
      <w:divBdr>
        <w:top w:val="none" w:sz="0" w:space="0" w:color="auto"/>
        <w:left w:val="none" w:sz="0" w:space="0" w:color="auto"/>
        <w:bottom w:val="none" w:sz="0" w:space="0" w:color="auto"/>
        <w:right w:val="none" w:sz="0" w:space="0" w:color="auto"/>
      </w:divBdr>
    </w:div>
    <w:div w:id="789978396">
      <w:marLeft w:val="0"/>
      <w:marRight w:val="0"/>
      <w:marTop w:val="0"/>
      <w:marBottom w:val="0"/>
      <w:divBdr>
        <w:top w:val="none" w:sz="0" w:space="0" w:color="auto"/>
        <w:left w:val="none" w:sz="0" w:space="0" w:color="auto"/>
        <w:bottom w:val="none" w:sz="0" w:space="0" w:color="auto"/>
        <w:right w:val="none" w:sz="0" w:space="0" w:color="auto"/>
      </w:divBdr>
    </w:div>
    <w:div w:id="789978397">
      <w:marLeft w:val="0"/>
      <w:marRight w:val="0"/>
      <w:marTop w:val="0"/>
      <w:marBottom w:val="0"/>
      <w:divBdr>
        <w:top w:val="none" w:sz="0" w:space="0" w:color="auto"/>
        <w:left w:val="none" w:sz="0" w:space="0" w:color="auto"/>
        <w:bottom w:val="none" w:sz="0" w:space="0" w:color="auto"/>
        <w:right w:val="none" w:sz="0" w:space="0" w:color="auto"/>
      </w:divBdr>
    </w:div>
    <w:div w:id="789978398">
      <w:marLeft w:val="0"/>
      <w:marRight w:val="0"/>
      <w:marTop w:val="0"/>
      <w:marBottom w:val="0"/>
      <w:divBdr>
        <w:top w:val="none" w:sz="0" w:space="0" w:color="auto"/>
        <w:left w:val="none" w:sz="0" w:space="0" w:color="auto"/>
        <w:bottom w:val="none" w:sz="0" w:space="0" w:color="auto"/>
        <w:right w:val="none" w:sz="0" w:space="0" w:color="auto"/>
      </w:divBdr>
    </w:div>
    <w:div w:id="789978399">
      <w:marLeft w:val="0"/>
      <w:marRight w:val="0"/>
      <w:marTop w:val="0"/>
      <w:marBottom w:val="0"/>
      <w:divBdr>
        <w:top w:val="none" w:sz="0" w:space="0" w:color="auto"/>
        <w:left w:val="none" w:sz="0" w:space="0" w:color="auto"/>
        <w:bottom w:val="none" w:sz="0" w:space="0" w:color="auto"/>
        <w:right w:val="none" w:sz="0" w:space="0" w:color="auto"/>
      </w:divBdr>
    </w:div>
    <w:div w:id="789978400">
      <w:marLeft w:val="0"/>
      <w:marRight w:val="0"/>
      <w:marTop w:val="0"/>
      <w:marBottom w:val="0"/>
      <w:divBdr>
        <w:top w:val="none" w:sz="0" w:space="0" w:color="auto"/>
        <w:left w:val="none" w:sz="0" w:space="0" w:color="auto"/>
        <w:bottom w:val="none" w:sz="0" w:space="0" w:color="auto"/>
        <w:right w:val="none" w:sz="0" w:space="0" w:color="auto"/>
      </w:divBdr>
    </w:div>
    <w:div w:id="789978401">
      <w:marLeft w:val="0"/>
      <w:marRight w:val="0"/>
      <w:marTop w:val="0"/>
      <w:marBottom w:val="0"/>
      <w:divBdr>
        <w:top w:val="none" w:sz="0" w:space="0" w:color="auto"/>
        <w:left w:val="none" w:sz="0" w:space="0" w:color="auto"/>
        <w:bottom w:val="none" w:sz="0" w:space="0" w:color="auto"/>
        <w:right w:val="none" w:sz="0" w:space="0" w:color="auto"/>
      </w:divBdr>
    </w:div>
    <w:div w:id="789978402">
      <w:marLeft w:val="0"/>
      <w:marRight w:val="0"/>
      <w:marTop w:val="0"/>
      <w:marBottom w:val="0"/>
      <w:divBdr>
        <w:top w:val="none" w:sz="0" w:space="0" w:color="auto"/>
        <w:left w:val="none" w:sz="0" w:space="0" w:color="auto"/>
        <w:bottom w:val="none" w:sz="0" w:space="0" w:color="auto"/>
        <w:right w:val="none" w:sz="0" w:space="0" w:color="auto"/>
      </w:divBdr>
    </w:div>
    <w:div w:id="789978403">
      <w:marLeft w:val="0"/>
      <w:marRight w:val="0"/>
      <w:marTop w:val="0"/>
      <w:marBottom w:val="0"/>
      <w:divBdr>
        <w:top w:val="none" w:sz="0" w:space="0" w:color="auto"/>
        <w:left w:val="none" w:sz="0" w:space="0" w:color="auto"/>
        <w:bottom w:val="none" w:sz="0" w:space="0" w:color="auto"/>
        <w:right w:val="none" w:sz="0" w:space="0" w:color="auto"/>
      </w:divBdr>
    </w:div>
    <w:div w:id="789978404">
      <w:marLeft w:val="0"/>
      <w:marRight w:val="0"/>
      <w:marTop w:val="0"/>
      <w:marBottom w:val="0"/>
      <w:divBdr>
        <w:top w:val="none" w:sz="0" w:space="0" w:color="auto"/>
        <w:left w:val="none" w:sz="0" w:space="0" w:color="auto"/>
        <w:bottom w:val="none" w:sz="0" w:space="0" w:color="auto"/>
        <w:right w:val="none" w:sz="0" w:space="0" w:color="auto"/>
      </w:divBdr>
    </w:div>
    <w:div w:id="789978405">
      <w:marLeft w:val="0"/>
      <w:marRight w:val="0"/>
      <w:marTop w:val="0"/>
      <w:marBottom w:val="0"/>
      <w:divBdr>
        <w:top w:val="none" w:sz="0" w:space="0" w:color="auto"/>
        <w:left w:val="none" w:sz="0" w:space="0" w:color="auto"/>
        <w:bottom w:val="none" w:sz="0" w:space="0" w:color="auto"/>
        <w:right w:val="none" w:sz="0" w:space="0" w:color="auto"/>
      </w:divBdr>
    </w:div>
    <w:div w:id="789978406">
      <w:marLeft w:val="0"/>
      <w:marRight w:val="0"/>
      <w:marTop w:val="0"/>
      <w:marBottom w:val="0"/>
      <w:divBdr>
        <w:top w:val="none" w:sz="0" w:space="0" w:color="auto"/>
        <w:left w:val="none" w:sz="0" w:space="0" w:color="auto"/>
        <w:bottom w:val="none" w:sz="0" w:space="0" w:color="auto"/>
        <w:right w:val="none" w:sz="0" w:space="0" w:color="auto"/>
      </w:divBdr>
    </w:div>
    <w:div w:id="789978407">
      <w:marLeft w:val="0"/>
      <w:marRight w:val="0"/>
      <w:marTop w:val="0"/>
      <w:marBottom w:val="0"/>
      <w:divBdr>
        <w:top w:val="none" w:sz="0" w:space="0" w:color="auto"/>
        <w:left w:val="none" w:sz="0" w:space="0" w:color="auto"/>
        <w:bottom w:val="none" w:sz="0" w:space="0" w:color="auto"/>
        <w:right w:val="none" w:sz="0" w:space="0" w:color="auto"/>
      </w:divBdr>
    </w:div>
    <w:div w:id="789978408">
      <w:marLeft w:val="0"/>
      <w:marRight w:val="0"/>
      <w:marTop w:val="0"/>
      <w:marBottom w:val="0"/>
      <w:divBdr>
        <w:top w:val="none" w:sz="0" w:space="0" w:color="auto"/>
        <w:left w:val="none" w:sz="0" w:space="0" w:color="auto"/>
        <w:bottom w:val="none" w:sz="0" w:space="0" w:color="auto"/>
        <w:right w:val="none" w:sz="0" w:space="0" w:color="auto"/>
      </w:divBdr>
    </w:div>
    <w:div w:id="789978409">
      <w:marLeft w:val="0"/>
      <w:marRight w:val="0"/>
      <w:marTop w:val="0"/>
      <w:marBottom w:val="0"/>
      <w:divBdr>
        <w:top w:val="none" w:sz="0" w:space="0" w:color="auto"/>
        <w:left w:val="none" w:sz="0" w:space="0" w:color="auto"/>
        <w:bottom w:val="none" w:sz="0" w:space="0" w:color="auto"/>
        <w:right w:val="none" w:sz="0" w:space="0" w:color="auto"/>
      </w:divBdr>
    </w:div>
    <w:div w:id="789978410">
      <w:marLeft w:val="0"/>
      <w:marRight w:val="0"/>
      <w:marTop w:val="0"/>
      <w:marBottom w:val="0"/>
      <w:divBdr>
        <w:top w:val="none" w:sz="0" w:space="0" w:color="auto"/>
        <w:left w:val="none" w:sz="0" w:space="0" w:color="auto"/>
        <w:bottom w:val="none" w:sz="0" w:space="0" w:color="auto"/>
        <w:right w:val="none" w:sz="0" w:space="0" w:color="auto"/>
      </w:divBdr>
    </w:div>
    <w:div w:id="789978411">
      <w:marLeft w:val="0"/>
      <w:marRight w:val="0"/>
      <w:marTop w:val="0"/>
      <w:marBottom w:val="0"/>
      <w:divBdr>
        <w:top w:val="none" w:sz="0" w:space="0" w:color="auto"/>
        <w:left w:val="none" w:sz="0" w:space="0" w:color="auto"/>
        <w:bottom w:val="none" w:sz="0" w:space="0" w:color="auto"/>
        <w:right w:val="none" w:sz="0" w:space="0" w:color="auto"/>
      </w:divBdr>
    </w:div>
    <w:div w:id="789978412">
      <w:marLeft w:val="0"/>
      <w:marRight w:val="0"/>
      <w:marTop w:val="0"/>
      <w:marBottom w:val="0"/>
      <w:divBdr>
        <w:top w:val="none" w:sz="0" w:space="0" w:color="auto"/>
        <w:left w:val="none" w:sz="0" w:space="0" w:color="auto"/>
        <w:bottom w:val="none" w:sz="0" w:space="0" w:color="auto"/>
        <w:right w:val="none" w:sz="0" w:space="0" w:color="auto"/>
      </w:divBdr>
    </w:div>
    <w:div w:id="789978413">
      <w:marLeft w:val="0"/>
      <w:marRight w:val="0"/>
      <w:marTop w:val="0"/>
      <w:marBottom w:val="0"/>
      <w:divBdr>
        <w:top w:val="none" w:sz="0" w:space="0" w:color="auto"/>
        <w:left w:val="none" w:sz="0" w:space="0" w:color="auto"/>
        <w:bottom w:val="none" w:sz="0" w:space="0" w:color="auto"/>
        <w:right w:val="none" w:sz="0" w:space="0" w:color="auto"/>
      </w:divBdr>
    </w:div>
    <w:div w:id="789978414">
      <w:marLeft w:val="0"/>
      <w:marRight w:val="0"/>
      <w:marTop w:val="0"/>
      <w:marBottom w:val="0"/>
      <w:divBdr>
        <w:top w:val="none" w:sz="0" w:space="0" w:color="auto"/>
        <w:left w:val="none" w:sz="0" w:space="0" w:color="auto"/>
        <w:bottom w:val="none" w:sz="0" w:space="0" w:color="auto"/>
        <w:right w:val="none" w:sz="0" w:space="0" w:color="auto"/>
      </w:divBdr>
    </w:div>
    <w:div w:id="789978415">
      <w:marLeft w:val="0"/>
      <w:marRight w:val="0"/>
      <w:marTop w:val="0"/>
      <w:marBottom w:val="0"/>
      <w:divBdr>
        <w:top w:val="none" w:sz="0" w:space="0" w:color="auto"/>
        <w:left w:val="none" w:sz="0" w:space="0" w:color="auto"/>
        <w:bottom w:val="none" w:sz="0" w:space="0" w:color="auto"/>
        <w:right w:val="none" w:sz="0" w:space="0" w:color="auto"/>
      </w:divBdr>
    </w:div>
    <w:div w:id="789978416">
      <w:marLeft w:val="0"/>
      <w:marRight w:val="0"/>
      <w:marTop w:val="0"/>
      <w:marBottom w:val="0"/>
      <w:divBdr>
        <w:top w:val="none" w:sz="0" w:space="0" w:color="auto"/>
        <w:left w:val="none" w:sz="0" w:space="0" w:color="auto"/>
        <w:bottom w:val="none" w:sz="0" w:space="0" w:color="auto"/>
        <w:right w:val="none" w:sz="0" w:space="0" w:color="auto"/>
      </w:divBdr>
    </w:div>
    <w:div w:id="789978417">
      <w:marLeft w:val="0"/>
      <w:marRight w:val="0"/>
      <w:marTop w:val="0"/>
      <w:marBottom w:val="0"/>
      <w:divBdr>
        <w:top w:val="none" w:sz="0" w:space="0" w:color="auto"/>
        <w:left w:val="none" w:sz="0" w:space="0" w:color="auto"/>
        <w:bottom w:val="none" w:sz="0" w:space="0" w:color="auto"/>
        <w:right w:val="none" w:sz="0" w:space="0" w:color="auto"/>
      </w:divBdr>
    </w:div>
    <w:div w:id="789978418">
      <w:marLeft w:val="0"/>
      <w:marRight w:val="0"/>
      <w:marTop w:val="0"/>
      <w:marBottom w:val="0"/>
      <w:divBdr>
        <w:top w:val="none" w:sz="0" w:space="0" w:color="auto"/>
        <w:left w:val="none" w:sz="0" w:space="0" w:color="auto"/>
        <w:bottom w:val="none" w:sz="0" w:space="0" w:color="auto"/>
        <w:right w:val="none" w:sz="0" w:space="0" w:color="auto"/>
      </w:divBdr>
    </w:div>
    <w:div w:id="789978419">
      <w:marLeft w:val="0"/>
      <w:marRight w:val="0"/>
      <w:marTop w:val="0"/>
      <w:marBottom w:val="0"/>
      <w:divBdr>
        <w:top w:val="none" w:sz="0" w:space="0" w:color="auto"/>
        <w:left w:val="none" w:sz="0" w:space="0" w:color="auto"/>
        <w:bottom w:val="none" w:sz="0" w:space="0" w:color="auto"/>
        <w:right w:val="none" w:sz="0" w:space="0" w:color="auto"/>
      </w:divBdr>
    </w:div>
    <w:div w:id="789978420">
      <w:marLeft w:val="0"/>
      <w:marRight w:val="0"/>
      <w:marTop w:val="0"/>
      <w:marBottom w:val="0"/>
      <w:divBdr>
        <w:top w:val="none" w:sz="0" w:space="0" w:color="auto"/>
        <w:left w:val="none" w:sz="0" w:space="0" w:color="auto"/>
        <w:bottom w:val="none" w:sz="0" w:space="0" w:color="auto"/>
        <w:right w:val="none" w:sz="0" w:space="0" w:color="auto"/>
      </w:divBdr>
    </w:div>
    <w:div w:id="789978421">
      <w:marLeft w:val="0"/>
      <w:marRight w:val="0"/>
      <w:marTop w:val="0"/>
      <w:marBottom w:val="0"/>
      <w:divBdr>
        <w:top w:val="none" w:sz="0" w:space="0" w:color="auto"/>
        <w:left w:val="none" w:sz="0" w:space="0" w:color="auto"/>
        <w:bottom w:val="none" w:sz="0" w:space="0" w:color="auto"/>
        <w:right w:val="none" w:sz="0" w:space="0" w:color="auto"/>
      </w:divBdr>
    </w:div>
    <w:div w:id="789978422">
      <w:marLeft w:val="0"/>
      <w:marRight w:val="0"/>
      <w:marTop w:val="0"/>
      <w:marBottom w:val="0"/>
      <w:divBdr>
        <w:top w:val="none" w:sz="0" w:space="0" w:color="auto"/>
        <w:left w:val="none" w:sz="0" w:space="0" w:color="auto"/>
        <w:bottom w:val="none" w:sz="0" w:space="0" w:color="auto"/>
        <w:right w:val="none" w:sz="0" w:space="0" w:color="auto"/>
      </w:divBdr>
    </w:div>
    <w:div w:id="789978423">
      <w:marLeft w:val="0"/>
      <w:marRight w:val="0"/>
      <w:marTop w:val="0"/>
      <w:marBottom w:val="0"/>
      <w:divBdr>
        <w:top w:val="none" w:sz="0" w:space="0" w:color="auto"/>
        <w:left w:val="none" w:sz="0" w:space="0" w:color="auto"/>
        <w:bottom w:val="none" w:sz="0" w:space="0" w:color="auto"/>
        <w:right w:val="none" w:sz="0" w:space="0" w:color="auto"/>
      </w:divBdr>
    </w:div>
    <w:div w:id="789978424">
      <w:marLeft w:val="0"/>
      <w:marRight w:val="0"/>
      <w:marTop w:val="0"/>
      <w:marBottom w:val="0"/>
      <w:divBdr>
        <w:top w:val="none" w:sz="0" w:space="0" w:color="auto"/>
        <w:left w:val="none" w:sz="0" w:space="0" w:color="auto"/>
        <w:bottom w:val="none" w:sz="0" w:space="0" w:color="auto"/>
        <w:right w:val="none" w:sz="0" w:space="0" w:color="auto"/>
      </w:divBdr>
    </w:div>
    <w:div w:id="789978425">
      <w:marLeft w:val="0"/>
      <w:marRight w:val="0"/>
      <w:marTop w:val="0"/>
      <w:marBottom w:val="0"/>
      <w:divBdr>
        <w:top w:val="none" w:sz="0" w:space="0" w:color="auto"/>
        <w:left w:val="none" w:sz="0" w:space="0" w:color="auto"/>
        <w:bottom w:val="none" w:sz="0" w:space="0" w:color="auto"/>
        <w:right w:val="none" w:sz="0" w:space="0" w:color="auto"/>
      </w:divBdr>
    </w:div>
    <w:div w:id="789978426">
      <w:marLeft w:val="0"/>
      <w:marRight w:val="0"/>
      <w:marTop w:val="0"/>
      <w:marBottom w:val="0"/>
      <w:divBdr>
        <w:top w:val="none" w:sz="0" w:space="0" w:color="auto"/>
        <w:left w:val="none" w:sz="0" w:space="0" w:color="auto"/>
        <w:bottom w:val="none" w:sz="0" w:space="0" w:color="auto"/>
        <w:right w:val="none" w:sz="0" w:space="0" w:color="auto"/>
      </w:divBdr>
    </w:div>
    <w:div w:id="789978427">
      <w:marLeft w:val="0"/>
      <w:marRight w:val="0"/>
      <w:marTop w:val="0"/>
      <w:marBottom w:val="0"/>
      <w:divBdr>
        <w:top w:val="none" w:sz="0" w:space="0" w:color="auto"/>
        <w:left w:val="none" w:sz="0" w:space="0" w:color="auto"/>
        <w:bottom w:val="none" w:sz="0" w:space="0" w:color="auto"/>
        <w:right w:val="none" w:sz="0" w:space="0" w:color="auto"/>
      </w:divBdr>
    </w:div>
    <w:div w:id="789978428">
      <w:marLeft w:val="0"/>
      <w:marRight w:val="0"/>
      <w:marTop w:val="0"/>
      <w:marBottom w:val="0"/>
      <w:divBdr>
        <w:top w:val="none" w:sz="0" w:space="0" w:color="auto"/>
        <w:left w:val="none" w:sz="0" w:space="0" w:color="auto"/>
        <w:bottom w:val="none" w:sz="0" w:space="0" w:color="auto"/>
        <w:right w:val="none" w:sz="0" w:space="0" w:color="auto"/>
      </w:divBdr>
    </w:div>
    <w:div w:id="789978429">
      <w:marLeft w:val="0"/>
      <w:marRight w:val="0"/>
      <w:marTop w:val="0"/>
      <w:marBottom w:val="0"/>
      <w:divBdr>
        <w:top w:val="none" w:sz="0" w:space="0" w:color="auto"/>
        <w:left w:val="none" w:sz="0" w:space="0" w:color="auto"/>
        <w:bottom w:val="none" w:sz="0" w:space="0" w:color="auto"/>
        <w:right w:val="none" w:sz="0" w:space="0" w:color="auto"/>
      </w:divBdr>
    </w:div>
    <w:div w:id="789978430">
      <w:marLeft w:val="0"/>
      <w:marRight w:val="0"/>
      <w:marTop w:val="0"/>
      <w:marBottom w:val="0"/>
      <w:divBdr>
        <w:top w:val="none" w:sz="0" w:space="0" w:color="auto"/>
        <w:left w:val="none" w:sz="0" w:space="0" w:color="auto"/>
        <w:bottom w:val="none" w:sz="0" w:space="0" w:color="auto"/>
        <w:right w:val="none" w:sz="0" w:space="0" w:color="auto"/>
      </w:divBdr>
    </w:div>
    <w:div w:id="789978431">
      <w:marLeft w:val="0"/>
      <w:marRight w:val="0"/>
      <w:marTop w:val="0"/>
      <w:marBottom w:val="0"/>
      <w:divBdr>
        <w:top w:val="none" w:sz="0" w:space="0" w:color="auto"/>
        <w:left w:val="none" w:sz="0" w:space="0" w:color="auto"/>
        <w:bottom w:val="none" w:sz="0" w:space="0" w:color="auto"/>
        <w:right w:val="none" w:sz="0" w:space="0" w:color="auto"/>
      </w:divBdr>
    </w:div>
    <w:div w:id="789978432">
      <w:marLeft w:val="0"/>
      <w:marRight w:val="0"/>
      <w:marTop w:val="0"/>
      <w:marBottom w:val="0"/>
      <w:divBdr>
        <w:top w:val="none" w:sz="0" w:space="0" w:color="auto"/>
        <w:left w:val="none" w:sz="0" w:space="0" w:color="auto"/>
        <w:bottom w:val="none" w:sz="0" w:space="0" w:color="auto"/>
        <w:right w:val="none" w:sz="0" w:space="0" w:color="auto"/>
      </w:divBdr>
    </w:div>
    <w:div w:id="789978433">
      <w:marLeft w:val="0"/>
      <w:marRight w:val="0"/>
      <w:marTop w:val="0"/>
      <w:marBottom w:val="0"/>
      <w:divBdr>
        <w:top w:val="none" w:sz="0" w:space="0" w:color="auto"/>
        <w:left w:val="none" w:sz="0" w:space="0" w:color="auto"/>
        <w:bottom w:val="none" w:sz="0" w:space="0" w:color="auto"/>
        <w:right w:val="none" w:sz="0" w:space="0" w:color="auto"/>
      </w:divBdr>
    </w:div>
    <w:div w:id="789978434">
      <w:marLeft w:val="0"/>
      <w:marRight w:val="0"/>
      <w:marTop w:val="0"/>
      <w:marBottom w:val="0"/>
      <w:divBdr>
        <w:top w:val="none" w:sz="0" w:space="0" w:color="auto"/>
        <w:left w:val="none" w:sz="0" w:space="0" w:color="auto"/>
        <w:bottom w:val="none" w:sz="0" w:space="0" w:color="auto"/>
        <w:right w:val="none" w:sz="0" w:space="0" w:color="auto"/>
      </w:divBdr>
    </w:div>
    <w:div w:id="789978435">
      <w:marLeft w:val="0"/>
      <w:marRight w:val="0"/>
      <w:marTop w:val="0"/>
      <w:marBottom w:val="0"/>
      <w:divBdr>
        <w:top w:val="none" w:sz="0" w:space="0" w:color="auto"/>
        <w:left w:val="none" w:sz="0" w:space="0" w:color="auto"/>
        <w:bottom w:val="none" w:sz="0" w:space="0" w:color="auto"/>
        <w:right w:val="none" w:sz="0" w:space="0" w:color="auto"/>
      </w:divBdr>
    </w:div>
    <w:div w:id="789978436">
      <w:marLeft w:val="0"/>
      <w:marRight w:val="0"/>
      <w:marTop w:val="0"/>
      <w:marBottom w:val="0"/>
      <w:divBdr>
        <w:top w:val="none" w:sz="0" w:space="0" w:color="auto"/>
        <w:left w:val="none" w:sz="0" w:space="0" w:color="auto"/>
        <w:bottom w:val="none" w:sz="0" w:space="0" w:color="auto"/>
        <w:right w:val="none" w:sz="0" w:space="0" w:color="auto"/>
      </w:divBdr>
    </w:div>
    <w:div w:id="789978437">
      <w:marLeft w:val="0"/>
      <w:marRight w:val="0"/>
      <w:marTop w:val="0"/>
      <w:marBottom w:val="0"/>
      <w:divBdr>
        <w:top w:val="none" w:sz="0" w:space="0" w:color="auto"/>
        <w:left w:val="none" w:sz="0" w:space="0" w:color="auto"/>
        <w:bottom w:val="none" w:sz="0" w:space="0" w:color="auto"/>
        <w:right w:val="none" w:sz="0" w:space="0" w:color="auto"/>
      </w:divBdr>
    </w:div>
    <w:div w:id="789978438">
      <w:marLeft w:val="0"/>
      <w:marRight w:val="0"/>
      <w:marTop w:val="0"/>
      <w:marBottom w:val="0"/>
      <w:divBdr>
        <w:top w:val="none" w:sz="0" w:space="0" w:color="auto"/>
        <w:left w:val="none" w:sz="0" w:space="0" w:color="auto"/>
        <w:bottom w:val="none" w:sz="0" w:space="0" w:color="auto"/>
        <w:right w:val="none" w:sz="0" w:space="0" w:color="auto"/>
      </w:divBdr>
    </w:div>
    <w:div w:id="789978439">
      <w:marLeft w:val="0"/>
      <w:marRight w:val="0"/>
      <w:marTop w:val="0"/>
      <w:marBottom w:val="0"/>
      <w:divBdr>
        <w:top w:val="none" w:sz="0" w:space="0" w:color="auto"/>
        <w:left w:val="none" w:sz="0" w:space="0" w:color="auto"/>
        <w:bottom w:val="none" w:sz="0" w:space="0" w:color="auto"/>
        <w:right w:val="none" w:sz="0" w:space="0" w:color="auto"/>
      </w:divBdr>
    </w:div>
    <w:div w:id="789978440">
      <w:marLeft w:val="0"/>
      <w:marRight w:val="0"/>
      <w:marTop w:val="0"/>
      <w:marBottom w:val="0"/>
      <w:divBdr>
        <w:top w:val="none" w:sz="0" w:space="0" w:color="auto"/>
        <w:left w:val="none" w:sz="0" w:space="0" w:color="auto"/>
        <w:bottom w:val="none" w:sz="0" w:space="0" w:color="auto"/>
        <w:right w:val="none" w:sz="0" w:space="0" w:color="auto"/>
      </w:divBdr>
    </w:div>
    <w:div w:id="789978441">
      <w:marLeft w:val="0"/>
      <w:marRight w:val="0"/>
      <w:marTop w:val="0"/>
      <w:marBottom w:val="0"/>
      <w:divBdr>
        <w:top w:val="none" w:sz="0" w:space="0" w:color="auto"/>
        <w:left w:val="none" w:sz="0" w:space="0" w:color="auto"/>
        <w:bottom w:val="none" w:sz="0" w:space="0" w:color="auto"/>
        <w:right w:val="none" w:sz="0" w:space="0" w:color="auto"/>
      </w:divBdr>
    </w:div>
    <w:div w:id="789978442">
      <w:marLeft w:val="0"/>
      <w:marRight w:val="0"/>
      <w:marTop w:val="0"/>
      <w:marBottom w:val="0"/>
      <w:divBdr>
        <w:top w:val="none" w:sz="0" w:space="0" w:color="auto"/>
        <w:left w:val="none" w:sz="0" w:space="0" w:color="auto"/>
        <w:bottom w:val="none" w:sz="0" w:space="0" w:color="auto"/>
        <w:right w:val="none" w:sz="0" w:space="0" w:color="auto"/>
      </w:divBdr>
    </w:div>
    <w:div w:id="789978443">
      <w:marLeft w:val="0"/>
      <w:marRight w:val="0"/>
      <w:marTop w:val="0"/>
      <w:marBottom w:val="0"/>
      <w:divBdr>
        <w:top w:val="none" w:sz="0" w:space="0" w:color="auto"/>
        <w:left w:val="none" w:sz="0" w:space="0" w:color="auto"/>
        <w:bottom w:val="none" w:sz="0" w:space="0" w:color="auto"/>
        <w:right w:val="none" w:sz="0" w:space="0" w:color="auto"/>
      </w:divBdr>
    </w:div>
    <w:div w:id="789978444">
      <w:marLeft w:val="0"/>
      <w:marRight w:val="0"/>
      <w:marTop w:val="0"/>
      <w:marBottom w:val="0"/>
      <w:divBdr>
        <w:top w:val="none" w:sz="0" w:space="0" w:color="auto"/>
        <w:left w:val="none" w:sz="0" w:space="0" w:color="auto"/>
        <w:bottom w:val="none" w:sz="0" w:space="0" w:color="auto"/>
        <w:right w:val="none" w:sz="0" w:space="0" w:color="auto"/>
      </w:divBdr>
    </w:div>
    <w:div w:id="789978445">
      <w:marLeft w:val="0"/>
      <w:marRight w:val="0"/>
      <w:marTop w:val="0"/>
      <w:marBottom w:val="0"/>
      <w:divBdr>
        <w:top w:val="none" w:sz="0" w:space="0" w:color="auto"/>
        <w:left w:val="none" w:sz="0" w:space="0" w:color="auto"/>
        <w:bottom w:val="none" w:sz="0" w:space="0" w:color="auto"/>
        <w:right w:val="none" w:sz="0" w:space="0" w:color="auto"/>
      </w:divBdr>
    </w:div>
    <w:div w:id="789978446">
      <w:marLeft w:val="0"/>
      <w:marRight w:val="0"/>
      <w:marTop w:val="0"/>
      <w:marBottom w:val="0"/>
      <w:divBdr>
        <w:top w:val="none" w:sz="0" w:space="0" w:color="auto"/>
        <w:left w:val="none" w:sz="0" w:space="0" w:color="auto"/>
        <w:bottom w:val="none" w:sz="0" w:space="0" w:color="auto"/>
        <w:right w:val="none" w:sz="0" w:space="0" w:color="auto"/>
      </w:divBdr>
    </w:div>
    <w:div w:id="789978447">
      <w:marLeft w:val="0"/>
      <w:marRight w:val="0"/>
      <w:marTop w:val="0"/>
      <w:marBottom w:val="0"/>
      <w:divBdr>
        <w:top w:val="none" w:sz="0" w:space="0" w:color="auto"/>
        <w:left w:val="none" w:sz="0" w:space="0" w:color="auto"/>
        <w:bottom w:val="none" w:sz="0" w:space="0" w:color="auto"/>
        <w:right w:val="none" w:sz="0" w:space="0" w:color="auto"/>
      </w:divBdr>
    </w:div>
    <w:div w:id="789978448">
      <w:marLeft w:val="0"/>
      <w:marRight w:val="0"/>
      <w:marTop w:val="0"/>
      <w:marBottom w:val="0"/>
      <w:divBdr>
        <w:top w:val="none" w:sz="0" w:space="0" w:color="auto"/>
        <w:left w:val="none" w:sz="0" w:space="0" w:color="auto"/>
        <w:bottom w:val="none" w:sz="0" w:space="0" w:color="auto"/>
        <w:right w:val="none" w:sz="0" w:space="0" w:color="auto"/>
      </w:divBdr>
    </w:div>
    <w:div w:id="789978449">
      <w:marLeft w:val="0"/>
      <w:marRight w:val="0"/>
      <w:marTop w:val="0"/>
      <w:marBottom w:val="0"/>
      <w:divBdr>
        <w:top w:val="none" w:sz="0" w:space="0" w:color="auto"/>
        <w:left w:val="none" w:sz="0" w:space="0" w:color="auto"/>
        <w:bottom w:val="none" w:sz="0" w:space="0" w:color="auto"/>
        <w:right w:val="none" w:sz="0" w:space="0" w:color="auto"/>
      </w:divBdr>
    </w:div>
    <w:div w:id="789978450">
      <w:marLeft w:val="0"/>
      <w:marRight w:val="0"/>
      <w:marTop w:val="0"/>
      <w:marBottom w:val="0"/>
      <w:divBdr>
        <w:top w:val="none" w:sz="0" w:space="0" w:color="auto"/>
        <w:left w:val="none" w:sz="0" w:space="0" w:color="auto"/>
        <w:bottom w:val="none" w:sz="0" w:space="0" w:color="auto"/>
        <w:right w:val="none" w:sz="0" w:space="0" w:color="auto"/>
      </w:divBdr>
    </w:div>
    <w:div w:id="789978451">
      <w:marLeft w:val="0"/>
      <w:marRight w:val="0"/>
      <w:marTop w:val="0"/>
      <w:marBottom w:val="0"/>
      <w:divBdr>
        <w:top w:val="none" w:sz="0" w:space="0" w:color="auto"/>
        <w:left w:val="none" w:sz="0" w:space="0" w:color="auto"/>
        <w:bottom w:val="none" w:sz="0" w:space="0" w:color="auto"/>
        <w:right w:val="none" w:sz="0" w:space="0" w:color="auto"/>
      </w:divBdr>
    </w:div>
    <w:div w:id="789978452">
      <w:marLeft w:val="0"/>
      <w:marRight w:val="0"/>
      <w:marTop w:val="0"/>
      <w:marBottom w:val="0"/>
      <w:divBdr>
        <w:top w:val="none" w:sz="0" w:space="0" w:color="auto"/>
        <w:left w:val="none" w:sz="0" w:space="0" w:color="auto"/>
        <w:bottom w:val="none" w:sz="0" w:space="0" w:color="auto"/>
        <w:right w:val="none" w:sz="0" w:space="0" w:color="auto"/>
      </w:divBdr>
    </w:div>
    <w:div w:id="789978453">
      <w:marLeft w:val="0"/>
      <w:marRight w:val="0"/>
      <w:marTop w:val="0"/>
      <w:marBottom w:val="0"/>
      <w:divBdr>
        <w:top w:val="none" w:sz="0" w:space="0" w:color="auto"/>
        <w:left w:val="none" w:sz="0" w:space="0" w:color="auto"/>
        <w:bottom w:val="none" w:sz="0" w:space="0" w:color="auto"/>
        <w:right w:val="none" w:sz="0" w:space="0" w:color="auto"/>
      </w:divBdr>
    </w:div>
    <w:div w:id="789978454">
      <w:marLeft w:val="0"/>
      <w:marRight w:val="0"/>
      <w:marTop w:val="0"/>
      <w:marBottom w:val="0"/>
      <w:divBdr>
        <w:top w:val="none" w:sz="0" w:space="0" w:color="auto"/>
        <w:left w:val="none" w:sz="0" w:space="0" w:color="auto"/>
        <w:bottom w:val="none" w:sz="0" w:space="0" w:color="auto"/>
        <w:right w:val="none" w:sz="0" w:space="0" w:color="auto"/>
      </w:divBdr>
    </w:div>
    <w:div w:id="789978455">
      <w:marLeft w:val="0"/>
      <w:marRight w:val="0"/>
      <w:marTop w:val="0"/>
      <w:marBottom w:val="0"/>
      <w:divBdr>
        <w:top w:val="none" w:sz="0" w:space="0" w:color="auto"/>
        <w:left w:val="none" w:sz="0" w:space="0" w:color="auto"/>
        <w:bottom w:val="none" w:sz="0" w:space="0" w:color="auto"/>
        <w:right w:val="none" w:sz="0" w:space="0" w:color="auto"/>
      </w:divBdr>
    </w:div>
    <w:div w:id="789978456">
      <w:marLeft w:val="0"/>
      <w:marRight w:val="0"/>
      <w:marTop w:val="0"/>
      <w:marBottom w:val="0"/>
      <w:divBdr>
        <w:top w:val="none" w:sz="0" w:space="0" w:color="auto"/>
        <w:left w:val="none" w:sz="0" w:space="0" w:color="auto"/>
        <w:bottom w:val="none" w:sz="0" w:space="0" w:color="auto"/>
        <w:right w:val="none" w:sz="0" w:space="0" w:color="auto"/>
      </w:divBdr>
    </w:div>
    <w:div w:id="789978457">
      <w:marLeft w:val="0"/>
      <w:marRight w:val="0"/>
      <w:marTop w:val="0"/>
      <w:marBottom w:val="0"/>
      <w:divBdr>
        <w:top w:val="none" w:sz="0" w:space="0" w:color="auto"/>
        <w:left w:val="none" w:sz="0" w:space="0" w:color="auto"/>
        <w:bottom w:val="none" w:sz="0" w:space="0" w:color="auto"/>
        <w:right w:val="none" w:sz="0" w:space="0" w:color="auto"/>
      </w:divBdr>
    </w:div>
    <w:div w:id="789978458">
      <w:marLeft w:val="0"/>
      <w:marRight w:val="0"/>
      <w:marTop w:val="0"/>
      <w:marBottom w:val="0"/>
      <w:divBdr>
        <w:top w:val="none" w:sz="0" w:space="0" w:color="auto"/>
        <w:left w:val="none" w:sz="0" w:space="0" w:color="auto"/>
        <w:bottom w:val="none" w:sz="0" w:space="0" w:color="auto"/>
        <w:right w:val="none" w:sz="0" w:space="0" w:color="auto"/>
      </w:divBdr>
    </w:div>
    <w:div w:id="789978459">
      <w:marLeft w:val="0"/>
      <w:marRight w:val="0"/>
      <w:marTop w:val="0"/>
      <w:marBottom w:val="0"/>
      <w:divBdr>
        <w:top w:val="none" w:sz="0" w:space="0" w:color="auto"/>
        <w:left w:val="none" w:sz="0" w:space="0" w:color="auto"/>
        <w:bottom w:val="none" w:sz="0" w:space="0" w:color="auto"/>
        <w:right w:val="none" w:sz="0" w:space="0" w:color="auto"/>
      </w:divBdr>
    </w:div>
    <w:div w:id="789978460">
      <w:marLeft w:val="0"/>
      <w:marRight w:val="0"/>
      <w:marTop w:val="0"/>
      <w:marBottom w:val="0"/>
      <w:divBdr>
        <w:top w:val="none" w:sz="0" w:space="0" w:color="auto"/>
        <w:left w:val="none" w:sz="0" w:space="0" w:color="auto"/>
        <w:bottom w:val="none" w:sz="0" w:space="0" w:color="auto"/>
        <w:right w:val="none" w:sz="0" w:space="0" w:color="auto"/>
      </w:divBdr>
    </w:div>
    <w:div w:id="789978461">
      <w:marLeft w:val="0"/>
      <w:marRight w:val="0"/>
      <w:marTop w:val="0"/>
      <w:marBottom w:val="0"/>
      <w:divBdr>
        <w:top w:val="none" w:sz="0" w:space="0" w:color="auto"/>
        <w:left w:val="none" w:sz="0" w:space="0" w:color="auto"/>
        <w:bottom w:val="none" w:sz="0" w:space="0" w:color="auto"/>
        <w:right w:val="none" w:sz="0" w:space="0" w:color="auto"/>
      </w:divBdr>
    </w:div>
    <w:div w:id="789978462">
      <w:marLeft w:val="0"/>
      <w:marRight w:val="0"/>
      <w:marTop w:val="0"/>
      <w:marBottom w:val="0"/>
      <w:divBdr>
        <w:top w:val="none" w:sz="0" w:space="0" w:color="auto"/>
        <w:left w:val="none" w:sz="0" w:space="0" w:color="auto"/>
        <w:bottom w:val="none" w:sz="0" w:space="0" w:color="auto"/>
        <w:right w:val="none" w:sz="0" w:space="0" w:color="auto"/>
      </w:divBdr>
    </w:div>
    <w:div w:id="789978463">
      <w:marLeft w:val="0"/>
      <w:marRight w:val="0"/>
      <w:marTop w:val="0"/>
      <w:marBottom w:val="0"/>
      <w:divBdr>
        <w:top w:val="none" w:sz="0" w:space="0" w:color="auto"/>
        <w:left w:val="none" w:sz="0" w:space="0" w:color="auto"/>
        <w:bottom w:val="none" w:sz="0" w:space="0" w:color="auto"/>
        <w:right w:val="none" w:sz="0" w:space="0" w:color="auto"/>
      </w:divBdr>
    </w:div>
    <w:div w:id="789978464">
      <w:marLeft w:val="0"/>
      <w:marRight w:val="0"/>
      <w:marTop w:val="0"/>
      <w:marBottom w:val="0"/>
      <w:divBdr>
        <w:top w:val="none" w:sz="0" w:space="0" w:color="auto"/>
        <w:left w:val="none" w:sz="0" w:space="0" w:color="auto"/>
        <w:bottom w:val="none" w:sz="0" w:space="0" w:color="auto"/>
        <w:right w:val="none" w:sz="0" w:space="0" w:color="auto"/>
      </w:divBdr>
    </w:div>
    <w:div w:id="789978465">
      <w:marLeft w:val="0"/>
      <w:marRight w:val="0"/>
      <w:marTop w:val="0"/>
      <w:marBottom w:val="0"/>
      <w:divBdr>
        <w:top w:val="none" w:sz="0" w:space="0" w:color="auto"/>
        <w:left w:val="none" w:sz="0" w:space="0" w:color="auto"/>
        <w:bottom w:val="none" w:sz="0" w:space="0" w:color="auto"/>
        <w:right w:val="none" w:sz="0" w:space="0" w:color="auto"/>
      </w:divBdr>
    </w:div>
    <w:div w:id="789978466">
      <w:marLeft w:val="0"/>
      <w:marRight w:val="0"/>
      <w:marTop w:val="0"/>
      <w:marBottom w:val="0"/>
      <w:divBdr>
        <w:top w:val="none" w:sz="0" w:space="0" w:color="auto"/>
        <w:left w:val="none" w:sz="0" w:space="0" w:color="auto"/>
        <w:bottom w:val="none" w:sz="0" w:space="0" w:color="auto"/>
        <w:right w:val="none" w:sz="0" w:space="0" w:color="auto"/>
      </w:divBdr>
    </w:div>
    <w:div w:id="789978467">
      <w:marLeft w:val="0"/>
      <w:marRight w:val="0"/>
      <w:marTop w:val="0"/>
      <w:marBottom w:val="0"/>
      <w:divBdr>
        <w:top w:val="none" w:sz="0" w:space="0" w:color="auto"/>
        <w:left w:val="none" w:sz="0" w:space="0" w:color="auto"/>
        <w:bottom w:val="none" w:sz="0" w:space="0" w:color="auto"/>
        <w:right w:val="none" w:sz="0" w:space="0" w:color="auto"/>
      </w:divBdr>
    </w:div>
    <w:div w:id="795757659">
      <w:bodyDiv w:val="1"/>
      <w:marLeft w:val="0"/>
      <w:marRight w:val="0"/>
      <w:marTop w:val="0"/>
      <w:marBottom w:val="0"/>
      <w:divBdr>
        <w:top w:val="none" w:sz="0" w:space="0" w:color="auto"/>
        <w:left w:val="none" w:sz="0" w:space="0" w:color="auto"/>
        <w:bottom w:val="none" w:sz="0" w:space="0" w:color="auto"/>
        <w:right w:val="none" w:sz="0" w:space="0" w:color="auto"/>
      </w:divBdr>
    </w:div>
    <w:div w:id="814833173">
      <w:bodyDiv w:val="1"/>
      <w:marLeft w:val="0"/>
      <w:marRight w:val="0"/>
      <w:marTop w:val="0"/>
      <w:marBottom w:val="0"/>
      <w:divBdr>
        <w:top w:val="none" w:sz="0" w:space="0" w:color="auto"/>
        <w:left w:val="none" w:sz="0" w:space="0" w:color="auto"/>
        <w:bottom w:val="none" w:sz="0" w:space="0" w:color="auto"/>
        <w:right w:val="none" w:sz="0" w:space="0" w:color="auto"/>
      </w:divBdr>
    </w:div>
    <w:div w:id="814880752">
      <w:bodyDiv w:val="1"/>
      <w:marLeft w:val="0"/>
      <w:marRight w:val="0"/>
      <w:marTop w:val="0"/>
      <w:marBottom w:val="0"/>
      <w:divBdr>
        <w:top w:val="none" w:sz="0" w:space="0" w:color="auto"/>
        <w:left w:val="none" w:sz="0" w:space="0" w:color="auto"/>
        <w:bottom w:val="none" w:sz="0" w:space="0" w:color="auto"/>
        <w:right w:val="none" w:sz="0" w:space="0" w:color="auto"/>
      </w:divBdr>
    </w:div>
    <w:div w:id="816804025">
      <w:bodyDiv w:val="1"/>
      <w:marLeft w:val="0"/>
      <w:marRight w:val="0"/>
      <w:marTop w:val="0"/>
      <w:marBottom w:val="0"/>
      <w:divBdr>
        <w:top w:val="none" w:sz="0" w:space="0" w:color="auto"/>
        <w:left w:val="none" w:sz="0" w:space="0" w:color="auto"/>
        <w:bottom w:val="none" w:sz="0" w:space="0" w:color="auto"/>
        <w:right w:val="none" w:sz="0" w:space="0" w:color="auto"/>
      </w:divBdr>
    </w:div>
    <w:div w:id="841511630">
      <w:bodyDiv w:val="1"/>
      <w:marLeft w:val="0"/>
      <w:marRight w:val="0"/>
      <w:marTop w:val="0"/>
      <w:marBottom w:val="0"/>
      <w:divBdr>
        <w:top w:val="none" w:sz="0" w:space="0" w:color="auto"/>
        <w:left w:val="none" w:sz="0" w:space="0" w:color="auto"/>
        <w:bottom w:val="none" w:sz="0" w:space="0" w:color="auto"/>
        <w:right w:val="none" w:sz="0" w:space="0" w:color="auto"/>
      </w:divBdr>
    </w:div>
    <w:div w:id="860320878">
      <w:bodyDiv w:val="1"/>
      <w:marLeft w:val="0"/>
      <w:marRight w:val="0"/>
      <w:marTop w:val="0"/>
      <w:marBottom w:val="0"/>
      <w:divBdr>
        <w:top w:val="none" w:sz="0" w:space="0" w:color="auto"/>
        <w:left w:val="none" w:sz="0" w:space="0" w:color="auto"/>
        <w:bottom w:val="none" w:sz="0" w:space="0" w:color="auto"/>
        <w:right w:val="none" w:sz="0" w:space="0" w:color="auto"/>
      </w:divBdr>
    </w:div>
    <w:div w:id="863788067">
      <w:bodyDiv w:val="1"/>
      <w:marLeft w:val="0"/>
      <w:marRight w:val="0"/>
      <w:marTop w:val="0"/>
      <w:marBottom w:val="0"/>
      <w:divBdr>
        <w:top w:val="none" w:sz="0" w:space="0" w:color="auto"/>
        <w:left w:val="none" w:sz="0" w:space="0" w:color="auto"/>
        <w:bottom w:val="none" w:sz="0" w:space="0" w:color="auto"/>
        <w:right w:val="none" w:sz="0" w:space="0" w:color="auto"/>
      </w:divBdr>
    </w:div>
    <w:div w:id="905456798">
      <w:bodyDiv w:val="1"/>
      <w:marLeft w:val="0"/>
      <w:marRight w:val="0"/>
      <w:marTop w:val="0"/>
      <w:marBottom w:val="0"/>
      <w:divBdr>
        <w:top w:val="none" w:sz="0" w:space="0" w:color="auto"/>
        <w:left w:val="none" w:sz="0" w:space="0" w:color="auto"/>
        <w:bottom w:val="none" w:sz="0" w:space="0" w:color="auto"/>
        <w:right w:val="none" w:sz="0" w:space="0" w:color="auto"/>
      </w:divBdr>
    </w:div>
    <w:div w:id="914365864">
      <w:bodyDiv w:val="1"/>
      <w:marLeft w:val="0"/>
      <w:marRight w:val="0"/>
      <w:marTop w:val="0"/>
      <w:marBottom w:val="0"/>
      <w:divBdr>
        <w:top w:val="none" w:sz="0" w:space="0" w:color="auto"/>
        <w:left w:val="none" w:sz="0" w:space="0" w:color="auto"/>
        <w:bottom w:val="none" w:sz="0" w:space="0" w:color="auto"/>
        <w:right w:val="none" w:sz="0" w:space="0" w:color="auto"/>
      </w:divBdr>
    </w:div>
    <w:div w:id="950010919">
      <w:bodyDiv w:val="1"/>
      <w:marLeft w:val="0"/>
      <w:marRight w:val="0"/>
      <w:marTop w:val="0"/>
      <w:marBottom w:val="0"/>
      <w:divBdr>
        <w:top w:val="none" w:sz="0" w:space="0" w:color="auto"/>
        <w:left w:val="none" w:sz="0" w:space="0" w:color="auto"/>
        <w:bottom w:val="none" w:sz="0" w:space="0" w:color="auto"/>
        <w:right w:val="none" w:sz="0" w:space="0" w:color="auto"/>
      </w:divBdr>
    </w:div>
    <w:div w:id="954796405">
      <w:bodyDiv w:val="1"/>
      <w:marLeft w:val="0"/>
      <w:marRight w:val="0"/>
      <w:marTop w:val="0"/>
      <w:marBottom w:val="0"/>
      <w:divBdr>
        <w:top w:val="none" w:sz="0" w:space="0" w:color="auto"/>
        <w:left w:val="none" w:sz="0" w:space="0" w:color="auto"/>
        <w:bottom w:val="none" w:sz="0" w:space="0" w:color="auto"/>
        <w:right w:val="none" w:sz="0" w:space="0" w:color="auto"/>
      </w:divBdr>
    </w:div>
    <w:div w:id="975910780">
      <w:bodyDiv w:val="1"/>
      <w:marLeft w:val="0"/>
      <w:marRight w:val="0"/>
      <w:marTop w:val="0"/>
      <w:marBottom w:val="0"/>
      <w:divBdr>
        <w:top w:val="none" w:sz="0" w:space="0" w:color="auto"/>
        <w:left w:val="none" w:sz="0" w:space="0" w:color="auto"/>
        <w:bottom w:val="none" w:sz="0" w:space="0" w:color="auto"/>
        <w:right w:val="none" w:sz="0" w:space="0" w:color="auto"/>
      </w:divBdr>
    </w:div>
    <w:div w:id="980883531">
      <w:bodyDiv w:val="1"/>
      <w:marLeft w:val="0"/>
      <w:marRight w:val="0"/>
      <w:marTop w:val="0"/>
      <w:marBottom w:val="0"/>
      <w:divBdr>
        <w:top w:val="none" w:sz="0" w:space="0" w:color="auto"/>
        <w:left w:val="none" w:sz="0" w:space="0" w:color="auto"/>
        <w:bottom w:val="none" w:sz="0" w:space="0" w:color="auto"/>
        <w:right w:val="none" w:sz="0" w:space="0" w:color="auto"/>
      </w:divBdr>
    </w:div>
    <w:div w:id="1056049388">
      <w:bodyDiv w:val="1"/>
      <w:marLeft w:val="0"/>
      <w:marRight w:val="0"/>
      <w:marTop w:val="0"/>
      <w:marBottom w:val="0"/>
      <w:divBdr>
        <w:top w:val="none" w:sz="0" w:space="0" w:color="auto"/>
        <w:left w:val="none" w:sz="0" w:space="0" w:color="auto"/>
        <w:bottom w:val="none" w:sz="0" w:space="0" w:color="auto"/>
        <w:right w:val="none" w:sz="0" w:space="0" w:color="auto"/>
      </w:divBdr>
    </w:div>
    <w:div w:id="1062564905">
      <w:bodyDiv w:val="1"/>
      <w:marLeft w:val="0"/>
      <w:marRight w:val="0"/>
      <w:marTop w:val="0"/>
      <w:marBottom w:val="0"/>
      <w:divBdr>
        <w:top w:val="none" w:sz="0" w:space="0" w:color="auto"/>
        <w:left w:val="none" w:sz="0" w:space="0" w:color="auto"/>
        <w:bottom w:val="none" w:sz="0" w:space="0" w:color="auto"/>
        <w:right w:val="none" w:sz="0" w:space="0" w:color="auto"/>
      </w:divBdr>
    </w:div>
    <w:div w:id="1071006711">
      <w:bodyDiv w:val="1"/>
      <w:marLeft w:val="0"/>
      <w:marRight w:val="0"/>
      <w:marTop w:val="0"/>
      <w:marBottom w:val="0"/>
      <w:divBdr>
        <w:top w:val="none" w:sz="0" w:space="0" w:color="auto"/>
        <w:left w:val="none" w:sz="0" w:space="0" w:color="auto"/>
        <w:bottom w:val="none" w:sz="0" w:space="0" w:color="auto"/>
        <w:right w:val="none" w:sz="0" w:space="0" w:color="auto"/>
      </w:divBdr>
    </w:div>
    <w:div w:id="1183520987">
      <w:bodyDiv w:val="1"/>
      <w:marLeft w:val="0"/>
      <w:marRight w:val="0"/>
      <w:marTop w:val="0"/>
      <w:marBottom w:val="0"/>
      <w:divBdr>
        <w:top w:val="none" w:sz="0" w:space="0" w:color="auto"/>
        <w:left w:val="none" w:sz="0" w:space="0" w:color="auto"/>
        <w:bottom w:val="none" w:sz="0" w:space="0" w:color="auto"/>
        <w:right w:val="none" w:sz="0" w:space="0" w:color="auto"/>
      </w:divBdr>
    </w:div>
    <w:div w:id="1213075025">
      <w:bodyDiv w:val="1"/>
      <w:marLeft w:val="0"/>
      <w:marRight w:val="0"/>
      <w:marTop w:val="0"/>
      <w:marBottom w:val="0"/>
      <w:divBdr>
        <w:top w:val="none" w:sz="0" w:space="0" w:color="auto"/>
        <w:left w:val="none" w:sz="0" w:space="0" w:color="auto"/>
        <w:bottom w:val="none" w:sz="0" w:space="0" w:color="auto"/>
        <w:right w:val="none" w:sz="0" w:space="0" w:color="auto"/>
      </w:divBdr>
    </w:div>
    <w:div w:id="1223516784">
      <w:bodyDiv w:val="1"/>
      <w:marLeft w:val="0"/>
      <w:marRight w:val="0"/>
      <w:marTop w:val="0"/>
      <w:marBottom w:val="0"/>
      <w:divBdr>
        <w:top w:val="none" w:sz="0" w:space="0" w:color="auto"/>
        <w:left w:val="none" w:sz="0" w:space="0" w:color="auto"/>
        <w:bottom w:val="none" w:sz="0" w:space="0" w:color="auto"/>
        <w:right w:val="none" w:sz="0" w:space="0" w:color="auto"/>
      </w:divBdr>
    </w:div>
    <w:div w:id="1230384266">
      <w:bodyDiv w:val="1"/>
      <w:marLeft w:val="0"/>
      <w:marRight w:val="0"/>
      <w:marTop w:val="0"/>
      <w:marBottom w:val="0"/>
      <w:divBdr>
        <w:top w:val="none" w:sz="0" w:space="0" w:color="auto"/>
        <w:left w:val="none" w:sz="0" w:space="0" w:color="auto"/>
        <w:bottom w:val="none" w:sz="0" w:space="0" w:color="auto"/>
        <w:right w:val="none" w:sz="0" w:space="0" w:color="auto"/>
      </w:divBdr>
    </w:div>
    <w:div w:id="1233662563">
      <w:bodyDiv w:val="1"/>
      <w:marLeft w:val="0"/>
      <w:marRight w:val="0"/>
      <w:marTop w:val="0"/>
      <w:marBottom w:val="0"/>
      <w:divBdr>
        <w:top w:val="none" w:sz="0" w:space="0" w:color="auto"/>
        <w:left w:val="none" w:sz="0" w:space="0" w:color="auto"/>
        <w:bottom w:val="none" w:sz="0" w:space="0" w:color="auto"/>
        <w:right w:val="none" w:sz="0" w:space="0" w:color="auto"/>
      </w:divBdr>
    </w:div>
    <w:div w:id="1255699842">
      <w:bodyDiv w:val="1"/>
      <w:marLeft w:val="0"/>
      <w:marRight w:val="0"/>
      <w:marTop w:val="0"/>
      <w:marBottom w:val="0"/>
      <w:divBdr>
        <w:top w:val="none" w:sz="0" w:space="0" w:color="auto"/>
        <w:left w:val="none" w:sz="0" w:space="0" w:color="auto"/>
        <w:bottom w:val="none" w:sz="0" w:space="0" w:color="auto"/>
        <w:right w:val="none" w:sz="0" w:space="0" w:color="auto"/>
      </w:divBdr>
    </w:div>
    <w:div w:id="1264651650">
      <w:bodyDiv w:val="1"/>
      <w:marLeft w:val="0"/>
      <w:marRight w:val="0"/>
      <w:marTop w:val="0"/>
      <w:marBottom w:val="0"/>
      <w:divBdr>
        <w:top w:val="none" w:sz="0" w:space="0" w:color="auto"/>
        <w:left w:val="none" w:sz="0" w:space="0" w:color="auto"/>
        <w:bottom w:val="none" w:sz="0" w:space="0" w:color="auto"/>
        <w:right w:val="none" w:sz="0" w:space="0" w:color="auto"/>
      </w:divBdr>
    </w:div>
    <w:div w:id="1331058562">
      <w:bodyDiv w:val="1"/>
      <w:marLeft w:val="0"/>
      <w:marRight w:val="0"/>
      <w:marTop w:val="0"/>
      <w:marBottom w:val="0"/>
      <w:divBdr>
        <w:top w:val="none" w:sz="0" w:space="0" w:color="auto"/>
        <w:left w:val="none" w:sz="0" w:space="0" w:color="auto"/>
        <w:bottom w:val="none" w:sz="0" w:space="0" w:color="auto"/>
        <w:right w:val="none" w:sz="0" w:space="0" w:color="auto"/>
      </w:divBdr>
    </w:div>
    <w:div w:id="1344865989">
      <w:bodyDiv w:val="1"/>
      <w:marLeft w:val="0"/>
      <w:marRight w:val="0"/>
      <w:marTop w:val="0"/>
      <w:marBottom w:val="0"/>
      <w:divBdr>
        <w:top w:val="none" w:sz="0" w:space="0" w:color="auto"/>
        <w:left w:val="none" w:sz="0" w:space="0" w:color="auto"/>
        <w:bottom w:val="none" w:sz="0" w:space="0" w:color="auto"/>
        <w:right w:val="none" w:sz="0" w:space="0" w:color="auto"/>
      </w:divBdr>
    </w:div>
    <w:div w:id="1383098536">
      <w:bodyDiv w:val="1"/>
      <w:marLeft w:val="0"/>
      <w:marRight w:val="0"/>
      <w:marTop w:val="0"/>
      <w:marBottom w:val="0"/>
      <w:divBdr>
        <w:top w:val="none" w:sz="0" w:space="0" w:color="auto"/>
        <w:left w:val="none" w:sz="0" w:space="0" w:color="auto"/>
        <w:bottom w:val="none" w:sz="0" w:space="0" w:color="auto"/>
        <w:right w:val="none" w:sz="0" w:space="0" w:color="auto"/>
      </w:divBdr>
    </w:div>
    <w:div w:id="1401976649">
      <w:bodyDiv w:val="1"/>
      <w:marLeft w:val="0"/>
      <w:marRight w:val="0"/>
      <w:marTop w:val="0"/>
      <w:marBottom w:val="0"/>
      <w:divBdr>
        <w:top w:val="none" w:sz="0" w:space="0" w:color="auto"/>
        <w:left w:val="none" w:sz="0" w:space="0" w:color="auto"/>
        <w:bottom w:val="none" w:sz="0" w:space="0" w:color="auto"/>
        <w:right w:val="none" w:sz="0" w:space="0" w:color="auto"/>
      </w:divBdr>
    </w:div>
    <w:div w:id="1435519104">
      <w:bodyDiv w:val="1"/>
      <w:marLeft w:val="0"/>
      <w:marRight w:val="0"/>
      <w:marTop w:val="0"/>
      <w:marBottom w:val="0"/>
      <w:divBdr>
        <w:top w:val="none" w:sz="0" w:space="0" w:color="auto"/>
        <w:left w:val="none" w:sz="0" w:space="0" w:color="auto"/>
        <w:bottom w:val="none" w:sz="0" w:space="0" w:color="auto"/>
        <w:right w:val="none" w:sz="0" w:space="0" w:color="auto"/>
      </w:divBdr>
    </w:div>
    <w:div w:id="1452359703">
      <w:bodyDiv w:val="1"/>
      <w:marLeft w:val="0"/>
      <w:marRight w:val="0"/>
      <w:marTop w:val="0"/>
      <w:marBottom w:val="0"/>
      <w:divBdr>
        <w:top w:val="none" w:sz="0" w:space="0" w:color="auto"/>
        <w:left w:val="none" w:sz="0" w:space="0" w:color="auto"/>
        <w:bottom w:val="none" w:sz="0" w:space="0" w:color="auto"/>
        <w:right w:val="none" w:sz="0" w:space="0" w:color="auto"/>
      </w:divBdr>
    </w:div>
    <w:div w:id="1461997288">
      <w:bodyDiv w:val="1"/>
      <w:marLeft w:val="0"/>
      <w:marRight w:val="0"/>
      <w:marTop w:val="0"/>
      <w:marBottom w:val="0"/>
      <w:divBdr>
        <w:top w:val="none" w:sz="0" w:space="0" w:color="auto"/>
        <w:left w:val="none" w:sz="0" w:space="0" w:color="auto"/>
        <w:bottom w:val="none" w:sz="0" w:space="0" w:color="auto"/>
        <w:right w:val="none" w:sz="0" w:space="0" w:color="auto"/>
      </w:divBdr>
    </w:div>
    <w:div w:id="1479565532">
      <w:bodyDiv w:val="1"/>
      <w:marLeft w:val="0"/>
      <w:marRight w:val="0"/>
      <w:marTop w:val="0"/>
      <w:marBottom w:val="0"/>
      <w:divBdr>
        <w:top w:val="none" w:sz="0" w:space="0" w:color="auto"/>
        <w:left w:val="none" w:sz="0" w:space="0" w:color="auto"/>
        <w:bottom w:val="none" w:sz="0" w:space="0" w:color="auto"/>
        <w:right w:val="none" w:sz="0" w:space="0" w:color="auto"/>
      </w:divBdr>
    </w:div>
    <w:div w:id="1499349390">
      <w:bodyDiv w:val="1"/>
      <w:marLeft w:val="0"/>
      <w:marRight w:val="0"/>
      <w:marTop w:val="0"/>
      <w:marBottom w:val="0"/>
      <w:divBdr>
        <w:top w:val="none" w:sz="0" w:space="0" w:color="auto"/>
        <w:left w:val="none" w:sz="0" w:space="0" w:color="auto"/>
        <w:bottom w:val="none" w:sz="0" w:space="0" w:color="auto"/>
        <w:right w:val="none" w:sz="0" w:space="0" w:color="auto"/>
      </w:divBdr>
    </w:div>
    <w:div w:id="1514107287">
      <w:bodyDiv w:val="1"/>
      <w:marLeft w:val="0"/>
      <w:marRight w:val="0"/>
      <w:marTop w:val="0"/>
      <w:marBottom w:val="0"/>
      <w:divBdr>
        <w:top w:val="none" w:sz="0" w:space="0" w:color="auto"/>
        <w:left w:val="none" w:sz="0" w:space="0" w:color="auto"/>
        <w:bottom w:val="none" w:sz="0" w:space="0" w:color="auto"/>
        <w:right w:val="none" w:sz="0" w:space="0" w:color="auto"/>
      </w:divBdr>
    </w:div>
    <w:div w:id="1542859679">
      <w:bodyDiv w:val="1"/>
      <w:marLeft w:val="0"/>
      <w:marRight w:val="0"/>
      <w:marTop w:val="0"/>
      <w:marBottom w:val="0"/>
      <w:divBdr>
        <w:top w:val="none" w:sz="0" w:space="0" w:color="auto"/>
        <w:left w:val="none" w:sz="0" w:space="0" w:color="auto"/>
        <w:bottom w:val="none" w:sz="0" w:space="0" w:color="auto"/>
        <w:right w:val="none" w:sz="0" w:space="0" w:color="auto"/>
      </w:divBdr>
    </w:div>
    <w:div w:id="1556551405">
      <w:bodyDiv w:val="1"/>
      <w:marLeft w:val="0"/>
      <w:marRight w:val="0"/>
      <w:marTop w:val="0"/>
      <w:marBottom w:val="0"/>
      <w:divBdr>
        <w:top w:val="none" w:sz="0" w:space="0" w:color="auto"/>
        <w:left w:val="none" w:sz="0" w:space="0" w:color="auto"/>
        <w:bottom w:val="none" w:sz="0" w:space="0" w:color="auto"/>
        <w:right w:val="none" w:sz="0" w:space="0" w:color="auto"/>
      </w:divBdr>
    </w:div>
    <w:div w:id="1556771593">
      <w:bodyDiv w:val="1"/>
      <w:marLeft w:val="0"/>
      <w:marRight w:val="0"/>
      <w:marTop w:val="0"/>
      <w:marBottom w:val="0"/>
      <w:divBdr>
        <w:top w:val="none" w:sz="0" w:space="0" w:color="auto"/>
        <w:left w:val="none" w:sz="0" w:space="0" w:color="auto"/>
        <w:bottom w:val="none" w:sz="0" w:space="0" w:color="auto"/>
        <w:right w:val="none" w:sz="0" w:space="0" w:color="auto"/>
      </w:divBdr>
    </w:div>
    <w:div w:id="1557469869">
      <w:bodyDiv w:val="1"/>
      <w:marLeft w:val="0"/>
      <w:marRight w:val="0"/>
      <w:marTop w:val="0"/>
      <w:marBottom w:val="0"/>
      <w:divBdr>
        <w:top w:val="none" w:sz="0" w:space="0" w:color="auto"/>
        <w:left w:val="none" w:sz="0" w:space="0" w:color="auto"/>
        <w:bottom w:val="none" w:sz="0" w:space="0" w:color="auto"/>
        <w:right w:val="none" w:sz="0" w:space="0" w:color="auto"/>
      </w:divBdr>
    </w:div>
    <w:div w:id="1566377109">
      <w:bodyDiv w:val="1"/>
      <w:marLeft w:val="0"/>
      <w:marRight w:val="0"/>
      <w:marTop w:val="0"/>
      <w:marBottom w:val="0"/>
      <w:divBdr>
        <w:top w:val="none" w:sz="0" w:space="0" w:color="auto"/>
        <w:left w:val="none" w:sz="0" w:space="0" w:color="auto"/>
        <w:bottom w:val="none" w:sz="0" w:space="0" w:color="auto"/>
        <w:right w:val="none" w:sz="0" w:space="0" w:color="auto"/>
      </w:divBdr>
    </w:div>
    <w:div w:id="1581212622">
      <w:bodyDiv w:val="1"/>
      <w:marLeft w:val="0"/>
      <w:marRight w:val="0"/>
      <w:marTop w:val="0"/>
      <w:marBottom w:val="0"/>
      <w:divBdr>
        <w:top w:val="none" w:sz="0" w:space="0" w:color="auto"/>
        <w:left w:val="none" w:sz="0" w:space="0" w:color="auto"/>
        <w:bottom w:val="none" w:sz="0" w:space="0" w:color="auto"/>
        <w:right w:val="none" w:sz="0" w:space="0" w:color="auto"/>
      </w:divBdr>
    </w:div>
    <w:div w:id="1622348086">
      <w:bodyDiv w:val="1"/>
      <w:marLeft w:val="0"/>
      <w:marRight w:val="0"/>
      <w:marTop w:val="0"/>
      <w:marBottom w:val="0"/>
      <w:divBdr>
        <w:top w:val="none" w:sz="0" w:space="0" w:color="auto"/>
        <w:left w:val="none" w:sz="0" w:space="0" w:color="auto"/>
        <w:bottom w:val="none" w:sz="0" w:space="0" w:color="auto"/>
        <w:right w:val="none" w:sz="0" w:space="0" w:color="auto"/>
      </w:divBdr>
    </w:div>
    <w:div w:id="1686714692">
      <w:bodyDiv w:val="1"/>
      <w:marLeft w:val="0"/>
      <w:marRight w:val="0"/>
      <w:marTop w:val="0"/>
      <w:marBottom w:val="0"/>
      <w:divBdr>
        <w:top w:val="none" w:sz="0" w:space="0" w:color="auto"/>
        <w:left w:val="none" w:sz="0" w:space="0" w:color="auto"/>
        <w:bottom w:val="none" w:sz="0" w:space="0" w:color="auto"/>
        <w:right w:val="none" w:sz="0" w:space="0" w:color="auto"/>
      </w:divBdr>
    </w:div>
    <w:div w:id="1694845000">
      <w:bodyDiv w:val="1"/>
      <w:marLeft w:val="0"/>
      <w:marRight w:val="0"/>
      <w:marTop w:val="0"/>
      <w:marBottom w:val="0"/>
      <w:divBdr>
        <w:top w:val="none" w:sz="0" w:space="0" w:color="auto"/>
        <w:left w:val="none" w:sz="0" w:space="0" w:color="auto"/>
        <w:bottom w:val="none" w:sz="0" w:space="0" w:color="auto"/>
        <w:right w:val="none" w:sz="0" w:space="0" w:color="auto"/>
      </w:divBdr>
    </w:div>
    <w:div w:id="1732993946">
      <w:bodyDiv w:val="1"/>
      <w:marLeft w:val="0"/>
      <w:marRight w:val="0"/>
      <w:marTop w:val="0"/>
      <w:marBottom w:val="0"/>
      <w:divBdr>
        <w:top w:val="none" w:sz="0" w:space="0" w:color="auto"/>
        <w:left w:val="none" w:sz="0" w:space="0" w:color="auto"/>
        <w:bottom w:val="none" w:sz="0" w:space="0" w:color="auto"/>
        <w:right w:val="none" w:sz="0" w:space="0" w:color="auto"/>
      </w:divBdr>
    </w:div>
    <w:div w:id="1741558061">
      <w:bodyDiv w:val="1"/>
      <w:marLeft w:val="0"/>
      <w:marRight w:val="0"/>
      <w:marTop w:val="0"/>
      <w:marBottom w:val="0"/>
      <w:divBdr>
        <w:top w:val="none" w:sz="0" w:space="0" w:color="auto"/>
        <w:left w:val="none" w:sz="0" w:space="0" w:color="auto"/>
        <w:bottom w:val="none" w:sz="0" w:space="0" w:color="auto"/>
        <w:right w:val="none" w:sz="0" w:space="0" w:color="auto"/>
      </w:divBdr>
    </w:div>
    <w:div w:id="1763067765">
      <w:bodyDiv w:val="1"/>
      <w:marLeft w:val="0"/>
      <w:marRight w:val="0"/>
      <w:marTop w:val="0"/>
      <w:marBottom w:val="0"/>
      <w:divBdr>
        <w:top w:val="none" w:sz="0" w:space="0" w:color="auto"/>
        <w:left w:val="none" w:sz="0" w:space="0" w:color="auto"/>
        <w:bottom w:val="none" w:sz="0" w:space="0" w:color="auto"/>
        <w:right w:val="none" w:sz="0" w:space="0" w:color="auto"/>
      </w:divBdr>
    </w:div>
    <w:div w:id="1779442476">
      <w:bodyDiv w:val="1"/>
      <w:marLeft w:val="0"/>
      <w:marRight w:val="0"/>
      <w:marTop w:val="0"/>
      <w:marBottom w:val="0"/>
      <w:divBdr>
        <w:top w:val="none" w:sz="0" w:space="0" w:color="auto"/>
        <w:left w:val="none" w:sz="0" w:space="0" w:color="auto"/>
        <w:bottom w:val="none" w:sz="0" w:space="0" w:color="auto"/>
        <w:right w:val="none" w:sz="0" w:space="0" w:color="auto"/>
      </w:divBdr>
    </w:div>
    <w:div w:id="1781560111">
      <w:bodyDiv w:val="1"/>
      <w:marLeft w:val="0"/>
      <w:marRight w:val="0"/>
      <w:marTop w:val="0"/>
      <w:marBottom w:val="0"/>
      <w:divBdr>
        <w:top w:val="none" w:sz="0" w:space="0" w:color="auto"/>
        <w:left w:val="none" w:sz="0" w:space="0" w:color="auto"/>
        <w:bottom w:val="none" w:sz="0" w:space="0" w:color="auto"/>
        <w:right w:val="none" w:sz="0" w:space="0" w:color="auto"/>
      </w:divBdr>
    </w:div>
    <w:div w:id="1846632407">
      <w:bodyDiv w:val="1"/>
      <w:marLeft w:val="0"/>
      <w:marRight w:val="0"/>
      <w:marTop w:val="0"/>
      <w:marBottom w:val="0"/>
      <w:divBdr>
        <w:top w:val="none" w:sz="0" w:space="0" w:color="auto"/>
        <w:left w:val="none" w:sz="0" w:space="0" w:color="auto"/>
        <w:bottom w:val="none" w:sz="0" w:space="0" w:color="auto"/>
        <w:right w:val="none" w:sz="0" w:space="0" w:color="auto"/>
      </w:divBdr>
    </w:div>
    <w:div w:id="1886720462">
      <w:bodyDiv w:val="1"/>
      <w:marLeft w:val="0"/>
      <w:marRight w:val="0"/>
      <w:marTop w:val="0"/>
      <w:marBottom w:val="0"/>
      <w:divBdr>
        <w:top w:val="none" w:sz="0" w:space="0" w:color="auto"/>
        <w:left w:val="none" w:sz="0" w:space="0" w:color="auto"/>
        <w:bottom w:val="none" w:sz="0" w:space="0" w:color="auto"/>
        <w:right w:val="none" w:sz="0" w:space="0" w:color="auto"/>
      </w:divBdr>
    </w:div>
    <w:div w:id="1887524226">
      <w:bodyDiv w:val="1"/>
      <w:marLeft w:val="0"/>
      <w:marRight w:val="0"/>
      <w:marTop w:val="0"/>
      <w:marBottom w:val="0"/>
      <w:divBdr>
        <w:top w:val="none" w:sz="0" w:space="0" w:color="auto"/>
        <w:left w:val="none" w:sz="0" w:space="0" w:color="auto"/>
        <w:bottom w:val="none" w:sz="0" w:space="0" w:color="auto"/>
        <w:right w:val="none" w:sz="0" w:space="0" w:color="auto"/>
      </w:divBdr>
    </w:div>
    <w:div w:id="1893539418">
      <w:bodyDiv w:val="1"/>
      <w:marLeft w:val="0"/>
      <w:marRight w:val="0"/>
      <w:marTop w:val="0"/>
      <w:marBottom w:val="0"/>
      <w:divBdr>
        <w:top w:val="none" w:sz="0" w:space="0" w:color="auto"/>
        <w:left w:val="none" w:sz="0" w:space="0" w:color="auto"/>
        <w:bottom w:val="none" w:sz="0" w:space="0" w:color="auto"/>
        <w:right w:val="none" w:sz="0" w:space="0" w:color="auto"/>
      </w:divBdr>
    </w:div>
    <w:div w:id="1916237994">
      <w:bodyDiv w:val="1"/>
      <w:marLeft w:val="0"/>
      <w:marRight w:val="0"/>
      <w:marTop w:val="0"/>
      <w:marBottom w:val="0"/>
      <w:divBdr>
        <w:top w:val="none" w:sz="0" w:space="0" w:color="auto"/>
        <w:left w:val="none" w:sz="0" w:space="0" w:color="auto"/>
        <w:bottom w:val="none" w:sz="0" w:space="0" w:color="auto"/>
        <w:right w:val="none" w:sz="0" w:space="0" w:color="auto"/>
      </w:divBdr>
    </w:div>
    <w:div w:id="1918854835">
      <w:bodyDiv w:val="1"/>
      <w:marLeft w:val="0"/>
      <w:marRight w:val="0"/>
      <w:marTop w:val="0"/>
      <w:marBottom w:val="0"/>
      <w:divBdr>
        <w:top w:val="none" w:sz="0" w:space="0" w:color="auto"/>
        <w:left w:val="none" w:sz="0" w:space="0" w:color="auto"/>
        <w:bottom w:val="none" w:sz="0" w:space="0" w:color="auto"/>
        <w:right w:val="none" w:sz="0" w:space="0" w:color="auto"/>
      </w:divBdr>
    </w:div>
    <w:div w:id="1933514611">
      <w:bodyDiv w:val="1"/>
      <w:marLeft w:val="0"/>
      <w:marRight w:val="0"/>
      <w:marTop w:val="0"/>
      <w:marBottom w:val="0"/>
      <w:divBdr>
        <w:top w:val="none" w:sz="0" w:space="0" w:color="auto"/>
        <w:left w:val="none" w:sz="0" w:space="0" w:color="auto"/>
        <w:bottom w:val="none" w:sz="0" w:space="0" w:color="auto"/>
        <w:right w:val="none" w:sz="0" w:space="0" w:color="auto"/>
      </w:divBdr>
    </w:div>
    <w:div w:id="1939408488">
      <w:bodyDiv w:val="1"/>
      <w:marLeft w:val="0"/>
      <w:marRight w:val="0"/>
      <w:marTop w:val="0"/>
      <w:marBottom w:val="0"/>
      <w:divBdr>
        <w:top w:val="none" w:sz="0" w:space="0" w:color="auto"/>
        <w:left w:val="none" w:sz="0" w:space="0" w:color="auto"/>
        <w:bottom w:val="none" w:sz="0" w:space="0" w:color="auto"/>
        <w:right w:val="none" w:sz="0" w:space="0" w:color="auto"/>
      </w:divBdr>
    </w:div>
    <w:div w:id="1957561391">
      <w:bodyDiv w:val="1"/>
      <w:marLeft w:val="0"/>
      <w:marRight w:val="0"/>
      <w:marTop w:val="0"/>
      <w:marBottom w:val="0"/>
      <w:divBdr>
        <w:top w:val="none" w:sz="0" w:space="0" w:color="auto"/>
        <w:left w:val="none" w:sz="0" w:space="0" w:color="auto"/>
        <w:bottom w:val="none" w:sz="0" w:space="0" w:color="auto"/>
        <w:right w:val="none" w:sz="0" w:space="0" w:color="auto"/>
      </w:divBdr>
    </w:div>
    <w:div w:id="1984846649">
      <w:bodyDiv w:val="1"/>
      <w:marLeft w:val="0"/>
      <w:marRight w:val="0"/>
      <w:marTop w:val="0"/>
      <w:marBottom w:val="0"/>
      <w:divBdr>
        <w:top w:val="none" w:sz="0" w:space="0" w:color="auto"/>
        <w:left w:val="none" w:sz="0" w:space="0" w:color="auto"/>
        <w:bottom w:val="none" w:sz="0" w:space="0" w:color="auto"/>
        <w:right w:val="none" w:sz="0" w:space="0" w:color="auto"/>
      </w:divBdr>
    </w:div>
    <w:div w:id="2036885099">
      <w:bodyDiv w:val="1"/>
      <w:marLeft w:val="0"/>
      <w:marRight w:val="0"/>
      <w:marTop w:val="0"/>
      <w:marBottom w:val="0"/>
      <w:divBdr>
        <w:top w:val="none" w:sz="0" w:space="0" w:color="auto"/>
        <w:left w:val="none" w:sz="0" w:space="0" w:color="auto"/>
        <w:bottom w:val="none" w:sz="0" w:space="0" w:color="auto"/>
        <w:right w:val="none" w:sz="0" w:space="0" w:color="auto"/>
      </w:divBdr>
      <w:divsChild>
        <w:div w:id="40323292">
          <w:marLeft w:val="0"/>
          <w:marRight w:val="0"/>
          <w:marTop w:val="0"/>
          <w:marBottom w:val="0"/>
          <w:divBdr>
            <w:top w:val="none" w:sz="0" w:space="0" w:color="auto"/>
            <w:left w:val="none" w:sz="0" w:space="0" w:color="auto"/>
            <w:bottom w:val="none" w:sz="0" w:space="0" w:color="auto"/>
            <w:right w:val="none" w:sz="0" w:space="0" w:color="auto"/>
          </w:divBdr>
        </w:div>
        <w:div w:id="1174302731">
          <w:marLeft w:val="0"/>
          <w:marRight w:val="0"/>
          <w:marTop w:val="0"/>
          <w:marBottom w:val="0"/>
          <w:divBdr>
            <w:top w:val="none" w:sz="0" w:space="0" w:color="auto"/>
            <w:left w:val="none" w:sz="0" w:space="0" w:color="auto"/>
            <w:bottom w:val="none" w:sz="0" w:space="0" w:color="auto"/>
            <w:right w:val="none" w:sz="0" w:space="0" w:color="auto"/>
          </w:divBdr>
        </w:div>
        <w:div w:id="1244686340">
          <w:marLeft w:val="0"/>
          <w:marRight w:val="0"/>
          <w:marTop w:val="0"/>
          <w:marBottom w:val="0"/>
          <w:divBdr>
            <w:top w:val="none" w:sz="0" w:space="0" w:color="auto"/>
            <w:left w:val="none" w:sz="0" w:space="0" w:color="auto"/>
            <w:bottom w:val="none" w:sz="0" w:space="0" w:color="auto"/>
            <w:right w:val="none" w:sz="0" w:space="0" w:color="auto"/>
          </w:divBdr>
        </w:div>
        <w:div w:id="1561744909">
          <w:marLeft w:val="0"/>
          <w:marRight w:val="0"/>
          <w:marTop w:val="0"/>
          <w:marBottom w:val="0"/>
          <w:divBdr>
            <w:top w:val="none" w:sz="0" w:space="0" w:color="auto"/>
            <w:left w:val="none" w:sz="0" w:space="0" w:color="auto"/>
            <w:bottom w:val="none" w:sz="0" w:space="0" w:color="auto"/>
            <w:right w:val="none" w:sz="0" w:space="0" w:color="auto"/>
          </w:divBdr>
        </w:div>
        <w:div w:id="1659992699">
          <w:marLeft w:val="0"/>
          <w:marRight w:val="0"/>
          <w:marTop w:val="0"/>
          <w:marBottom w:val="0"/>
          <w:divBdr>
            <w:top w:val="none" w:sz="0" w:space="0" w:color="auto"/>
            <w:left w:val="none" w:sz="0" w:space="0" w:color="auto"/>
            <w:bottom w:val="none" w:sz="0" w:space="0" w:color="auto"/>
            <w:right w:val="none" w:sz="0" w:space="0" w:color="auto"/>
          </w:divBdr>
        </w:div>
      </w:divsChild>
    </w:div>
    <w:div w:id="2040888814">
      <w:bodyDiv w:val="1"/>
      <w:marLeft w:val="0"/>
      <w:marRight w:val="0"/>
      <w:marTop w:val="0"/>
      <w:marBottom w:val="0"/>
      <w:divBdr>
        <w:top w:val="none" w:sz="0" w:space="0" w:color="auto"/>
        <w:left w:val="none" w:sz="0" w:space="0" w:color="auto"/>
        <w:bottom w:val="none" w:sz="0" w:space="0" w:color="auto"/>
        <w:right w:val="none" w:sz="0" w:space="0" w:color="auto"/>
      </w:divBdr>
    </w:div>
    <w:div w:id="2063209383">
      <w:bodyDiv w:val="1"/>
      <w:marLeft w:val="0"/>
      <w:marRight w:val="0"/>
      <w:marTop w:val="0"/>
      <w:marBottom w:val="0"/>
      <w:divBdr>
        <w:top w:val="none" w:sz="0" w:space="0" w:color="auto"/>
        <w:left w:val="none" w:sz="0" w:space="0" w:color="auto"/>
        <w:bottom w:val="none" w:sz="0" w:space="0" w:color="auto"/>
        <w:right w:val="none" w:sz="0" w:space="0" w:color="auto"/>
      </w:divBdr>
    </w:div>
    <w:div w:id="2068020546">
      <w:bodyDiv w:val="1"/>
      <w:marLeft w:val="0"/>
      <w:marRight w:val="0"/>
      <w:marTop w:val="0"/>
      <w:marBottom w:val="0"/>
      <w:divBdr>
        <w:top w:val="none" w:sz="0" w:space="0" w:color="auto"/>
        <w:left w:val="none" w:sz="0" w:space="0" w:color="auto"/>
        <w:bottom w:val="none" w:sz="0" w:space="0" w:color="auto"/>
        <w:right w:val="none" w:sz="0" w:space="0" w:color="auto"/>
      </w:divBdr>
    </w:div>
    <w:div w:id="2068140086">
      <w:bodyDiv w:val="1"/>
      <w:marLeft w:val="0"/>
      <w:marRight w:val="0"/>
      <w:marTop w:val="0"/>
      <w:marBottom w:val="0"/>
      <w:divBdr>
        <w:top w:val="none" w:sz="0" w:space="0" w:color="auto"/>
        <w:left w:val="none" w:sz="0" w:space="0" w:color="auto"/>
        <w:bottom w:val="none" w:sz="0" w:space="0" w:color="auto"/>
        <w:right w:val="none" w:sz="0" w:space="0" w:color="auto"/>
      </w:divBdr>
    </w:div>
    <w:div w:id="2075472990">
      <w:bodyDiv w:val="1"/>
      <w:marLeft w:val="0"/>
      <w:marRight w:val="0"/>
      <w:marTop w:val="0"/>
      <w:marBottom w:val="0"/>
      <w:divBdr>
        <w:top w:val="none" w:sz="0" w:space="0" w:color="auto"/>
        <w:left w:val="none" w:sz="0" w:space="0" w:color="auto"/>
        <w:bottom w:val="none" w:sz="0" w:space="0" w:color="auto"/>
        <w:right w:val="none" w:sz="0" w:space="0" w:color="auto"/>
      </w:divBdr>
    </w:div>
    <w:div w:id="21283509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image" Target="media/image5.png"/><Relationship Id="rId42" Type="http://schemas.openxmlformats.org/officeDocument/2006/relationships/hyperlink" Target="https://unstats.un.org/unsd/cr/registry/docs/i4_SNA.pdf" TargetMode="External"/><Relationship Id="rId47" Type="http://schemas.openxmlformats.org/officeDocument/2006/relationships/hyperlink" Target="https://www.istat.it/it/informazioni-e-servizi/per-i-giornalisti/appuntamenti/calendario-diffusioni-ed-eventi" TargetMode="External"/><Relationship Id="rId63" Type="http://schemas.openxmlformats.org/officeDocument/2006/relationships/hyperlink" Target="mailto:causo@istat.it" TargetMode="External"/><Relationship Id="rId68"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www.istat.it" TargetMode="External"/><Relationship Id="rId29" Type="http://schemas.openxmlformats.org/officeDocument/2006/relationships/chart" Target="charts/chart5.xml"/><Relationship Id="rId11" Type="http://schemas.openxmlformats.org/officeDocument/2006/relationships/footnotes" Target="footnotes.xml"/><Relationship Id="rId24" Type="http://schemas.openxmlformats.org/officeDocument/2006/relationships/hyperlink" Target="https://www.coeweb.istat.it/" TargetMode="External"/><Relationship Id="rId32" Type="http://schemas.openxmlformats.org/officeDocument/2006/relationships/header" Target="header2.xml"/><Relationship Id="rId37" Type="http://schemas.openxmlformats.org/officeDocument/2006/relationships/chart" Target="charts/chart10.xml"/><Relationship Id="rId40" Type="http://schemas.openxmlformats.org/officeDocument/2006/relationships/header" Target="header3.xml"/><Relationship Id="rId45" Type="http://schemas.openxmlformats.org/officeDocument/2006/relationships/hyperlink" Target="https://www.coeweb.istat.it/" TargetMode="External"/><Relationship Id="rId53" Type="http://schemas.openxmlformats.org/officeDocument/2006/relationships/hyperlink" Target="http://ec.europa.eu/eurostat/data/database" TargetMode="External"/><Relationship Id="rId58" Type="http://schemas.openxmlformats.org/officeDocument/2006/relationships/hyperlink" Target="http://www.istat.it/it/files/2015/11/Ricostruzione-serie-indici-2005-2009.pdf?title=Prezzi+all%27importazione+dei+prodotti+industriali+-+17%2Fnov%2F2015+-+Ricostruzione+serie.pdf" TargetMode="External"/><Relationship Id="rId66" Type="http://schemas.openxmlformats.org/officeDocument/2006/relationships/hyperlink" Target="mailto:lodorazi@istat.it" TargetMode="External"/><Relationship Id="rId5" Type="http://schemas.openxmlformats.org/officeDocument/2006/relationships/customXml" Target="../customXml/item5.xml"/><Relationship Id="rId61" Type="http://schemas.openxmlformats.org/officeDocument/2006/relationships/hyperlink" Target="https://www.istat.it/it/files/2022/10/nota_informativa_prezzi_import.pdf" TargetMode="External"/><Relationship Id="rId19" Type="http://schemas.openxmlformats.org/officeDocument/2006/relationships/image" Target="media/image3.png"/><Relationship Id="rId14" Type="http://schemas.openxmlformats.org/officeDocument/2006/relationships/hyperlink" Target="https://contact.istat.it/s/?language=it" TargetMode="External"/><Relationship Id="rId22" Type="http://schemas.openxmlformats.org/officeDocument/2006/relationships/hyperlink" Target="http://dati.istat.it/" TargetMode="External"/><Relationship Id="rId27" Type="http://schemas.openxmlformats.org/officeDocument/2006/relationships/chart" Target="charts/chart3.xml"/><Relationship Id="rId30" Type="http://schemas.openxmlformats.org/officeDocument/2006/relationships/header" Target="header1.xml"/><Relationship Id="rId35" Type="http://schemas.openxmlformats.org/officeDocument/2006/relationships/chart" Target="charts/chart8.xml"/><Relationship Id="rId43" Type="http://schemas.openxmlformats.org/officeDocument/2006/relationships/hyperlink" Target="http://ec.europa.eu/eurostat/documents/3859598/5902521/KS-RA-07-015-EN.PDF" TargetMode="External"/><Relationship Id="rId48" Type="http://schemas.openxmlformats.org/officeDocument/2006/relationships/hyperlink" Target="http://www.istat.it/it/congiuntura/revisioni" TargetMode="External"/><Relationship Id="rId56" Type="http://schemas.openxmlformats.org/officeDocument/2006/relationships/hyperlink" Target="http://www.istat.it/it/archivio/45225" TargetMode="External"/><Relationship Id="rId64" Type="http://schemas.openxmlformats.org/officeDocument/2006/relationships/hyperlink" Target="mailto:crlanzi@istat.it" TargetMode="External"/><Relationship Id="rId69"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http://www.istat.it/it/archivio/commercio+estero+extra+ue"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contact.istat.it/s/?language=it" TargetMode="External"/><Relationship Id="rId25" Type="http://schemas.openxmlformats.org/officeDocument/2006/relationships/chart" Target="charts/chart1.xml"/><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hyperlink" Target="https://www.istat.it/it/istituto-nazionale-di-statistica/organizzazione/normativa" TargetMode="External"/><Relationship Id="rId59" Type="http://schemas.openxmlformats.org/officeDocument/2006/relationships/hyperlink" Target="https://www.istat.it/it/files/2018/05/nota_informativa_prezzi_import.pdf" TargetMode="External"/><Relationship Id="rId67" Type="http://schemas.openxmlformats.org/officeDocument/2006/relationships/header" Target="header6.xml"/><Relationship Id="rId20" Type="http://schemas.openxmlformats.org/officeDocument/2006/relationships/image" Target="media/image4.png"/><Relationship Id="rId41" Type="http://schemas.openxmlformats.org/officeDocument/2006/relationships/header" Target="header4.xml"/><Relationship Id="rId54" Type="http://schemas.openxmlformats.org/officeDocument/2006/relationships/hyperlink" Target="https://esploradati.istat.it/" TargetMode="External"/><Relationship Id="rId62" Type="http://schemas.openxmlformats.org/officeDocument/2006/relationships/hyperlink" Target="https://www.istat.it/it/files/2023/04/Nota-Informativa-Prezzi-Import-2023.pdf"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G:\Users\enzalucia.vaccaro\My%20Documents\TESTATINE\ufficiostampa@istat.it" TargetMode="External"/><Relationship Id="rId23" Type="http://schemas.openxmlformats.org/officeDocument/2006/relationships/hyperlink" Target="http://www.istat.it/it/congiuntura" TargetMode="External"/><Relationship Id="rId28" Type="http://schemas.openxmlformats.org/officeDocument/2006/relationships/chart" Target="charts/chart4.xml"/><Relationship Id="rId36" Type="http://schemas.openxmlformats.org/officeDocument/2006/relationships/chart" Target="charts/chart9.xml"/><Relationship Id="rId49" Type="http://schemas.openxmlformats.org/officeDocument/2006/relationships/hyperlink" Target="http://www.istat.it/it/files/2016/07/scheda-CommercioEstero-e-prezzi-allimport-dei-prodotti-industriali.pdf" TargetMode="External"/><Relationship Id="rId57" Type="http://schemas.openxmlformats.org/officeDocument/2006/relationships/hyperlink" Target="http://www.istat.it/it/files/2016/02/Prezzi-all-importazione-dei-prodotti-industriali-Nota-informativa.pdf?title=Prezzi+all%E2%80%99importazione+dei+prodotti+industriali+-+16%2Ffeb%2F2016+-+Nota+informativa.pdf" TargetMode="External"/><Relationship Id="rId10" Type="http://schemas.openxmlformats.org/officeDocument/2006/relationships/webSettings" Target="webSettings.xml"/><Relationship Id="rId31" Type="http://schemas.openxmlformats.org/officeDocument/2006/relationships/footer" Target="footer1.xml"/><Relationship Id="rId44" Type="http://schemas.openxmlformats.org/officeDocument/2006/relationships/header" Target="header5.xml"/><Relationship Id="rId52" Type="http://schemas.openxmlformats.org/officeDocument/2006/relationships/hyperlink" Target="http://www.istat.it/it/archivio/esportazioni+delle+regioni" TargetMode="External"/><Relationship Id="rId60" Type="http://schemas.openxmlformats.org/officeDocument/2006/relationships/hyperlink" Target="https://www.istat.it/it/files/2020/12/nota_informativa_revisioni_commercio_estero.pdf" TargetMode="External"/><Relationship Id="rId65" Type="http://schemas.openxmlformats.org/officeDocument/2006/relationships/hyperlink" Target="mailto:valci@istat.it"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istat.it" TargetMode="External"/><Relationship Id="rId18" Type="http://schemas.openxmlformats.org/officeDocument/2006/relationships/hyperlink" Target="file:///G:\Users\enzalucia.vaccaro\My%20Documents\TESTATINE\ufficiostampa@istat.it" TargetMode="External"/><Relationship Id="rId39" Type="http://schemas.openxmlformats.org/officeDocument/2006/relationships/chart" Target="charts/chart12.xml"/><Relationship Id="rId34" Type="http://schemas.openxmlformats.org/officeDocument/2006/relationships/chart" Target="charts/chart7.xml"/><Relationship Id="rId50" Type="http://schemas.openxmlformats.org/officeDocument/2006/relationships/hyperlink" Target="http://www.istat.it/it/archivio/commercio+estero+e+prezzi+import" TargetMode="External"/><Relationship Id="rId55" Type="http://schemas.openxmlformats.org/officeDocument/2006/relationships/hyperlink" Target="https://www.istat.it/it/files/2011/03/testointegrale20080225.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Ottobre_2023\coe_pi_mondo_102023_new.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Ottobre_2023\coe_pi_mondo_102023_new.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Ottobre_2023\coe_pi_mondo_102023_new.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Ottobre_2023\GraficiElabImport_10_2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Ottobre_2023\coe_pi_mondo_102023_new.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Ottobre_2023\coe_pi_mondo_102023_new.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Ottobre_2023\coe_pi_mondo_102023_new.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Ottobre_2023\GraficiElabImport_10_2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Ottobre_2023\coe_pi_mondo_102023_new.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Ottobre_2023\coe_pi_mondo_102023_new.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Ottobre_2023\coe_pi_mondo_102023_new.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Ottobre_2023\coe_pi_mondo_102023_new.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5"/>
          <c:order val="4"/>
          <c:tx>
            <c:strRef>
              <c:f>'figura 1'!$G$4</c:f>
              <c:strCache>
                <c:ptCount val="1"/>
                <c:pt idx="0">
                  <c:v>Saldi (scala destra)</c:v>
                </c:pt>
              </c:strCache>
            </c:strRef>
          </c:tx>
          <c:spPr>
            <a:solidFill>
              <a:srgbClr val="A6A6A6"/>
            </a:solidFill>
            <a:ln w="6350" cap="flat" cmpd="sng" algn="ctr">
              <a:solidFill>
                <a:schemeClr val="bg1"/>
              </a:solidFill>
              <a:prstDash val="solid"/>
              <a:round/>
              <a:headEnd type="none" w="med" len="med"/>
              <a:tailEnd type="none" w="med" len="med"/>
            </a:ln>
            <a:effectLst/>
          </c:spPr>
          <c:invertIfNegative val="0"/>
          <c:val>
            <c:numRef>
              <c:f>'figura 1'!$G$77:$G$148</c:f>
              <c:numCache>
                <c:formatCode>0</c:formatCode>
                <c:ptCount val="72"/>
                <c:pt idx="0">
                  <c:v>3724</c:v>
                </c:pt>
                <c:pt idx="1">
                  <c:v>4001</c:v>
                </c:pt>
                <c:pt idx="2">
                  <c:v>3852</c:v>
                </c:pt>
                <c:pt idx="3">
                  <c:v>3508</c:v>
                </c:pt>
                <c:pt idx="4">
                  <c:v>2312</c:v>
                </c:pt>
                <c:pt idx="5">
                  <c:v>4131</c:v>
                </c:pt>
                <c:pt idx="6">
                  <c:v>2889</c:v>
                </c:pt>
                <c:pt idx="7">
                  <c:v>4024</c:v>
                </c:pt>
                <c:pt idx="8">
                  <c:v>2467</c:v>
                </c:pt>
                <c:pt idx="9">
                  <c:v>2783</c:v>
                </c:pt>
                <c:pt idx="10">
                  <c:v>3632</c:v>
                </c:pt>
                <c:pt idx="11">
                  <c:v>1892</c:v>
                </c:pt>
                <c:pt idx="12">
                  <c:v>4615</c:v>
                </c:pt>
                <c:pt idx="13">
                  <c:v>4402</c:v>
                </c:pt>
                <c:pt idx="14">
                  <c:v>4536</c:v>
                </c:pt>
                <c:pt idx="15">
                  <c:v>4215</c:v>
                </c:pt>
                <c:pt idx="16">
                  <c:v>3954</c:v>
                </c:pt>
                <c:pt idx="17">
                  <c:v>5127</c:v>
                </c:pt>
                <c:pt idx="18">
                  <c:v>4628</c:v>
                </c:pt>
                <c:pt idx="19">
                  <c:v>4634</c:v>
                </c:pt>
                <c:pt idx="20">
                  <c:v>4601</c:v>
                </c:pt>
                <c:pt idx="21">
                  <c:v>6736</c:v>
                </c:pt>
                <c:pt idx="22">
                  <c:v>4710</c:v>
                </c:pt>
                <c:pt idx="23">
                  <c:v>4827</c:v>
                </c:pt>
                <c:pt idx="24">
                  <c:v>4446</c:v>
                </c:pt>
                <c:pt idx="25">
                  <c:v>5867</c:v>
                </c:pt>
                <c:pt idx="26">
                  <c:v>5341</c:v>
                </c:pt>
                <c:pt idx="27">
                  <c:v>-747</c:v>
                </c:pt>
                <c:pt idx="28">
                  <c:v>5167</c:v>
                </c:pt>
                <c:pt idx="29">
                  <c:v>5368</c:v>
                </c:pt>
                <c:pt idx="30">
                  <c:v>5952</c:v>
                </c:pt>
                <c:pt idx="31">
                  <c:v>6528</c:v>
                </c:pt>
                <c:pt idx="32">
                  <c:v>7076</c:v>
                </c:pt>
                <c:pt idx="33">
                  <c:v>5862</c:v>
                </c:pt>
                <c:pt idx="34">
                  <c:v>6522</c:v>
                </c:pt>
                <c:pt idx="35">
                  <c:v>5753</c:v>
                </c:pt>
                <c:pt idx="36">
                  <c:v>5807</c:v>
                </c:pt>
                <c:pt idx="37">
                  <c:v>5631</c:v>
                </c:pt>
                <c:pt idx="38">
                  <c:v>4563</c:v>
                </c:pt>
                <c:pt idx="39">
                  <c:v>5829</c:v>
                </c:pt>
                <c:pt idx="40">
                  <c:v>3945</c:v>
                </c:pt>
                <c:pt idx="41">
                  <c:v>4020</c:v>
                </c:pt>
                <c:pt idx="42">
                  <c:v>4679</c:v>
                </c:pt>
                <c:pt idx="43">
                  <c:v>2554</c:v>
                </c:pt>
                <c:pt idx="44">
                  <c:v>2391</c:v>
                </c:pt>
                <c:pt idx="45">
                  <c:v>1335</c:v>
                </c:pt>
                <c:pt idx="46">
                  <c:v>1161</c:v>
                </c:pt>
                <c:pt idx="47">
                  <c:v>-2940</c:v>
                </c:pt>
                <c:pt idx="48">
                  <c:v>-1270</c:v>
                </c:pt>
                <c:pt idx="49">
                  <c:v>-1171</c:v>
                </c:pt>
                <c:pt idx="50">
                  <c:v>-1738</c:v>
                </c:pt>
                <c:pt idx="51">
                  <c:v>-3485</c:v>
                </c:pt>
                <c:pt idx="52">
                  <c:v>-1976</c:v>
                </c:pt>
                <c:pt idx="53">
                  <c:v>-4253</c:v>
                </c:pt>
                <c:pt idx="54">
                  <c:v>-3778</c:v>
                </c:pt>
                <c:pt idx="55">
                  <c:v>-7851</c:v>
                </c:pt>
                <c:pt idx="56">
                  <c:v>-5780</c:v>
                </c:pt>
                <c:pt idx="57">
                  <c:v>-3183</c:v>
                </c:pt>
                <c:pt idx="58">
                  <c:v>-19</c:v>
                </c:pt>
                <c:pt idx="59">
                  <c:v>-608</c:v>
                </c:pt>
                <c:pt idx="60">
                  <c:v>1523</c:v>
                </c:pt>
                <c:pt idx="61">
                  <c:v>3245</c:v>
                </c:pt>
                <c:pt idx="62">
                  <c:v>2029</c:v>
                </c:pt>
                <c:pt idx="63">
                  <c:v>1185</c:v>
                </c:pt>
                <c:pt idx="64">
                  <c:v>2679</c:v>
                </c:pt>
                <c:pt idx="65">
                  <c:v>2196</c:v>
                </c:pt>
                <c:pt idx="66">
                  <c:v>3326</c:v>
                </c:pt>
                <c:pt idx="67">
                  <c:v>4117</c:v>
                </c:pt>
                <c:pt idx="68">
                  <c:v>3237</c:v>
                </c:pt>
                <c:pt idx="69">
                  <c:v>3866</c:v>
                </c:pt>
              </c:numCache>
            </c:numRef>
          </c:val>
          <c:extLst>
            <c:ext xmlns:c16="http://schemas.microsoft.com/office/drawing/2014/chart" uri="{C3380CC4-5D6E-409C-BE32-E72D297353CC}">
              <c16:uniqueId val="{00000000-24ED-4740-83A0-50B8F6931563}"/>
            </c:ext>
          </c:extLst>
        </c:ser>
        <c:dLbls>
          <c:showLegendKey val="0"/>
          <c:showVal val="0"/>
          <c:showCatName val="0"/>
          <c:showSerName val="0"/>
          <c:showPercent val="0"/>
          <c:showBubbleSize val="0"/>
        </c:dLbls>
        <c:gapWidth val="0"/>
        <c:axId val="204585296"/>
        <c:axId val="204584736"/>
      </c:barChart>
      <c:lineChart>
        <c:grouping val="standard"/>
        <c:varyColors val="0"/>
        <c:ser>
          <c:idx val="2"/>
          <c:order val="0"/>
          <c:tx>
            <c:strRef>
              <c:f>'figura 1'!$C$4</c:f>
              <c:strCache>
                <c:ptCount val="1"/>
                <c:pt idx="0">
                  <c:v>Export - mensile</c:v>
                </c:pt>
              </c:strCache>
            </c:strRef>
          </c:tx>
          <c:spPr>
            <a:ln w="12700" cap="flat" cmpd="sng" algn="ctr">
              <a:solidFill>
                <a:srgbClr val="003B5C"/>
              </a:solidFill>
              <a:prstDash val="sysDash"/>
              <a:round/>
              <a:headEnd type="none" w="med" len="med"/>
              <a:tailEnd type="none" w="med" len="med"/>
            </a:ln>
            <a:effectLst/>
          </c:spPr>
          <c:marker>
            <c:symbol val="none"/>
          </c:marker>
          <c:cat>
            <c:numRef>
              <c:f>'figura 1'!$B$77:$B$148</c:f>
              <c:numCache>
                <c:formatCode>General</c:formatCode>
                <c:ptCount val="72"/>
                <c:pt idx="5" formatCode="0">
                  <c:v>2018</c:v>
                </c:pt>
                <c:pt idx="17" formatCode="0">
                  <c:v>2019</c:v>
                </c:pt>
                <c:pt idx="29" formatCode="0">
                  <c:v>2020</c:v>
                </c:pt>
                <c:pt idx="41" formatCode="0">
                  <c:v>2021</c:v>
                </c:pt>
                <c:pt idx="53" formatCode="0">
                  <c:v>2022</c:v>
                </c:pt>
                <c:pt idx="65" formatCode="0">
                  <c:v>2023</c:v>
                </c:pt>
              </c:numCache>
            </c:numRef>
          </c:cat>
          <c:val>
            <c:numRef>
              <c:f>'figura 1'!$C$77:$C$148</c:f>
              <c:numCache>
                <c:formatCode>0</c:formatCode>
                <c:ptCount val="72"/>
                <c:pt idx="0">
                  <c:v>37811</c:v>
                </c:pt>
                <c:pt idx="1">
                  <c:v>37954</c:v>
                </c:pt>
                <c:pt idx="2">
                  <c:v>38399</c:v>
                </c:pt>
                <c:pt idx="3">
                  <c:v>38454</c:v>
                </c:pt>
                <c:pt idx="4">
                  <c:v>37553</c:v>
                </c:pt>
                <c:pt idx="5">
                  <c:v>39669</c:v>
                </c:pt>
                <c:pt idx="6">
                  <c:v>39361</c:v>
                </c:pt>
                <c:pt idx="7">
                  <c:v>39795</c:v>
                </c:pt>
                <c:pt idx="8">
                  <c:v>38502</c:v>
                </c:pt>
                <c:pt idx="9">
                  <c:v>39795</c:v>
                </c:pt>
                <c:pt idx="10">
                  <c:v>39950</c:v>
                </c:pt>
                <c:pt idx="11">
                  <c:v>38679</c:v>
                </c:pt>
                <c:pt idx="12">
                  <c:v>39832</c:v>
                </c:pt>
                <c:pt idx="13">
                  <c:v>39571</c:v>
                </c:pt>
                <c:pt idx="14">
                  <c:v>40145</c:v>
                </c:pt>
                <c:pt idx="15">
                  <c:v>40018</c:v>
                </c:pt>
                <c:pt idx="16">
                  <c:v>40353</c:v>
                </c:pt>
                <c:pt idx="17">
                  <c:v>40761</c:v>
                </c:pt>
                <c:pt idx="18">
                  <c:v>40294</c:v>
                </c:pt>
                <c:pt idx="19">
                  <c:v>39573</c:v>
                </c:pt>
                <c:pt idx="20">
                  <c:v>40741</c:v>
                </c:pt>
                <c:pt idx="21">
                  <c:v>41475</c:v>
                </c:pt>
                <c:pt idx="22">
                  <c:v>38996</c:v>
                </c:pt>
                <c:pt idx="23">
                  <c:v>40448</c:v>
                </c:pt>
                <c:pt idx="24">
                  <c:v>40455</c:v>
                </c:pt>
                <c:pt idx="25">
                  <c:v>40299</c:v>
                </c:pt>
                <c:pt idx="26">
                  <c:v>33877</c:v>
                </c:pt>
                <c:pt idx="27">
                  <c:v>22052</c:v>
                </c:pt>
                <c:pt idx="28">
                  <c:v>30287</c:v>
                </c:pt>
                <c:pt idx="29">
                  <c:v>34795</c:v>
                </c:pt>
                <c:pt idx="30">
                  <c:v>37371</c:v>
                </c:pt>
                <c:pt idx="31">
                  <c:v>38108</c:v>
                </c:pt>
                <c:pt idx="32">
                  <c:v>39481</c:v>
                </c:pt>
                <c:pt idx="33">
                  <c:v>38960</c:v>
                </c:pt>
                <c:pt idx="34">
                  <c:v>40623</c:v>
                </c:pt>
                <c:pt idx="35">
                  <c:v>39325</c:v>
                </c:pt>
                <c:pt idx="36">
                  <c:v>39883</c:v>
                </c:pt>
                <c:pt idx="37">
                  <c:v>40483</c:v>
                </c:pt>
                <c:pt idx="38">
                  <c:v>41570</c:v>
                </c:pt>
                <c:pt idx="39">
                  <c:v>43502</c:v>
                </c:pt>
                <c:pt idx="40">
                  <c:v>41673</c:v>
                </c:pt>
                <c:pt idx="41">
                  <c:v>42893</c:v>
                </c:pt>
                <c:pt idx="42">
                  <c:v>44499</c:v>
                </c:pt>
                <c:pt idx="43">
                  <c:v>44285</c:v>
                </c:pt>
                <c:pt idx="44">
                  <c:v>43952</c:v>
                </c:pt>
                <c:pt idx="45">
                  <c:v>44589</c:v>
                </c:pt>
                <c:pt idx="46">
                  <c:v>45801</c:v>
                </c:pt>
                <c:pt idx="47">
                  <c:v>45711</c:v>
                </c:pt>
                <c:pt idx="48">
                  <c:v>47702</c:v>
                </c:pt>
                <c:pt idx="49">
                  <c:v>49325</c:v>
                </c:pt>
                <c:pt idx="50">
                  <c:v>50310</c:v>
                </c:pt>
                <c:pt idx="51">
                  <c:v>51575</c:v>
                </c:pt>
                <c:pt idx="52">
                  <c:v>53418</c:v>
                </c:pt>
                <c:pt idx="53">
                  <c:v>52317</c:v>
                </c:pt>
                <c:pt idx="54">
                  <c:v>55166</c:v>
                </c:pt>
                <c:pt idx="55">
                  <c:v>52537</c:v>
                </c:pt>
                <c:pt idx="56">
                  <c:v>53754</c:v>
                </c:pt>
                <c:pt idx="57">
                  <c:v>52756</c:v>
                </c:pt>
                <c:pt idx="58">
                  <c:v>54924</c:v>
                </c:pt>
                <c:pt idx="59">
                  <c:v>53818</c:v>
                </c:pt>
                <c:pt idx="60">
                  <c:v>53854</c:v>
                </c:pt>
                <c:pt idx="61">
                  <c:v>54710</c:v>
                </c:pt>
                <c:pt idx="62">
                  <c:v>52813</c:v>
                </c:pt>
                <c:pt idx="63">
                  <c:v>51882</c:v>
                </c:pt>
                <c:pt idx="64">
                  <c:v>51719</c:v>
                </c:pt>
                <c:pt idx="65">
                  <c:v>51970</c:v>
                </c:pt>
                <c:pt idx="66">
                  <c:v>51125</c:v>
                </c:pt>
                <c:pt idx="67">
                  <c:v>53734</c:v>
                </c:pt>
                <c:pt idx="68">
                  <c:v>51410</c:v>
                </c:pt>
                <c:pt idx="69">
                  <c:v>53369</c:v>
                </c:pt>
              </c:numCache>
            </c:numRef>
          </c:val>
          <c:smooth val="0"/>
          <c:extLst>
            <c:ext xmlns:c16="http://schemas.microsoft.com/office/drawing/2014/chart" uri="{C3380CC4-5D6E-409C-BE32-E72D297353CC}">
              <c16:uniqueId val="{00000001-24ED-4740-83A0-50B8F6931563}"/>
            </c:ext>
          </c:extLst>
        </c:ser>
        <c:ser>
          <c:idx val="4"/>
          <c:order val="1"/>
          <c:tx>
            <c:strRef>
              <c:f>'figura 1'!$D$4</c:f>
              <c:strCache>
                <c:ptCount val="1"/>
                <c:pt idx="0">
                  <c:v>Export - media 3m</c:v>
                </c:pt>
              </c:strCache>
            </c:strRef>
          </c:tx>
          <c:spPr>
            <a:ln w="28575" cap="rnd">
              <a:solidFill>
                <a:srgbClr val="003B5C"/>
              </a:solidFill>
              <a:round/>
            </a:ln>
            <a:effectLst/>
          </c:spPr>
          <c:marker>
            <c:symbol val="none"/>
          </c:marker>
          <c:cat>
            <c:numRef>
              <c:f>'figura 1'!$B$77:$B$148</c:f>
              <c:numCache>
                <c:formatCode>General</c:formatCode>
                <c:ptCount val="72"/>
                <c:pt idx="5" formatCode="0">
                  <c:v>2018</c:v>
                </c:pt>
                <c:pt idx="17" formatCode="0">
                  <c:v>2019</c:v>
                </c:pt>
                <c:pt idx="29" formatCode="0">
                  <c:v>2020</c:v>
                </c:pt>
                <c:pt idx="41" formatCode="0">
                  <c:v>2021</c:v>
                </c:pt>
                <c:pt idx="53" formatCode="0">
                  <c:v>2022</c:v>
                </c:pt>
                <c:pt idx="65" formatCode="0">
                  <c:v>2023</c:v>
                </c:pt>
              </c:numCache>
            </c:numRef>
          </c:cat>
          <c:val>
            <c:numRef>
              <c:f>'figura 1'!$D$77:$D$148</c:f>
              <c:numCache>
                <c:formatCode>0</c:formatCode>
                <c:ptCount val="72"/>
                <c:pt idx="0">
                  <c:v>38562</c:v>
                </c:pt>
                <c:pt idx="1">
                  <c:v>38054.666666666672</c:v>
                </c:pt>
                <c:pt idx="2">
                  <c:v>38269</c:v>
                </c:pt>
                <c:pt idx="3">
                  <c:v>38135.333333333328</c:v>
                </c:pt>
                <c:pt idx="4">
                  <c:v>38558.666666666672</c:v>
                </c:pt>
                <c:pt idx="5">
                  <c:v>38861</c:v>
                </c:pt>
                <c:pt idx="6">
                  <c:v>39608.333333333328</c:v>
                </c:pt>
                <c:pt idx="7">
                  <c:v>39219.333333333328</c:v>
                </c:pt>
                <c:pt idx="8">
                  <c:v>39364</c:v>
                </c:pt>
                <c:pt idx="9">
                  <c:v>39415.666666666664</c:v>
                </c:pt>
                <c:pt idx="10">
                  <c:v>39474.666666666672</c:v>
                </c:pt>
                <c:pt idx="11">
                  <c:v>39487</c:v>
                </c:pt>
                <c:pt idx="12">
                  <c:v>39360.666666666664</c:v>
                </c:pt>
                <c:pt idx="13">
                  <c:v>39849.333333333328</c:v>
                </c:pt>
                <c:pt idx="14">
                  <c:v>39911.333333333328</c:v>
                </c:pt>
                <c:pt idx="15">
                  <c:v>40172</c:v>
                </c:pt>
                <c:pt idx="16">
                  <c:v>40377.333333333328</c:v>
                </c:pt>
                <c:pt idx="17">
                  <c:v>40469.333333333328</c:v>
                </c:pt>
                <c:pt idx="18">
                  <c:v>40209.333333333336</c:v>
                </c:pt>
                <c:pt idx="19">
                  <c:v>40202.666666666672</c:v>
                </c:pt>
                <c:pt idx="20">
                  <c:v>40596.333333333328</c:v>
                </c:pt>
                <c:pt idx="21">
                  <c:v>40404</c:v>
                </c:pt>
                <c:pt idx="22">
                  <c:v>40306.333333333336</c:v>
                </c:pt>
                <c:pt idx="23">
                  <c:v>39966.333333333328</c:v>
                </c:pt>
                <c:pt idx="24">
                  <c:v>40400.666666666664</c:v>
                </c:pt>
                <c:pt idx="25">
                  <c:v>38210.333333333336</c:v>
                </c:pt>
                <c:pt idx="26">
                  <c:v>32076</c:v>
                </c:pt>
                <c:pt idx="27">
                  <c:v>28738.666666666664</c:v>
                </c:pt>
                <c:pt idx="28">
                  <c:v>29044.666666666664</c:v>
                </c:pt>
                <c:pt idx="29">
                  <c:v>34151</c:v>
                </c:pt>
                <c:pt idx="30">
                  <c:v>36758</c:v>
                </c:pt>
                <c:pt idx="31">
                  <c:v>38320</c:v>
                </c:pt>
                <c:pt idx="32">
                  <c:v>38849.666666666664</c:v>
                </c:pt>
                <c:pt idx="33">
                  <c:v>39688</c:v>
                </c:pt>
                <c:pt idx="34">
                  <c:v>39636</c:v>
                </c:pt>
                <c:pt idx="35">
                  <c:v>39943.666666666664</c:v>
                </c:pt>
                <c:pt idx="36">
                  <c:v>39897</c:v>
                </c:pt>
                <c:pt idx="37">
                  <c:v>40645.333333333336</c:v>
                </c:pt>
                <c:pt idx="38">
                  <c:v>41851.666666666672</c:v>
                </c:pt>
                <c:pt idx="39">
                  <c:v>42248.333333333336</c:v>
                </c:pt>
                <c:pt idx="40">
                  <c:v>42689.333333333336</c:v>
                </c:pt>
                <c:pt idx="41">
                  <c:v>43021.666666666672</c:v>
                </c:pt>
                <c:pt idx="42">
                  <c:v>43892.333333333328</c:v>
                </c:pt>
                <c:pt idx="43">
                  <c:v>44245.333333333328</c:v>
                </c:pt>
                <c:pt idx="44">
                  <c:v>44275.333333333328</c:v>
                </c:pt>
                <c:pt idx="45">
                  <c:v>44780.666666666672</c:v>
                </c:pt>
                <c:pt idx="46">
                  <c:v>45367</c:v>
                </c:pt>
                <c:pt idx="47">
                  <c:v>46404.666666666664</c:v>
                </c:pt>
                <c:pt idx="48">
                  <c:v>47579.333333333336</c:v>
                </c:pt>
                <c:pt idx="49">
                  <c:v>49112.333333333328</c:v>
                </c:pt>
                <c:pt idx="50">
                  <c:v>50403.333333333336</c:v>
                </c:pt>
                <c:pt idx="51">
                  <c:v>51767.666666666672</c:v>
                </c:pt>
                <c:pt idx="52">
                  <c:v>52436.666666666672</c:v>
                </c:pt>
                <c:pt idx="53">
                  <c:v>53633.666666666664</c:v>
                </c:pt>
                <c:pt idx="54">
                  <c:v>53340</c:v>
                </c:pt>
                <c:pt idx="55">
                  <c:v>53819</c:v>
                </c:pt>
                <c:pt idx="56">
                  <c:v>53015.666666666664</c:v>
                </c:pt>
                <c:pt idx="57">
                  <c:v>53811.333333333328</c:v>
                </c:pt>
                <c:pt idx="58">
                  <c:v>53832.666666666672</c:v>
                </c:pt>
                <c:pt idx="59">
                  <c:v>54198.666666666672</c:v>
                </c:pt>
                <c:pt idx="60">
                  <c:v>54127.333333333328</c:v>
                </c:pt>
                <c:pt idx="61">
                  <c:v>53792.333333333328</c:v>
                </c:pt>
                <c:pt idx="62">
                  <c:v>53135</c:v>
                </c:pt>
                <c:pt idx="63">
                  <c:v>52138</c:v>
                </c:pt>
                <c:pt idx="64">
                  <c:v>51857</c:v>
                </c:pt>
                <c:pt idx="65">
                  <c:v>51604.666666666664</c:v>
                </c:pt>
                <c:pt idx="66">
                  <c:v>52276.333333333336</c:v>
                </c:pt>
                <c:pt idx="67">
                  <c:v>52089.666666666664</c:v>
                </c:pt>
                <c:pt idx="68">
                  <c:v>52837.666666666672</c:v>
                </c:pt>
              </c:numCache>
            </c:numRef>
          </c:val>
          <c:smooth val="0"/>
          <c:extLst>
            <c:ext xmlns:c16="http://schemas.microsoft.com/office/drawing/2014/chart" uri="{C3380CC4-5D6E-409C-BE32-E72D297353CC}">
              <c16:uniqueId val="{00000002-24ED-4740-83A0-50B8F6931563}"/>
            </c:ext>
          </c:extLst>
        </c:ser>
        <c:ser>
          <c:idx val="1"/>
          <c:order val="2"/>
          <c:tx>
            <c:strRef>
              <c:f>'figura 1'!$E$4</c:f>
              <c:strCache>
                <c:ptCount val="1"/>
                <c:pt idx="0">
                  <c:v>Import - mensile</c:v>
                </c:pt>
              </c:strCache>
            </c:strRef>
          </c:tx>
          <c:spPr>
            <a:ln w="12700" cap="flat" cmpd="sng" algn="ctr">
              <a:solidFill>
                <a:srgbClr val="D22630"/>
              </a:solidFill>
              <a:prstDash val="sysDash"/>
              <a:round/>
              <a:headEnd type="none" w="med" len="med"/>
              <a:tailEnd type="none" w="med" len="med"/>
            </a:ln>
            <a:effectLst/>
          </c:spPr>
          <c:marker>
            <c:symbol val="none"/>
          </c:marker>
          <c:cat>
            <c:numRef>
              <c:f>'figura 1'!$B$77:$B$148</c:f>
              <c:numCache>
                <c:formatCode>General</c:formatCode>
                <c:ptCount val="72"/>
                <c:pt idx="5" formatCode="0">
                  <c:v>2018</c:v>
                </c:pt>
                <c:pt idx="17" formatCode="0">
                  <c:v>2019</c:v>
                </c:pt>
                <c:pt idx="29" formatCode="0">
                  <c:v>2020</c:v>
                </c:pt>
                <c:pt idx="41" formatCode="0">
                  <c:v>2021</c:v>
                </c:pt>
                <c:pt idx="53" formatCode="0">
                  <c:v>2022</c:v>
                </c:pt>
                <c:pt idx="65" formatCode="0">
                  <c:v>2023</c:v>
                </c:pt>
              </c:numCache>
            </c:numRef>
          </c:cat>
          <c:val>
            <c:numRef>
              <c:f>'figura 1'!$E$77:$E$148</c:f>
              <c:numCache>
                <c:formatCode>0</c:formatCode>
                <c:ptCount val="72"/>
                <c:pt idx="0">
                  <c:v>34087</c:v>
                </c:pt>
                <c:pt idx="1">
                  <c:v>33953</c:v>
                </c:pt>
                <c:pt idx="2">
                  <c:v>34547</c:v>
                </c:pt>
                <c:pt idx="3">
                  <c:v>34946</c:v>
                </c:pt>
                <c:pt idx="4">
                  <c:v>35241</c:v>
                </c:pt>
                <c:pt idx="5">
                  <c:v>35538</c:v>
                </c:pt>
                <c:pt idx="6">
                  <c:v>36472</c:v>
                </c:pt>
                <c:pt idx="7">
                  <c:v>35771</c:v>
                </c:pt>
                <c:pt idx="8">
                  <c:v>36035</c:v>
                </c:pt>
                <c:pt idx="9">
                  <c:v>37012</c:v>
                </c:pt>
                <c:pt idx="10">
                  <c:v>36318</c:v>
                </c:pt>
                <c:pt idx="11">
                  <c:v>36787</c:v>
                </c:pt>
                <c:pt idx="12">
                  <c:v>35217</c:v>
                </c:pt>
                <c:pt idx="13">
                  <c:v>35169</c:v>
                </c:pt>
                <c:pt idx="14">
                  <c:v>35609</c:v>
                </c:pt>
                <c:pt idx="15">
                  <c:v>35803</c:v>
                </c:pt>
                <c:pt idx="16">
                  <c:v>36399</c:v>
                </c:pt>
                <c:pt idx="17">
                  <c:v>35634</c:v>
                </c:pt>
                <c:pt idx="18">
                  <c:v>35666</c:v>
                </c:pt>
                <c:pt idx="19">
                  <c:v>34939</c:v>
                </c:pt>
                <c:pt idx="20">
                  <c:v>36140</c:v>
                </c:pt>
                <c:pt idx="21">
                  <c:v>34739</c:v>
                </c:pt>
                <c:pt idx="22">
                  <c:v>34286</c:v>
                </c:pt>
                <c:pt idx="23">
                  <c:v>35621</c:v>
                </c:pt>
                <c:pt idx="24">
                  <c:v>36009</c:v>
                </c:pt>
                <c:pt idx="25">
                  <c:v>34432</c:v>
                </c:pt>
                <c:pt idx="26">
                  <c:v>28536</c:v>
                </c:pt>
                <c:pt idx="27">
                  <c:v>22799</c:v>
                </c:pt>
                <c:pt idx="28">
                  <c:v>25120</c:v>
                </c:pt>
                <c:pt idx="29">
                  <c:v>29427</c:v>
                </c:pt>
                <c:pt idx="30">
                  <c:v>31419</c:v>
                </c:pt>
                <c:pt idx="31">
                  <c:v>31580</c:v>
                </c:pt>
                <c:pt idx="32">
                  <c:v>32405</c:v>
                </c:pt>
                <c:pt idx="33">
                  <c:v>33098</c:v>
                </c:pt>
                <c:pt idx="34">
                  <c:v>34101</c:v>
                </c:pt>
                <c:pt idx="35">
                  <c:v>33572</c:v>
                </c:pt>
                <c:pt idx="36">
                  <c:v>34076</c:v>
                </c:pt>
                <c:pt idx="37">
                  <c:v>34852</c:v>
                </c:pt>
                <c:pt idx="38">
                  <c:v>37007</c:v>
                </c:pt>
                <c:pt idx="39">
                  <c:v>37673</c:v>
                </c:pt>
                <c:pt idx="40">
                  <c:v>37728</c:v>
                </c:pt>
                <c:pt idx="41">
                  <c:v>38873</c:v>
                </c:pt>
                <c:pt idx="42">
                  <c:v>39820</c:v>
                </c:pt>
                <c:pt idx="43">
                  <c:v>41731</c:v>
                </c:pt>
                <c:pt idx="44">
                  <c:v>41561</c:v>
                </c:pt>
                <c:pt idx="45">
                  <c:v>43254</c:v>
                </c:pt>
                <c:pt idx="46">
                  <c:v>44640</c:v>
                </c:pt>
                <c:pt idx="47">
                  <c:v>48651</c:v>
                </c:pt>
                <c:pt idx="48">
                  <c:v>48972</c:v>
                </c:pt>
                <c:pt idx="49">
                  <c:v>50496</c:v>
                </c:pt>
                <c:pt idx="50">
                  <c:v>52048</c:v>
                </c:pt>
                <c:pt idx="51">
                  <c:v>55060</c:v>
                </c:pt>
                <c:pt idx="52">
                  <c:v>55394</c:v>
                </c:pt>
                <c:pt idx="53">
                  <c:v>56570</c:v>
                </c:pt>
                <c:pt idx="54">
                  <c:v>58944</c:v>
                </c:pt>
                <c:pt idx="55">
                  <c:v>60388</c:v>
                </c:pt>
                <c:pt idx="56">
                  <c:v>59534</c:v>
                </c:pt>
                <c:pt idx="57">
                  <c:v>55939</c:v>
                </c:pt>
                <c:pt idx="58">
                  <c:v>54943</c:v>
                </c:pt>
                <c:pt idx="59">
                  <c:v>54426</c:v>
                </c:pt>
                <c:pt idx="60">
                  <c:v>52331</c:v>
                </c:pt>
                <c:pt idx="61">
                  <c:v>51465</c:v>
                </c:pt>
                <c:pt idx="62">
                  <c:v>50784</c:v>
                </c:pt>
                <c:pt idx="63">
                  <c:v>50697</c:v>
                </c:pt>
                <c:pt idx="64">
                  <c:v>49040</c:v>
                </c:pt>
                <c:pt idx="65">
                  <c:v>49774</c:v>
                </c:pt>
                <c:pt idx="66">
                  <c:v>47799</c:v>
                </c:pt>
                <c:pt idx="67">
                  <c:v>49617</c:v>
                </c:pt>
                <c:pt idx="68">
                  <c:v>48173</c:v>
                </c:pt>
                <c:pt idx="69">
                  <c:v>49503</c:v>
                </c:pt>
              </c:numCache>
            </c:numRef>
          </c:val>
          <c:smooth val="0"/>
          <c:extLst>
            <c:ext xmlns:c16="http://schemas.microsoft.com/office/drawing/2014/chart" uri="{C3380CC4-5D6E-409C-BE32-E72D297353CC}">
              <c16:uniqueId val="{00000003-24ED-4740-83A0-50B8F6931563}"/>
            </c:ext>
          </c:extLst>
        </c:ser>
        <c:ser>
          <c:idx val="3"/>
          <c:order val="3"/>
          <c:tx>
            <c:strRef>
              <c:f>'figura 1'!$F$4</c:f>
              <c:strCache>
                <c:ptCount val="1"/>
                <c:pt idx="0">
                  <c:v>Import - media 3m</c:v>
                </c:pt>
              </c:strCache>
            </c:strRef>
          </c:tx>
          <c:spPr>
            <a:ln w="28575" cap="rnd">
              <a:solidFill>
                <a:srgbClr val="D22630"/>
              </a:solidFill>
              <a:round/>
            </a:ln>
            <a:effectLst/>
          </c:spPr>
          <c:marker>
            <c:symbol val="none"/>
          </c:marker>
          <c:cat>
            <c:numRef>
              <c:f>'figura 1'!$B$77:$B$148</c:f>
              <c:numCache>
                <c:formatCode>General</c:formatCode>
                <c:ptCount val="72"/>
                <c:pt idx="5" formatCode="0">
                  <c:v>2018</c:v>
                </c:pt>
                <c:pt idx="17" formatCode="0">
                  <c:v>2019</c:v>
                </c:pt>
                <c:pt idx="29" formatCode="0">
                  <c:v>2020</c:v>
                </c:pt>
                <c:pt idx="41" formatCode="0">
                  <c:v>2021</c:v>
                </c:pt>
                <c:pt idx="53" formatCode="0">
                  <c:v>2022</c:v>
                </c:pt>
                <c:pt idx="65" formatCode="0">
                  <c:v>2023</c:v>
                </c:pt>
              </c:numCache>
            </c:numRef>
          </c:cat>
          <c:val>
            <c:numRef>
              <c:f>'figura 1'!$F$77:$F$148</c:f>
              <c:numCache>
                <c:formatCode>0</c:formatCode>
                <c:ptCount val="72"/>
                <c:pt idx="0">
                  <c:v>34540.333333333336</c:v>
                </c:pt>
                <c:pt idx="1">
                  <c:v>34195.666666666664</c:v>
                </c:pt>
                <c:pt idx="2">
                  <c:v>34482</c:v>
                </c:pt>
                <c:pt idx="3">
                  <c:v>34911.333333333336</c:v>
                </c:pt>
                <c:pt idx="4">
                  <c:v>35241.666666666664</c:v>
                </c:pt>
                <c:pt idx="5">
                  <c:v>35750.333333333328</c:v>
                </c:pt>
                <c:pt idx="6">
                  <c:v>35927</c:v>
                </c:pt>
                <c:pt idx="7">
                  <c:v>36092.666666666664</c:v>
                </c:pt>
                <c:pt idx="8">
                  <c:v>36272.666666666672</c:v>
                </c:pt>
                <c:pt idx="9">
                  <c:v>36455</c:v>
                </c:pt>
                <c:pt idx="10">
                  <c:v>36705.666666666664</c:v>
                </c:pt>
                <c:pt idx="11">
                  <c:v>36107.333333333328</c:v>
                </c:pt>
                <c:pt idx="12">
                  <c:v>35724.333333333336</c:v>
                </c:pt>
                <c:pt idx="13">
                  <c:v>35331.666666666664</c:v>
                </c:pt>
                <c:pt idx="14">
                  <c:v>35527</c:v>
                </c:pt>
                <c:pt idx="15">
                  <c:v>35937</c:v>
                </c:pt>
                <c:pt idx="16">
                  <c:v>35945.333333333336</c:v>
                </c:pt>
                <c:pt idx="17">
                  <c:v>35899.666666666672</c:v>
                </c:pt>
                <c:pt idx="18">
                  <c:v>35413</c:v>
                </c:pt>
                <c:pt idx="19">
                  <c:v>35581.666666666672</c:v>
                </c:pt>
                <c:pt idx="20">
                  <c:v>35272.666666666672</c:v>
                </c:pt>
                <c:pt idx="21">
                  <c:v>35055</c:v>
                </c:pt>
                <c:pt idx="22">
                  <c:v>34882</c:v>
                </c:pt>
                <c:pt idx="23">
                  <c:v>35305.333333333328</c:v>
                </c:pt>
                <c:pt idx="24">
                  <c:v>35354</c:v>
                </c:pt>
                <c:pt idx="25">
                  <c:v>32992.333333333336</c:v>
                </c:pt>
                <c:pt idx="26">
                  <c:v>28589</c:v>
                </c:pt>
                <c:pt idx="27">
                  <c:v>25485</c:v>
                </c:pt>
                <c:pt idx="28">
                  <c:v>25782</c:v>
                </c:pt>
                <c:pt idx="29">
                  <c:v>28655.333333333336</c:v>
                </c:pt>
                <c:pt idx="30">
                  <c:v>30808.666666666664</c:v>
                </c:pt>
                <c:pt idx="31">
                  <c:v>31801.333333333336</c:v>
                </c:pt>
                <c:pt idx="32">
                  <c:v>32361</c:v>
                </c:pt>
                <c:pt idx="33">
                  <c:v>33201.333333333328</c:v>
                </c:pt>
                <c:pt idx="34">
                  <c:v>33590.333333333336</c:v>
                </c:pt>
                <c:pt idx="35">
                  <c:v>33916.333333333336</c:v>
                </c:pt>
                <c:pt idx="36">
                  <c:v>34166.666666666672</c:v>
                </c:pt>
                <c:pt idx="37">
                  <c:v>35311.666666666664</c:v>
                </c:pt>
                <c:pt idx="38">
                  <c:v>36510.666666666664</c:v>
                </c:pt>
                <c:pt idx="39">
                  <c:v>37469.333333333328</c:v>
                </c:pt>
                <c:pt idx="40">
                  <c:v>38091.333333333328</c:v>
                </c:pt>
                <c:pt idx="41">
                  <c:v>38807</c:v>
                </c:pt>
                <c:pt idx="42">
                  <c:v>40141.333333333336</c:v>
                </c:pt>
                <c:pt idx="43">
                  <c:v>41037.333333333328</c:v>
                </c:pt>
                <c:pt idx="44">
                  <c:v>42182</c:v>
                </c:pt>
                <c:pt idx="45">
                  <c:v>43151.666666666672</c:v>
                </c:pt>
                <c:pt idx="46">
                  <c:v>45515</c:v>
                </c:pt>
                <c:pt idx="47">
                  <c:v>47421</c:v>
                </c:pt>
                <c:pt idx="48">
                  <c:v>49373</c:v>
                </c:pt>
                <c:pt idx="49">
                  <c:v>50505.333333333336</c:v>
                </c:pt>
                <c:pt idx="50">
                  <c:v>52534.666666666672</c:v>
                </c:pt>
                <c:pt idx="51">
                  <c:v>54167.333333333328</c:v>
                </c:pt>
                <c:pt idx="52">
                  <c:v>55674.666666666672</c:v>
                </c:pt>
                <c:pt idx="53">
                  <c:v>56969.333333333336</c:v>
                </c:pt>
                <c:pt idx="54">
                  <c:v>58634</c:v>
                </c:pt>
                <c:pt idx="55">
                  <c:v>59622</c:v>
                </c:pt>
                <c:pt idx="56">
                  <c:v>58620.333333333328</c:v>
                </c:pt>
                <c:pt idx="57">
                  <c:v>56805.333333333328</c:v>
                </c:pt>
                <c:pt idx="58">
                  <c:v>55102.666666666672</c:v>
                </c:pt>
                <c:pt idx="59">
                  <c:v>53900</c:v>
                </c:pt>
                <c:pt idx="60">
                  <c:v>52740.666666666664</c:v>
                </c:pt>
                <c:pt idx="61">
                  <c:v>51526.666666666672</c:v>
                </c:pt>
                <c:pt idx="62">
                  <c:v>50982</c:v>
                </c:pt>
                <c:pt idx="63">
                  <c:v>50173.666666666672</c:v>
                </c:pt>
                <c:pt idx="64">
                  <c:v>49837</c:v>
                </c:pt>
                <c:pt idx="65">
                  <c:v>48871</c:v>
                </c:pt>
                <c:pt idx="66">
                  <c:v>49063.333333333336</c:v>
                </c:pt>
                <c:pt idx="67">
                  <c:v>48529.666666666672</c:v>
                </c:pt>
                <c:pt idx="68">
                  <c:v>49097.666666666672</c:v>
                </c:pt>
              </c:numCache>
            </c:numRef>
          </c:val>
          <c:smooth val="0"/>
          <c:extLst>
            <c:ext xmlns:c16="http://schemas.microsoft.com/office/drawing/2014/chart" uri="{C3380CC4-5D6E-409C-BE32-E72D297353CC}">
              <c16:uniqueId val="{00000004-24ED-4740-83A0-50B8F6931563}"/>
            </c:ext>
          </c:extLst>
        </c:ser>
        <c:dLbls>
          <c:showLegendKey val="0"/>
          <c:showVal val="0"/>
          <c:showCatName val="0"/>
          <c:showSerName val="0"/>
          <c:showPercent val="0"/>
          <c:showBubbleSize val="0"/>
        </c:dLbls>
        <c:marker val="1"/>
        <c:smooth val="0"/>
        <c:axId val="204583616"/>
        <c:axId val="204584176"/>
      </c:lineChart>
      <c:catAx>
        <c:axId val="204583616"/>
        <c:scaling>
          <c:orientation val="minMax"/>
        </c:scaling>
        <c:delete val="0"/>
        <c:axPos val="b"/>
        <c:majorGridlines>
          <c:spPr>
            <a:ln w="6350" cap="flat" cmpd="sng" algn="ctr">
              <a:solidFill>
                <a:srgbClr val="FFFFFF"/>
              </a:solidFill>
              <a:prstDash val="solid"/>
              <a:round/>
              <a:headEnd type="none" w="med" len="med"/>
              <a:tailEnd type="none" w="med" len="med"/>
            </a:ln>
            <a:effectLst/>
          </c:spPr>
        </c:majorGridlines>
        <c:numFmt formatCode="General" sourceLinked="1"/>
        <c:majorTickMark val="none"/>
        <c:minorTickMark val="none"/>
        <c:tickLblPos val="low"/>
        <c:spPr>
          <a:noFill/>
          <a:ln w="9525" cap="flat" cmpd="sng" algn="ctr">
            <a:solidFill>
              <a:schemeClr val="bg1"/>
            </a:solidFill>
            <a:round/>
          </a:ln>
          <a:effectLst/>
        </c:spPr>
        <c:txPr>
          <a:bodyPr rot="-60000000" spcFirstLastPara="1" vertOverflow="ellipsis" vert="horz" wrap="square" anchor="ctr" anchorCtr="1"/>
          <a:lstStyle/>
          <a:p>
            <a:pPr>
              <a:defRPr sz="1000" b="1" i="0" u="none" strike="noStrike" kern="1200" baseline="0">
                <a:solidFill>
                  <a:srgbClr val="000000"/>
                </a:solidFill>
                <a:latin typeface="Arial Narrow"/>
                <a:ea typeface="Arial Narrow"/>
                <a:cs typeface="Arial Narrow"/>
              </a:defRPr>
            </a:pPr>
            <a:endParaRPr lang="it-IT"/>
          </a:p>
        </c:txPr>
        <c:crossAx val="204584176"/>
        <c:crosses val="autoZero"/>
        <c:auto val="1"/>
        <c:lblAlgn val="ctr"/>
        <c:lblOffset val="0"/>
        <c:tickMarkSkip val="3"/>
        <c:noMultiLvlLbl val="0"/>
      </c:catAx>
      <c:valAx>
        <c:axId val="204584176"/>
        <c:scaling>
          <c:orientation val="minMax"/>
          <c:max val="65000"/>
          <c:min val="15000"/>
        </c:scaling>
        <c:delete val="0"/>
        <c:axPos val="l"/>
        <c:majorGridlines>
          <c:spPr>
            <a:ln w="9525" cap="flat" cmpd="sng" algn="ctr">
              <a:solidFill>
                <a:srgbClr val="FFFFFF">
                  <a:lumMod val="100000"/>
                </a:srgbClr>
              </a:solidFill>
              <a:round/>
            </a:ln>
            <a:effectLst/>
          </c:spPr>
        </c:majorGridlines>
        <c:numFmt formatCode="0" sourceLinked="1"/>
        <c:majorTickMark val="none"/>
        <c:minorTickMark val="none"/>
        <c:tickLblPos val="nextTo"/>
        <c:spPr>
          <a:noFill/>
          <a:ln>
            <a:noFill/>
          </a:ln>
          <a:effectLst/>
          <a:extLst>
            <a:ext uri="{91240B29-F687-4F45-9708-019B960494DF}">
              <a14:hiddenLine xmlns:a14="http://schemas.microsoft.com/office/drawing/2010/main">
                <a:noFill/>
              </a14:hiddenLine>
            </a:ext>
          </a:extLst>
        </c:spPr>
        <c:txPr>
          <a:bodyPr rot="-60000000" spcFirstLastPara="1" vertOverflow="ellipsis" vert="horz" wrap="square" anchor="ctr" anchorCtr="1"/>
          <a:lstStyle/>
          <a:p>
            <a:pPr>
              <a:defRPr sz="900" b="0" i="0" u="none" strike="noStrike" kern="1200" baseline="0">
                <a:solidFill>
                  <a:srgbClr val="000000"/>
                </a:solidFill>
                <a:latin typeface="Arial Narrow"/>
                <a:ea typeface="Arial Narrow"/>
                <a:cs typeface="Arial Narrow"/>
              </a:defRPr>
            </a:pPr>
            <a:endParaRPr lang="it-IT"/>
          </a:p>
        </c:txPr>
        <c:crossAx val="204583616"/>
        <c:crosses val="autoZero"/>
        <c:crossBetween val="between"/>
        <c:dispUnits>
          <c:builtInUnit val="thousands"/>
        </c:dispUnits>
      </c:valAx>
      <c:valAx>
        <c:axId val="204584736"/>
        <c:scaling>
          <c:orientation val="minMax"/>
          <c:max val="10000"/>
          <c:min val="-1000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a:ea typeface="Arial Narrow"/>
                <a:cs typeface="Arial Narrow"/>
              </a:defRPr>
            </a:pPr>
            <a:endParaRPr lang="it-IT"/>
          </a:p>
        </c:txPr>
        <c:crossAx val="204585296"/>
        <c:crosses val="max"/>
        <c:crossBetween val="between"/>
        <c:majorUnit val="2000"/>
        <c:dispUnits>
          <c:builtInUnit val="thousands"/>
        </c:dispUnits>
      </c:valAx>
      <c:catAx>
        <c:axId val="204585296"/>
        <c:scaling>
          <c:orientation val="minMax"/>
        </c:scaling>
        <c:delete val="1"/>
        <c:axPos val="b"/>
        <c:majorGridlines>
          <c:spPr>
            <a:ln w="15875" cap="flat" cmpd="sng" algn="ctr">
              <a:solidFill>
                <a:schemeClr val="bg1"/>
              </a:solidFill>
              <a:round/>
            </a:ln>
            <a:effectLst/>
          </c:spPr>
        </c:majorGridlines>
        <c:majorTickMark val="out"/>
        <c:minorTickMark val="none"/>
        <c:tickLblPos val="nextTo"/>
        <c:crossAx val="204584736"/>
        <c:crossesAt val="0"/>
        <c:auto val="1"/>
        <c:lblAlgn val="ctr"/>
        <c:lblOffset val="100"/>
        <c:tickMarkSkip val="12"/>
        <c:noMultiLvlLbl val="0"/>
      </c:catAx>
      <c:spPr>
        <a:solidFill>
          <a:srgbClr val="DDDDDD"/>
        </a:solidFill>
        <a:ln w="9525" cap="flat" cmpd="sng" algn="ctr">
          <a:solidFill>
            <a:schemeClr val="bg1"/>
          </a:solidFill>
          <a:prstDash val="solid"/>
          <a:round/>
          <a:headEnd type="none" w="med" len="med"/>
          <a:tailEnd type="none" w="med" len="med"/>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a:ea typeface="Arial Narrow"/>
              <a:cs typeface="Arial Narrow"/>
            </a:defRPr>
          </a:pPr>
          <a:endParaRPr lang="it-IT"/>
        </a:p>
      </c:txPr>
    </c:legend>
    <c:plotVisOnly val="1"/>
    <c:dispBlanksAs val="gap"/>
    <c:showDLblsOverMax val="0"/>
  </c:chart>
  <c:spPr>
    <a:solidFill>
      <a:srgbClr val="DDDDDD"/>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a:ea typeface="Arial Narrow"/>
          <a:cs typeface="Arial Narrow"/>
        </a:defRPr>
      </a:pPr>
      <a:endParaRPr lang="it-I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rgbClr val="000000"/>
                </a:solidFill>
                <a:latin typeface="Arial Narrow" panose="020B0606020202030204" pitchFamily="34" charset="0"/>
                <a:ea typeface="+mn-ea"/>
                <a:cs typeface="+mn-cs"/>
              </a:defRPr>
            </a:pPr>
            <a:r>
              <a:rPr lang="en-US" b="1"/>
              <a:t>Valori medi unitari</a:t>
            </a:r>
          </a:p>
        </c:rich>
      </c:tx>
      <c:layout>
        <c:manualLayout>
          <c:xMode val="edge"/>
          <c:yMode val="edge"/>
          <c:x val="0.32500246913580255"/>
          <c:y val="1.1423431526872049E-2"/>
        </c:manualLayout>
      </c:layout>
      <c:overlay val="1"/>
      <c:spPr>
        <a:noFill/>
        <a:ln>
          <a:noFill/>
        </a:ln>
        <a:effectLst/>
      </c:spPr>
    </c:title>
    <c:autoTitleDeleted val="0"/>
    <c:plotArea>
      <c:layout>
        <c:manualLayout>
          <c:layoutTarget val="inner"/>
          <c:xMode val="edge"/>
          <c:yMode val="edge"/>
          <c:x val="3.8200031242677498E-2"/>
          <c:y val="0.1838210029233191"/>
          <c:w val="0.9225041907245296"/>
          <c:h val="0.72395322689453567"/>
        </c:manualLayout>
      </c:layout>
      <c:lineChart>
        <c:grouping val="standard"/>
        <c:varyColors val="0"/>
        <c:ser>
          <c:idx val="0"/>
          <c:order val="0"/>
          <c:tx>
            <c:strRef>
              <c:f>'figura 10'!$D$16</c:f>
              <c:strCache>
                <c:ptCount val="1"/>
                <c:pt idx="0">
                  <c:v>Esportazioni</c:v>
                </c:pt>
              </c:strCache>
            </c:strRef>
          </c:tx>
          <c:spPr>
            <a:ln w="19050" cap="rnd" cmpd="sng" algn="ctr">
              <a:solidFill>
                <a:srgbClr val="003B5C"/>
              </a:solidFill>
              <a:prstDash val="solid"/>
              <a:round/>
              <a:headEnd type="none" w="med" len="med"/>
              <a:tailEnd type="none" w="med" len="med"/>
            </a:ln>
            <a:effectLst/>
          </c:spPr>
          <c:marker>
            <c:symbol val="none"/>
          </c:marker>
          <c:cat>
            <c:numRef>
              <c:f>'figura 10'!$C$89:$C$148</c:f>
              <c:numCache>
                <c:formatCode>General</c:formatCode>
                <c:ptCount val="60"/>
                <c:pt idx="5" formatCode="0">
                  <c:v>2019</c:v>
                </c:pt>
                <c:pt idx="17" formatCode="0">
                  <c:v>2020</c:v>
                </c:pt>
                <c:pt idx="29" formatCode="0">
                  <c:v>2021</c:v>
                </c:pt>
                <c:pt idx="41" formatCode="0">
                  <c:v>2022</c:v>
                </c:pt>
                <c:pt idx="53" formatCode="0">
                  <c:v>2023</c:v>
                </c:pt>
              </c:numCache>
            </c:numRef>
          </c:cat>
          <c:val>
            <c:numRef>
              <c:f>'figura 10'!$D$89:$D$148</c:f>
              <c:numCache>
                <c:formatCode>0.0</c:formatCode>
                <c:ptCount val="60"/>
                <c:pt idx="0">
                  <c:v>2.8037383177570092</c:v>
                </c:pt>
                <c:pt idx="1">
                  <c:v>3.7629350893697051</c:v>
                </c:pt>
                <c:pt idx="2">
                  <c:v>4.2333019755409254</c:v>
                </c:pt>
                <c:pt idx="3">
                  <c:v>5.6657223796033946</c:v>
                </c:pt>
                <c:pt idx="4">
                  <c:v>4.5539033457249047</c:v>
                </c:pt>
                <c:pt idx="5">
                  <c:v>3.033088235294116</c:v>
                </c:pt>
                <c:pt idx="6">
                  <c:v>3.3118675252989931</c:v>
                </c:pt>
                <c:pt idx="7">
                  <c:v>2.4793388429752241</c:v>
                </c:pt>
                <c:pt idx="8">
                  <c:v>2.7548209366391205</c:v>
                </c:pt>
                <c:pt idx="9">
                  <c:v>3.1135531135531096</c:v>
                </c:pt>
                <c:pt idx="10">
                  <c:v>3.6630036630036642</c:v>
                </c:pt>
                <c:pt idx="11">
                  <c:v>4.307974335472025</c:v>
                </c:pt>
                <c:pt idx="12">
                  <c:v>3.0909090909090935</c:v>
                </c:pt>
                <c:pt idx="13">
                  <c:v>1.9945602901178603</c:v>
                </c:pt>
                <c:pt idx="14">
                  <c:v>0.36101083032492909</c:v>
                </c:pt>
                <c:pt idx="15">
                  <c:v>-1.9660411081322593</c:v>
                </c:pt>
                <c:pt idx="16">
                  <c:v>-0.9777777777777743</c:v>
                </c:pt>
                <c:pt idx="17">
                  <c:v>0.62444246208741561</c:v>
                </c:pt>
                <c:pt idx="18">
                  <c:v>-0.62333036509349427</c:v>
                </c:pt>
                <c:pt idx="19">
                  <c:v>-0.71684587813621192</c:v>
                </c:pt>
                <c:pt idx="20">
                  <c:v>-0.26809651474529517</c:v>
                </c:pt>
                <c:pt idx="21">
                  <c:v>-0.7992895204262993</c:v>
                </c:pt>
                <c:pt idx="22">
                  <c:v>-0.97173144876325068</c:v>
                </c:pt>
                <c:pt idx="23">
                  <c:v>-0.70298769771528669</c:v>
                </c:pt>
                <c:pt idx="24">
                  <c:v>2.0282186948853536</c:v>
                </c:pt>
                <c:pt idx="25">
                  <c:v>4.2666666666666657</c:v>
                </c:pt>
                <c:pt idx="26">
                  <c:v>6.9244604316546656</c:v>
                </c:pt>
                <c:pt idx="27">
                  <c:v>8.8422971741112235</c:v>
                </c:pt>
                <c:pt idx="28">
                  <c:v>8.2585278276481091</c:v>
                </c:pt>
                <c:pt idx="29">
                  <c:v>7.4468085106383057</c:v>
                </c:pt>
                <c:pt idx="30">
                  <c:v>10.035842293906796</c:v>
                </c:pt>
                <c:pt idx="31">
                  <c:v>12.454873646209407</c:v>
                </c:pt>
                <c:pt idx="32">
                  <c:v>12.903225806451601</c:v>
                </c:pt>
                <c:pt idx="33">
                  <c:v>12.533572068039391</c:v>
                </c:pt>
                <c:pt idx="34">
                  <c:v>14.272970561998207</c:v>
                </c:pt>
                <c:pt idx="35">
                  <c:v>15.221238938053105</c:v>
                </c:pt>
                <c:pt idx="36">
                  <c:v>17.113223854796885</c:v>
                </c:pt>
                <c:pt idx="37">
                  <c:v>17.73231031543051</c:v>
                </c:pt>
                <c:pt idx="38">
                  <c:v>19.007569386038682</c:v>
                </c:pt>
                <c:pt idx="39">
                  <c:v>19.597989949748765</c:v>
                </c:pt>
                <c:pt idx="40">
                  <c:v>22.305140961857362</c:v>
                </c:pt>
                <c:pt idx="41">
                  <c:v>22.112211221122109</c:v>
                </c:pt>
                <c:pt idx="42">
                  <c:v>19.86970684039089</c:v>
                </c:pt>
                <c:pt idx="43">
                  <c:v>20.224719101123611</c:v>
                </c:pt>
                <c:pt idx="44">
                  <c:v>18.571428571428569</c:v>
                </c:pt>
                <c:pt idx="45">
                  <c:v>19.490851233094673</c:v>
                </c:pt>
                <c:pt idx="46">
                  <c:v>17.486338797814213</c:v>
                </c:pt>
                <c:pt idx="47">
                  <c:v>16.205837173579127</c:v>
                </c:pt>
                <c:pt idx="48">
                  <c:v>13.505535055350563</c:v>
                </c:pt>
                <c:pt idx="49">
                  <c:v>11.658218682114423</c:v>
                </c:pt>
                <c:pt idx="50">
                  <c:v>8.9045936395759639</c:v>
                </c:pt>
                <c:pt idx="51">
                  <c:v>6.5826330532212864</c:v>
                </c:pt>
                <c:pt idx="52">
                  <c:v>4.881355932203391</c:v>
                </c:pt>
                <c:pt idx="53">
                  <c:v>3.3783783783783861</c:v>
                </c:pt>
                <c:pt idx="54">
                  <c:v>5.2309782608695485</c:v>
                </c:pt>
                <c:pt idx="55">
                  <c:v>0.6008010680907887</c:v>
                </c:pt>
                <c:pt idx="56">
                  <c:v>2.5435073627844815</c:v>
                </c:pt>
                <c:pt idx="57">
                  <c:v>3.3288948069240973</c:v>
                </c:pt>
              </c:numCache>
            </c:numRef>
          </c:val>
          <c:smooth val="0"/>
          <c:extLst>
            <c:ext xmlns:c16="http://schemas.microsoft.com/office/drawing/2014/chart" uri="{C3380CC4-5D6E-409C-BE32-E72D297353CC}">
              <c16:uniqueId val="{00000000-5669-43AC-BB25-BDBD76D30788}"/>
            </c:ext>
          </c:extLst>
        </c:ser>
        <c:ser>
          <c:idx val="1"/>
          <c:order val="1"/>
          <c:tx>
            <c:strRef>
              <c:f>'figura 10'!$E$16</c:f>
              <c:strCache>
                <c:ptCount val="1"/>
                <c:pt idx="0">
                  <c:v>Importazioni</c:v>
                </c:pt>
              </c:strCache>
            </c:strRef>
          </c:tx>
          <c:spPr>
            <a:ln w="19050" cap="rnd" cmpd="sng" algn="ctr">
              <a:solidFill>
                <a:srgbClr val="D22630"/>
              </a:solidFill>
              <a:prstDash val="sysDash"/>
              <a:round/>
              <a:headEnd type="none" w="med" len="med"/>
              <a:tailEnd type="none" w="med" len="med"/>
            </a:ln>
            <a:effectLst/>
          </c:spPr>
          <c:marker>
            <c:symbol val="none"/>
          </c:marker>
          <c:cat>
            <c:numRef>
              <c:f>'figura 10'!$C$89:$C$148</c:f>
              <c:numCache>
                <c:formatCode>General</c:formatCode>
                <c:ptCount val="60"/>
                <c:pt idx="5" formatCode="0">
                  <c:v>2019</c:v>
                </c:pt>
                <c:pt idx="17" formatCode="0">
                  <c:v>2020</c:v>
                </c:pt>
                <c:pt idx="29" formatCode="0">
                  <c:v>2021</c:v>
                </c:pt>
                <c:pt idx="41" formatCode="0">
                  <c:v>2022</c:v>
                </c:pt>
                <c:pt idx="53" formatCode="0">
                  <c:v>2023</c:v>
                </c:pt>
              </c:numCache>
            </c:numRef>
          </c:cat>
          <c:val>
            <c:numRef>
              <c:f>'figura 10'!$E$89:$E$148</c:f>
              <c:numCache>
                <c:formatCode>0.0</c:formatCode>
                <c:ptCount val="60"/>
                <c:pt idx="0">
                  <c:v>3.3396946564885468</c:v>
                </c:pt>
                <c:pt idx="1">
                  <c:v>3.6363636363636402</c:v>
                </c:pt>
                <c:pt idx="2">
                  <c:v>4.1346153846153726</c:v>
                </c:pt>
                <c:pt idx="3">
                  <c:v>4.2979942693409896</c:v>
                </c:pt>
                <c:pt idx="4">
                  <c:v>2.6315789473684248</c:v>
                </c:pt>
                <c:pt idx="5">
                  <c:v>-0.46210720887246737</c:v>
                </c:pt>
                <c:pt idx="6">
                  <c:v>-2.365787079162871</c:v>
                </c:pt>
                <c:pt idx="7">
                  <c:v>-3.8216560509554114</c:v>
                </c:pt>
                <c:pt idx="8">
                  <c:v>-2.6459854014598534</c:v>
                </c:pt>
                <c:pt idx="9">
                  <c:v>-2.1897810218978151</c:v>
                </c:pt>
                <c:pt idx="10">
                  <c:v>-3.4234234234234293</c:v>
                </c:pt>
                <c:pt idx="11">
                  <c:v>0.2767527675276682</c:v>
                </c:pt>
                <c:pt idx="12">
                  <c:v>0.46168051708218627</c:v>
                </c:pt>
                <c:pt idx="13">
                  <c:v>-1.7543859649122737</c:v>
                </c:pt>
                <c:pt idx="14">
                  <c:v>-3.9704524469067337</c:v>
                </c:pt>
                <c:pt idx="15">
                  <c:v>-8.7912087912087884</c:v>
                </c:pt>
                <c:pt idx="16">
                  <c:v>-10.256410256410263</c:v>
                </c:pt>
                <c:pt idx="17">
                  <c:v>-7.3351903435468842</c:v>
                </c:pt>
                <c:pt idx="18">
                  <c:v>-4.8462255358806914</c:v>
                </c:pt>
                <c:pt idx="19">
                  <c:v>-5.0141911069063241</c:v>
                </c:pt>
                <c:pt idx="20">
                  <c:v>-5.3420805998125473</c:v>
                </c:pt>
                <c:pt idx="21">
                  <c:v>-5.7835820895522403</c:v>
                </c:pt>
                <c:pt idx="22">
                  <c:v>-3.7313432835820919</c:v>
                </c:pt>
                <c:pt idx="23">
                  <c:v>-3.6798528058877622</c:v>
                </c:pt>
                <c:pt idx="24">
                  <c:v>-0.82720588235294201</c:v>
                </c:pt>
                <c:pt idx="25">
                  <c:v>2.5375939849624132</c:v>
                </c:pt>
                <c:pt idx="26">
                  <c:v>7.4038461538461462</c:v>
                </c:pt>
                <c:pt idx="27">
                  <c:v>14.156626506024082</c:v>
                </c:pt>
                <c:pt idx="28">
                  <c:v>19.795918367346943</c:v>
                </c:pt>
                <c:pt idx="29">
                  <c:v>18.236472945891791</c:v>
                </c:pt>
                <c:pt idx="30">
                  <c:v>20.470127326150816</c:v>
                </c:pt>
                <c:pt idx="31">
                  <c:v>24.900398406374507</c:v>
                </c:pt>
                <c:pt idx="32">
                  <c:v>26.831683168316829</c:v>
                </c:pt>
                <c:pt idx="33">
                  <c:v>32.871287128712851</c:v>
                </c:pt>
                <c:pt idx="34">
                  <c:v>33.817829457364326</c:v>
                </c:pt>
                <c:pt idx="35">
                  <c:v>33.428844317096491</c:v>
                </c:pt>
                <c:pt idx="36">
                  <c:v>39.944392956441163</c:v>
                </c:pt>
                <c:pt idx="37">
                  <c:v>36.846929422548101</c:v>
                </c:pt>
                <c:pt idx="38">
                  <c:v>40.823634735899731</c:v>
                </c:pt>
                <c:pt idx="39">
                  <c:v>44.503078276165354</c:v>
                </c:pt>
                <c:pt idx="40">
                  <c:v>39.352640545144794</c:v>
                </c:pt>
                <c:pt idx="41">
                  <c:v>42.711864406779682</c:v>
                </c:pt>
                <c:pt idx="42">
                  <c:v>41.869918699186996</c:v>
                </c:pt>
                <c:pt idx="43">
                  <c:v>47.368421052631589</c:v>
                </c:pt>
                <c:pt idx="44">
                  <c:v>40.827478532396583</c:v>
                </c:pt>
                <c:pt idx="45">
                  <c:v>27.42175856929957</c:v>
                </c:pt>
                <c:pt idx="46">
                  <c:v>21.940622737146995</c:v>
                </c:pt>
                <c:pt idx="47">
                  <c:v>21.331424481030766</c:v>
                </c:pt>
                <c:pt idx="48">
                  <c:v>7.2847682119205359</c:v>
                </c:pt>
                <c:pt idx="49">
                  <c:v>5.2243804420629516</c:v>
                </c:pt>
                <c:pt idx="50">
                  <c:v>-1.3350286077558877</c:v>
                </c:pt>
                <c:pt idx="51">
                  <c:v>-8.3992696287279358</c:v>
                </c:pt>
                <c:pt idx="52">
                  <c:v>-8.1907090464547565</c:v>
                </c:pt>
                <c:pt idx="53">
                  <c:v>-11.045130641330175</c:v>
                </c:pt>
                <c:pt idx="54">
                  <c:v>-16.618911174785111</c:v>
                </c:pt>
                <c:pt idx="55">
                  <c:v>-20.887445887445878</c:v>
                </c:pt>
                <c:pt idx="56">
                  <c:v>-15.465631929046566</c:v>
                </c:pt>
                <c:pt idx="57">
                  <c:v>-11.520467836257296</c:v>
                </c:pt>
              </c:numCache>
            </c:numRef>
          </c:val>
          <c:smooth val="0"/>
          <c:extLst>
            <c:ext xmlns:c16="http://schemas.microsoft.com/office/drawing/2014/chart" uri="{C3380CC4-5D6E-409C-BE32-E72D297353CC}">
              <c16:uniqueId val="{00000001-5669-43AC-BB25-BDBD76D30788}"/>
            </c:ext>
          </c:extLst>
        </c:ser>
        <c:dLbls>
          <c:showLegendKey val="0"/>
          <c:showVal val="0"/>
          <c:showCatName val="0"/>
          <c:showSerName val="0"/>
          <c:showPercent val="0"/>
          <c:showBubbleSize val="0"/>
        </c:dLbls>
        <c:marker val="1"/>
        <c:smooth val="0"/>
        <c:axId val="237639504"/>
        <c:axId val="237640064"/>
      </c:lineChart>
      <c:lineChart>
        <c:grouping val="standard"/>
        <c:varyColors val="0"/>
        <c:ser>
          <c:idx val="2"/>
          <c:order val="2"/>
          <c:spPr>
            <a:ln w="28575" cap="rnd">
              <a:solidFill>
                <a:srgbClr val="FFFFFF"/>
              </a:solidFill>
              <a:round/>
            </a:ln>
            <a:effectLst/>
          </c:spPr>
          <c:marker>
            <c:symbol val="none"/>
          </c:marker>
          <c:cat>
            <c:numRef>
              <c:f>'figura 10'!$C$17:$C$76</c:f>
              <c:numCache>
                <c:formatCode>General</c:formatCode>
                <c:ptCount val="60"/>
                <c:pt idx="5" formatCode="0">
                  <c:v>2013</c:v>
                </c:pt>
                <c:pt idx="17" formatCode="0">
                  <c:v>2014</c:v>
                </c:pt>
                <c:pt idx="29" formatCode="0">
                  <c:v>2015</c:v>
                </c:pt>
                <c:pt idx="41" formatCode="0">
                  <c:v>2016</c:v>
                </c:pt>
                <c:pt idx="53" formatCode="0">
                  <c:v>2017</c:v>
                </c:pt>
              </c:numCache>
            </c:numRef>
          </c:cat>
          <c:val>
            <c:numRef>
              <c:f>'figura 10'!$FR$2:$FR$45</c:f>
              <c:numCache>
                <c:formatCode>General</c:formatCode>
                <c:ptCount val="44"/>
              </c:numCache>
            </c:numRef>
          </c:val>
          <c:smooth val="0"/>
          <c:extLst>
            <c:ext xmlns:c16="http://schemas.microsoft.com/office/drawing/2014/chart" uri="{C3380CC4-5D6E-409C-BE32-E72D297353CC}">
              <c16:uniqueId val="{00000002-5669-43AC-BB25-BDBD76D30788}"/>
            </c:ext>
          </c:extLst>
        </c:ser>
        <c:dLbls>
          <c:showLegendKey val="0"/>
          <c:showVal val="0"/>
          <c:showCatName val="0"/>
          <c:showSerName val="0"/>
          <c:showPercent val="0"/>
          <c:showBubbleSize val="0"/>
        </c:dLbls>
        <c:marker val="1"/>
        <c:smooth val="0"/>
        <c:axId val="237641184"/>
        <c:axId val="237640624"/>
      </c:lineChart>
      <c:catAx>
        <c:axId val="237639504"/>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237640064"/>
        <c:crosses val="autoZero"/>
        <c:auto val="1"/>
        <c:lblAlgn val="ctr"/>
        <c:lblOffset val="0"/>
        <c:tickMarkSkip val="3"/>
        <c:noMultiLvlLbl val="0"/>
      </c:catAx>
      <c:valAx>
        <c:axId val="237640064"/>
        <c:scaling>
          <c:orientation val="minMax"/>
          <c:max val="75"/>
          <c:min val="-50"/>
        </c:scaling>
        <c:delete val="0"/>
        <c:axPos val="l"/>
        <c:majorGridlines>
          <c:spPr>
            <a:ln w="6350" cap="flat" cmpd="sng" algn="ctr">
              <a:solidFill>
                <a:srgbClr val="A6A6A6"/>
              </a:solidFill>
              <a:prstDash val="sysDash"/>
              <a:round/>
              <a:headEnd type="none" w="med" len="med"/>
              <a:tailEnd type="none" w="med" len="med"/>
            </a:ln>
            <a:effectLst/>
          </c:spPr>
        </c:majorGridlines>
        <c:title>
          <c:tx>
            <c:rich>
              <a:bodyPr rot="0" spcFirstLastPara="1" vertOverflow="ellipsis" wrap="square" anchor="ctr" anchorCtr="1"/>
              <a:lstStyle/>
              <a:p>
                <a:pPr>
                  <a:defRPr sz="900" b="0" i="0" u="none" strike="noStrike" kern="1200" baseline="0">
                    <a:solidFill>
                      <a:srgbClr val="000000"/>
                    </a:solidFill>
                    <a:latin typeface="Arial Narrow" panose="020B0606020202030204" pitchFamily="34" charset="0"/>
                    <a:ea typeface="+mn-ea"/>
                    <a:cs typeface="+mn-cs"/>
                  </a:defRPr>
                </a:pPr>
                <a:r>
                  <a:rPr lang="it-IT"/>
                  <a:t>%</a:t>
                </a:r>
              </a:p>
            </c:rich>
          </c:tx>
          <c:layout>
            <c:manualLayout>
              <c:xMode val="edge"/>
              <c:yMode val="edge"/>
              <c:x val="5.8228395061728395E-3"/>
              <c:y val="1.5138439410284071E-2"/>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37639504"/>
        <c:crosses val="autoZero"/>
        <c:crossBetween val="between"/>
        <c:majorUnit val="25"/>
      </c:valAx>
      <c:valAx>
        <c:axId val="237640624"/>
        <c:scaling>
          <c:orientation val="minMax"/>
        </c:scaling>
        <c:delete val="1"/>
        <c:axPos val="r"/>
        <c:numFmt formatCode="General" sourceLinked="1"/>
        <c:majorTickMark val="out"/>
        <c:minorTickMark val="none"/>
        <c:tickLblPos val="nextTo"/>
        <c:crossAx val="237641184"/>
        <c:crosses val="max"/>
        <c:crossBetween val="between"/>
      </c:valAx>
      <c:catAx>
        <c:axId val="237641184"/>
        <c:scaling>
          <c:orientation val="minMax"/>
        </c:scaling>
        <c:delete val="1"/>
        <c:axPos val="t"/>
        <c:majorGridlines>
          <c:spPr>
            <a:ln w="6350" cap="flat" cmpd="sng" algn="ctr">
              <a:solidFill>
                <a:srgbClr val="A6A6A6"/>
              </a:solidFill>
              <a:prstDash val="solid"/>
              <a:round/>
              <a:headEnd type="none" w="med" len="med"/>
              <a:tailEnd type="none" w="med" len="med"/>
            </a:ln>
            <a:effectLst/>
          </c:spPr>
        </c:majorGridlines>
        <c:numFmt formatCode="General" sourceLinked="1"/>
        <c:majorTickMark val="out"/>
        <c:minorTickMark val="none"/>
        <c:tickLblPos val="nextTo"/>
        <c:crossAx val="237640624"/>
        <c:crosses val="max"/>
        <c:auto val="1"/>
        <c:lblAlgn val="ctr"/>
        <c:lblOffset val="100"/>
        <c:tickMarkSkip val="12"/>
        <c:noMultiLvlLbl val="0"/>
      </c:catAx>
      <c:spPr>
        <a:solidFill>
          <a:srgbClr val="FFFFFF"/>
        </a:solidFill>
        <a:ln w="9525" cap="flat" cmpd="sng" algn="ctr">
          <a:solidFill>
            <a:schemeClr val="bg1">
              <a:lumMod val="85000"/>
            </a:schemeClr>
          </a:solidFill>
          <a:prstDash val="solid"/>
          <a:round/>
          <a:headEnd type="none" w="med" len="med"/>
          <a:tailEnd type="none" w="med" len="med"/>
        </a:ln>
        <a:effectLst/>
      </c:spPr>
    </c:plotArea>
    <c:legend>
      <c:legendPos val="t"/>
      <c:legendEntry>
        <c:idx val="2"/>
        <c:delete val="1"/>
      </c:legendEntry>
      <c:layout>
        <c:manualLayout>
          <c:xMode val="edge"/>
          <c:yMode val="edge"/>
          <c:x val="0.14301820987654318"/>
          <c:y val="9.7099167978412407E-2"/>
          <c:w val="0.74563518518518523"/>
          <c:h val="9.189071284011693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rgbClr val="000000"/>
                </a:solidFill>
                <a:latin typeface="Arial Narrow" panose="020B0606020202030204" pitchFamily="34" charset="0"/>
                <a:ea typeface="+mn-ea"/>
                <a:cs typeface="+mn-cs"/>
              </a:defRPr>
            </a:pPr>
            <a:r>
              <a:rPr lang="en-US" b="1"/>
              <a:t>Volumi</a:t>
            </a:r>
          </a:p>
        </c:rich>
      </c:tx>
      <c:layout>
        <c:manualLayout>
          <c:xMode val="edge"/>
          <c:yMode val="edge"/>
          <c:x val="0.45780370370370371"/>
          <c:y val="0"/>
        </c:manualLayout>
      </c:layout>
      <c:overlay val="1"/>
      <c:spPr>
        <a:noFill/>
        <a:ln>
          <a:noFill/>
        </a:ln>
        <a:effectLst/>
      </c:spPr>
    </c:title>
    <c:autoTitleDeleted val="0"/>
    <c:plotArea>
      <c:layout>
        <c:manualLayout>
          <c:layoutTarget val="inner"/>
          <c:xMode val="edge"/>
          <c:yMode val="edge"/>
          <c:x val="3.8200031242677498E-2"/>
          <c:y val="0.17810928715988306"/>
          <c:w val="0.9225041907245296"/>
          <c:h val="0.72966494265797155"/>
        </c:manualLayout>
      </c:layout>
      <c:lineChart>
        <c:grouping val="standard"/>
        <c:varyColors val="0"/>
        <c:ser>
          <c:idx val="0"/>
          <c:order val="0"/>
          <c:tx>
            <c:strRef>
              <c:f>'figura 10'!$D$16</c:f>
              <c:strCache>
                <c:ptCount val="1"/>
                <c:pt idx="0">
                  <c:v>Esportazioni</c:v>
                </c:pt>
              </c:strCache>
            </c:strRef>
          </c:tx>
          <c:spPr>
            <a:ln w="19050" cap="rnd" cmpd="sng" algn="ctr">
              <a:solidFill>
                <a:srgbClr val="003B5C"/>
              </a:solidFill>
              <a:prstDash val="solid"/>
              <a:round/>
              <a:headEnd type="none" w="med" len="med"/>
              <a:tailEnd type="none" w="med" len="med"/>
            </a:ln>
            <a:effectLst/>
          </c:spPr>
          <c:marker>
            <c:symbol val="none"/>
          </c:marker>
          <c:cat>
            <c:numRef>
              <c:f>'figura 10'!$C$89:$C$148</c:f>
              <c:numCache>
                <c:formatCode>General</c:formatCode>
                <c:ptCount val="60"/>
                <c:pt idx="5" formatCode="0">
                  <c:v>2019</c:v>
                </c:pt>
                <c:pt idx="17" formatCode="0">
                  <c:v>2020</c:v>
                </c:pt>
                <c:pt idx="29" formatCode="0">
                  <c:v>2021</c:v>
                </c:pt>
                <c:pt idx="41" formatCode="0">
                  <c:v>2022</c:v>
                </c:pt>
                <c:pt idx="53" formatCode="0">
                  <c:v>2023</c:v>
                </c:pt>
              </c:numCache>
            </c:numRef>
          </c:cat>
          <c:val>
            <c:numRef>
              <c:f>'figura 10'!$F$89:$F$148</c:f>
              <c:numCache>
                <c:formatCode>0.0</c:formatCode>
                <c:ptCount val="60"/>
                <c:pt idx="0">
                  <c:v>0.83945435466948481</c:v>
                </c:pt>
                <c:pt idx="1">
                  <c:v>0.3009027081243687</c:v>
                </c:pt>
                <c:pt idx="2">
                  <c:v>-3.6649214659685896</c:v>
                </c:pt>
                <c:pt idx="3">
                  <c:v>0.49800796812749581</c:v>
                </c:pt>
                <c:pt idx="4">
                  <c:v>3.5358114233907543</c:v>
                </c:pt>
                <c:pt idx="5">
                  <c:v>-5.7369814651368074</c:v>
                </c:pt>
                <c:pt idx="6">
                  <c:v>3.2815198618307591</c:v>
                </c:pt>
                <c:pt idx="7">
                  <c:v>-5.3593179049939152</c:v>
                </c:pt>
                <c:pt idx="8">
                  <c:v>4.1372351160443941</c:v>
                </c:pt>
                <c:pt idx="9">
                  <c:v>2.0460358056266017</c:v>
                </c:pt>
                <c:pt idx="10">
                  <c:v>-5.8770343580470126</c:v>
                </c:pt>
                <c:pt idx="11">
                  <c:v>0.52246603970741035</c:v>
                </c:pt>
                <c:pt idx="12">
                  <c:v>-1.1446409989594315</c:v>
                </c:pt>
                <c:pt idx="13">
                  <c:v>2.9000000000000057</c:v>
                </c:pt>
                <c:pt idx="14">
                  <c:v>-14.945652173913047</c:v>
                </c:pt>
                <c:pt idx="15">
                  <c:v>-41.625371655104068</c:v>
                </c:pt>
                <c:pt idx="16">
                  <c:v>-29.071803852889673</c:v>
                </c:pt>
                <c:pt idx="17">
                  <c:v>-12.359550561797747</c:v>
                </c:pt>
                <c:pt idx="18">
                  <c:v>-6.9397993311036998</c:v>
                </c:pt>
                <c:pt idx="19">
                  <c:v>-5.4054054054054035</c:v>
                </c:pt>
                <c:pt idx="20">
                  <c:v>2.6162790697674438</c:v>
                </c:pt>
                <c:pt idx="21">
                  <c:v>-6.6833751044277392</c:v>
                </c:pt>
                <c:pt idx="22">
                  <c:v>3.1700288184437966</c:v>
                </c:pt>
                <c:pt idx="23">
                  <c:v>4.6777546777546775</c:v>
                </c:pt>
                <c:pt idx="24">
                  <c:v>-10.210526315789465</c:v>
                </c:pt>
                <c:pt idx="25">
                  <c:v>-6.2196307094266388</c:v>
                </c:pt>
                <c:pt idx="26">
                  <c:v>20.447284345047919</c:v>
                </c:pt>
                <c:pt idx="27">
                  <c:v>82.003395585738559</c:v>
                </c:pt>
                <c:pt idx="28">
                  <c:v>30.987654320987644</c:v>
                </c:pt>
                <c:pt idx="29">
                  <c:v>16.880341880341874</c:v>
                </c:pt>
                <c:pt idx="30">
                  <c:v>5.6603773584905781</c:v>
                </c:pt>
                <c:pt idx="31">
                  <c:v>4.4897959183673493</c:v>
                </c:pt>
                <c:pt idx="32">
                  <c:v>-1.5108593012275975</c:v>
                </c:pt>
                <c:pt idx="33">
                  <c:v>-3.8495971351835152</c:v>
                </c:pt>
                <c:pt idx="34">
                  <c:v>2.7932960893854784</c:v>
                </c:pt>
                <c:pt idx="35">
                  <c:v>1.3902681231380285</c:v>
                </c:pt>
                <c:pt idx="36">
                  <c:v>3.751465416178192</c:v>
                </c:pt>
                <c:pt idx="37">
                  <c:v>3.5233160621761783</c:v>
                </c:pt>
                <c:pt idx="38">
                  <c:v>3.3598585322723267</c:v>
                </c:pt>
                <c:pt idx="39">
                  <c:v>-4.1977611940298516</c:v>
                </c:pt>
                <c:pt idx="40">
                  <c:v>5.6550424128180907</c:v>
                </c:pt>
                <c:pt idx="41">
                  <c:v>-1.3711151736745961</c:v>
                </c:pt>
                <c:pt idx="42">
                  <c:v>-2.3809523809523938</c:v>
                </c:pt>
                <c:pt idx="43">
                  <c:v>3.90625</c:v>
                </c:pt>
                <c:pt idx="44">
                  <c:v>3.0680728667305885</c:v>
                </c:pt>
                <c:pt idx="45">
                  <c:v>-1.0242085661080154</c:v>
                </c:pt>
                <c:pt idx="46">
                  <c:v>0.99637681159418889</c:v>
                </c:pt>
                <c:pt idx="47">
                  <c:v>-2.1547502448579934</c:v>
                </c:pt>
                <c:pt idx="48">
                  <c:v>1.8079096045197787</c:v>
                </c:pt>
                <c:pt idx="49">
                  <c:v>-0.90090090090090769</c:v>
                </c:pt>
                <c:pt idx="50">
                  <c:v>-3.9349871685201094</c:v>
                </c:pt>
                <c:pt idx="51">
                  <c:v>-11.489776046738072</c:v>
                </c:pt>
                <c:pt idx="52">
                  <c:v>-4.103479036574484</c:v>
                </c:pt>
                <c:pt idx="53">
                  <c:v>-2.5949953660796865</c:v>
                </c:pt>
                <c:pt idx="54">
                  <c:v>-12.369337979094055</c:v>
                </c:pt>
                <c:pt idx="55">
                  <c:v>1.5037593984962427</c:v>
                </c:pt>
                <c:pt idx="56">
                  <c:v>-8.744186046511615</c:v>
                </c:pt>
                <c:pt idx="57">
                  <c:v>-0.37629350893695346</c:v>
                </c:pt>
              </c:numCache>
            </c:numRef>
          </c:val>
          <c:smooth val="0"/>
          <c:extLst>
            <c:ext xmlns:c16="http://schemas.microsoft.com/office/drawing/2014/chart" uri="{C3380CC4-5D6E-409C-BE32-E72D297353CC}">
              <c16:uniqueId val="{00000000-75F9-4B36-A3FE-F5670FB5E03F}"/>
            </c:ext>
          </c:extLst>
        </c:ser>
        <c:ser>
          <c:idx val="1"/>
          <c:order val="1"/>
          <c:tx>
            <c:strRef>
              <c:f>'figura 10'!$E$16</c:f>
              <c:strCache>
                <c:ptCount val="1"/>
                <c:pt idx="0">
                  <c:v>Importazioni</c:v>
                </c:pt>
              </c:strCache>
            </c:strRef>
          </c:tx>
          <c:spPr>
            <a:ln w="19050" cap="rnd" cmpd="sng" algn="ctr">
              <a:solidFill>
                <a:srgbClr val="D22630"/>
              </a:solidFill>
              <a:prstDash val="sysDash"/>
              <a:round/>
              <a:headEnd type="none" w="med" len="med"/>
              <a:tailEnd type="none" w="med" len="med"/>
            </a:ln>
            <a:effectLst/>
          </c:spPr>
          <c:marker>
            <c:symbol val="none"/>
          </c:marker>
          <c:cat>
            <c:numRef>
              <c:f>'figura 10'!$C$89:$C$148</c:f>
              <c:numCache>
                <c:formatCode>General</c:formatCode>
                <c:ptCount val="60"/>
                <c:pt idx="5" formatCode="0">
                  <c:v>2019</c:v>
                </c:pt>
                <c:pt idx="17" formatCode="0">
                  <c:v>2020</c:v>
                </c:pt>
                <c:pt idx="29" formatCode="0">
                  <c:v>2021</c:v>
                </c:pt>
                <c:pt idx="41" formatCode="0">
                  <c:v>2022</c:v>
                </c:pt>
                <c:pt idx="53" formatCode="0">
                  <c:v>2023</c:v>
                </c:pt>
              </c:numCache>
            </c:numRef>
          </c:cat>
          <c:val>
            <c:numRef>
              <c:f>'figura 10'!$G$89:$G$148</c:f>
              <c:numCache>
                <c:formatCode>0.0</c:formatCode>
                <c:ptCount val="60"/>
                <c:pt idx="0">
                  <c:v>-1.467889908256879</c:v>
                </c:pt>
                <c:pt idx="1">
                  <c:v>-0.29097963142581307</c:v>
                </c:pt>
                <c:pt idx="2">
                  <c:v>-4.231433506044894</c:v>
                </c:pt>
                <c:pt idx="3">
                  <c:v>1.6361886429258874</c:v>
                </c:pt>
                <c:pt idx="4">
                  <c:v>0.26385224274406482</c:v>
                </c:pt>
                <c:pt idx="5">
                  <c:v>-4.5904590459045949</c:v>
                </c:pt>
                <c:pt idx="6">
                  <c:v>4.5372050816696827</c:v>
                </c:pt>
                <c:pt idx="7">
                  <c:v>-0.48076923076924061</c:v>
                </c:pt>
                <c:pt idx="8">
                  <c:v>5.0943396226415132</c:v>
                </c:pt>
                <c:pt idx="9">
                  <c:v>-3.4540859309182821</c:v>
                </c:pt>
                <c:pt idx="10">
                  <c:v>-2.6484018264840046</c:v>
                </c:pt>
                <c:pt idx="11">
                  <c:v>-2.0222446916076819</c:v>
                </c:pt>
                <c:pt idx="12">
                  <c:v>1.1173184357541857</c:v>
                </c:pt>
                <c:pt idx="13">
                  <c:v>1.264591439688715</c:v>
                </c:pt>
                <c:pt idx="14">
                  <c:v>-15.058611361587012</c:v>
                </c:pt>
                <c:pt idx="15">
                  <c:v>-28.219696969696969</c:v>
                </c:pt>
                <c:pt idx="16">
                  <c:v>-26.578947368421041</c:v>
                </c:pt>
                <c:pt idx="17">
                  <c:v>-8.1132075471698073</c:v>
                </c:pt>
                <c:pt idx="18">
                  <c:v>-8.7673611111111143</c:v>
                </c:pt>
                <c:pt idx="19">
                  <c:v>-6.1594202898550634</c:v>
                </c:pt>
                <c:pt idx="20">
                  <c:v>-0.53859964093358315</c:v>
                </c:pt>
                <c:pt idx="21">
                  <c:v>-1.221640488656206</c:v>
                </c:pt>
                <c:pt idx="22">
                  <c:v>1.5947467166979266</c:v>
                </c:pt>
                <c:pt idx="23">
                  <c:v>3.0959752321981426</c:v>
                </c:pt>
                <c:pt idx="24">
                  <c:v>-10.497237569060772</c:v>
                </c:pt>
                <c:pt idx="25">
                  <c:v>-2.6897214217099048</c:v>
                </c:pt>
                <c:pt idx="26">
                  <c:v>27.176220806794049</c:v>
                </c:pt>
                <c:pt idx="27">
                  <c:v>43.799472295514505</c:v>
                </c:pt>
                <c:pt idx="28">
                  <c:v>27.240143369175613</c:v>
                </c:pt>
                <c:pt idx="29">
                  <c:v>13.655030800821351</c:v>
                </c:pt>
                <c:pt idx="30">
                  <c:v>3.8058991436726899</c:v>
                </c:pt>
                <c:pt idx="31">
                  <c:v>8.236808236808244</c:v>
                </c:pt>
                <c:pt idx="32">
                  <c:v>-0.27075812274367195</c:v>
                </c:pt>
                <c:pt idx="33">
                  <c:v>-5.8303886925795041</c:v>
                </c:pt>
                <c:pt idx="34">
                  <c:v>0.46168051708218627</c:v>
                </c:pt>
                <c:pt idx="35">
                  <c:v>9.4094094094093919</c:v>
                </c:pt>
                <c:pt idx="36">
                  <c:v>6.0699588477366433</c:v>
                </c:pt>
                <c:pt idx="37">
                  <c:v>5.4294175715696014</c:v>
                </c:pt>
                <c:pt idx="38">
                  <c:v>-0.8347245409015045</c:v>
                </c:pt>
                <c:pt idx="39">
                  <c:v>-1.8348623853211024</c:v>
                </c:pt>
                <c:pt idx="40">
                  <c:v>6.4788732394366235</c:v>
                </c:pt>
                <c:pt idx="41">
                  <c:v>0.36133694670280647</c:v>
                </c:pt>
                <c:pt idx="42">
                  <c:v>0.36663611365717941</c:v>
                </c:pt>
                <c:pt idx="43">
                  <c:v>5.4696789536266266</c:v>
                </c:pt>
                <c:pt idx="44">
                  <c:v>0.5429864253393788</c:v>
                </c:pt>
                <c:pt idx="45">
                  <c:v>1.3133208255159445</c:v>
                </c:pt>
                <c:pt idx="46">
                  <c:v>-0.64338235294117396</c:v>
                </c:pt>
                <c:pt idx="47">
                  <c:v>-10.430009149130825</c:v>
                </c:pt>
                <c:pt idx="48">
                  <c:v>0.48496605237632195</c:v>
                </c:pt>
                <c:pt idx="49">
                  <c:v>-2.8089887640449547</c:v>
                </c:pt>
                <c:pt idx="50">
                  <c:v>-1.3468013468013424</c:v>
                </c:pt>
                <c:pt idx="51">
                  <c:v>-5.0467289719626081</c:v>
                </c:pt>
                <c:pt idx="52">
                  <c:v>-0.44091710758378611</c:v>
                </c:pt>
                <c:pt idx="53">
                  <c:v>0.81008100810080919</c:v>
                </c:pt>
                <c:pt idx="54">
                  <c:v>-3.5616438356164224</c:v>
                </c:pt>
                <c:pt idx="55">
                  <c:v>-0.11273957158961423</c:v>
                </c:pt>
                <c:pt idx="56">
                  <c:v>-5.8505850585058425</c:v>
                </c:pt>
                <c:pt idx="57">
                  <c:v>2.592592592592581</c:v>
                </c:pt>
              </c:numCache>
            </c:numRef>
          </c:val>
          <c:smooth val="0"/>
          <c:extLst>
            <c:ext xmlns:c16="http://schemas.microsoft.com/office/drawing/2014/chart" uri="{C3380CC4-5D6E-409C-BE32-E72D297353CC}">
              <c16:uniqueId val="{00000001-75F9-4B36-A3FE-F5670FB5E03F}"/>
            </c:ext>
          </c:extLst>
        </c:ser>
        <c:dLbls>
          <c:showLegendKey val="0"/>
          <c:showVal val="0"/>
          <c:showCatName val="0"/>
          <c:showSerName val="0"/>
          <c:showPercent val="0"/>
          <c:showBubbleSize val="0"/>
        </c:dLbls>
        <c:marker val="1"/>
        <c:smooth val="0"/>
        <c:axId val="238328592"/>
        <c:axId val="238329152"/>
      </c:lineChart>
      <c:lineChart>
        <c:grouping val="standard"/>
        <c:varyColors val="0"/>
        <c:ser>
          <c:idx val="2"/>
          <c:order val="2"/>
          <c:spPr>
            <a:ln w="28575" cap="rnd">
              <a:solidFill>
                <a:srgbClr val="FFFFFF"/>
              </a:solidFill>
              <a:round/>
            </a:ln>
            <a:effectLst/>
          </c:spPr>
          <c:marker>
            <c:symbol val="none"/>
          </c:marker>
          <c:cat>
            <c:numRef>
              <c:f>'figura 10'!$C$17:$C$76</c:f>
              <c:numCache>
                <c:formatCode>General</c:formatCode>
                <c:ptCount val="60"/>
                <c:pt idx="5" formatCode="0">
                  <c:v>2013</c:v>
                </c:pt>
                <c:pt idx="17" formatCode="0">
                  <c:v>2014</c:v>
                </c:pt>
                <c:pt idx="29" formatCode="0">
                  <c:v>2015</c:v>
                </c:pt>
                <c:pt idx="41" formatCode="0">
                  <c:v>2016</c:v>
                </c:pt>
                <c:pt idx="53" formatCode="0">
                  <c:v>2017</c:v>
                </c:pt>
              </c:numCache>
            </c:numRef>
          </c:cat>
          <c:val>
            <c:numRef>
              <c:f>'figura 10'!$FR$2:$FR$45</c:f>
              <c:numCache>
                <c:formatCode>General</c:formatCode>
                <c:ptCount val="44"/>
              </c:numCache>
            </c:numRef>
          </c:val>
          <c:smooth val="0"/>
          <c:extLst>
            <c:ext xmlns:c16="http://schemas.microsoft.com/office/drawing/2014/chart" uri="{C3380CC4-5D6E-409C-BE32-E72D297353CC}">
              <c16:uniqueId val="{00000002-75F9-4B36-A3FE-F5670FB5E03F}"/>
            </c:ext>
          </c:extLst>
        </c:ser>
        <c:dLbls>
          <c:showLegendKey val="0"/>
          <c:showVal val="0"/>
          <c:showCatName val="0"/>
          <c:showSerName val="0"/>
          <c:showPercent val="0"/>
          <c:showBubbleSize val="0"/>
        </c:dLbls>
        <c:marker val="1"/>
        <c:smooth val="0"/>
        <c:axId val="238330272"/>
        <c:axId val="238329712"/>
      </c:lineChart>
      <c:catAx>
        <c:axId val="238328592"/>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238329152"/>
        <c:crosses val="autoZero"/>
        <c:auto val="1"/>
        <c:lblAlgn val="ctr"/>
        <c:lblOffset val="0"/>
        <c:tickMarkSkip val="3"/>
        <c:noMultiLvlLbl val="0"/>
      </c:catAx>
      <c:valAx>
        <c:axId val="238329152"/>
        <c:scaling>
          <c:orientation val="minMax"/>
          <c:max val="100"/>
          <c:min val="-50"/>
        </c:scaling>
        <c:delete val="0"/>
        <c:axPos val="l"/>
        <c:majorGridlines>
          <c:spPr>
            <a:ln w="6350" cap="flat" cmpd="sng" algn="ctr">
              <a:solidFill>
                <a:srgbClr val="A6A6A6"/>
              </a:solidFill>
              <a:prstDash val="sysDash"/>
              <a:round/>
              <a:headEnd type="none" w="med" len="med"/>
              <a:tailEnd type="none" w="med" len="med"/>
            </a:ln>
            <a:effectLst/>
          </c:spPr>
        </c:majorGridlines>
        <c:title>
          <c:tx>
            <c:rich>
              <a:bodyPr rot="0" spcFirstLastPara="1" vertOverflow="ellipsis" wrap="square" anchor="ctr" anchorCtr="1"/>
              <a:lstStyle/>
              <a:p>
                <a:pPr>
                  <a:defRPr sz="900" b="0" i="0" u="none" strike="noStrike" kern="1200" baseline="0">
                    <a:solidFill>
                      <a:srgbClr val="000000"/>
                    </a:solidFill>
                    <a:latin typeface="Arial Narrow" panose="020B0606020202030204" pitchFamily="34" charset="0"/>
                    <a:ea typeface="+mn-ea"/>
                    <a:cs typeface="+mn-cs"/>
                  </a:defRPr>
                </a:pPr>
                <a:r>
                  <a:rPr lang="it-IT"/>
                  <a:t>%</a:t>
                </a:r>
              </a:p>
            </c:rich>
          </c:tx>
          <c:layout>
            <c:manualLayout>
              <c:xMode val="edge"/>
              <c:yMode val="edge"/>
              <c:x val="1.9076057895084685E-3"/>
              <c:y val="2.2167303800314821E-2"/>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38328592"/>
        <c:crosses val="autoZero"/>
        <c:crossBetween val="between"/>
        <c:majorUnit val="25"/>
      </c:valAx>
      <c:valAx>
        <c:axId val="238329712"/>
        <c:scaling>
          <c:orientation val="minMax"/>
        </c:scaling>
        <c:delete val="1"/>
        <c:axPos val="r"/>
        <c:numFmt formatCode="General" sourceLinked="1"/>
        <c:majorTickMark val="out"/>
        <c:minorTickMark val="none"/>
        <c:tickLblPos val="nextTo"/>
        <c:crossAx val="238330272"/>
        <c:crosses val="max"/>
        <c:crossBetween val="between"/>
      </c:valAx>
      <c:catAx>
        <c:axId val="238330272"/>
        <c:scaling>
          <c:orientation val="minMax"/>
        </c:scaling>
        <c:delete val="1"/>
        <c:axPos val="t"/>
        <c:majorGridlines>
          <c:spPr>
            <a:ln w="6350" cap="flat" cmpd="sng" algn="ctr">
              <a:solidFill>
                <a:srgbClr val="A6A6A6"/>
              </a:solidFill>
              <a:prstDash val="solid"/>
              <a:round/>
              <a:headEnd type="none" w="med" len="med"/>
              <a:tailEnd type="none" w="med" len="med"/>
            </a:ln>
            <a:effectLst/>
          </c:spPr>
        </c:majorGridlines>
        <c:numFmt formatCode="General" sourceLinked="1"/>
        <c:majorTickMark val="out"/>
        <c:minorTickMark val="none"/>
        <c:tickLblPos val="nextTo"/>
        <c:crossAx val="238329712"/>
        <c:crosses val="max"/>
        <c:auto val="1"/>
        <c:lblAlgn val="ctr"/>
        <c:lblOffset val="100"/>
        <c:tickMarkSkip val="12"/>
        <c:noMultiLvlLbl val="0"/>
      </c:catAx>
      <c:spPr>
        <a:solidFill>
          <a:srgbClr val="FFFFFF"/>
        </a:solidFill>
        <a:ln w="9525" cap="flat" cmpd="sng" algn="ctr">
          <a:solidFill>
            <a:schemeClr val="bg1">
              <a:lumMod val="85000"/>
            </a:schemeClr>
          </a:solidFill>
          <a:prstDash val="solid"/>
          <a:round/>
          <a:headEnd type="none" w="med" len="med"/>
          <a:tailEnd type="none" w="med" len="med"/>
        </a:ln>
        <a:effectLst/>
      </c:spPr>
    </c:plotArea>
    <c:legend>
      <c:legendPos val="t"/>
      <c:legendEntry>
        <c:idx val="2"/>
        <c:delete val="1"/>
      </c:legendEntry>
      <c:layout>
        <c:manualLayout>
          <c:xMode val="edge"/>
          <c:yMode val="edge"/>
          <c:x val="0.11557993827160494"/>
          <c:y val="8.5675736451540363E-2"/>
          <c:w val="0.78642623456790128"/>
          <c:h val="9.189071284011693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8186724085118653E-2"/>
          <c:y val="0.11275701452811358"/>
          <c:w val="0.9514621885079011"/>
          <c:h val="0.77375032346308836"/>
        </c:manualLayout>
      </c:layout>
      <c:barChart>
        <c:barDir val="col"/>
        <c:grouping val="clustered"/>
        <c:varyColors val="0"/>
        <c:ser>
          <c:idx val="0"/>
          <c:order val="0"/>
          <c:tx>
            <c:strRef>
              <c:f>'[GraficiElabImport_10_23.xlsx]GR-11 italiano'!$B$1</c:f>
              <c:strCache>
                <c:ptCount val="1"/>
                <c:pt idx="0">
                  <c:v>Area euro</c:v>
                </c:pt>
              </c:strCache>
            </c:strRef>
          </c:tx>
          <c:spPr>
            <a:solidFill>
              <a:srgbClr val="808080"/>
            </a:solidFill>
            <a:ln w="12700">
              <a:solidFill>
                <a:srgbClr val="808080"/>
              </a:solidFill>
              <a:prstDash val="solid"/>
            </a:ln>
          </c:spPr>
          <c:invertIfNegative val="0"/>
          <c:dLbls>
            <c:dLbl>
              <c:idx val="8"/>
              <c:layout>
                <c:manualLayout>
                  <c:x val="-1.2227642968098116E-3"/>
                  <c:y val="5.1896099194497043E-3"/>
                </c:manualLayout>
              </c:layout>
              <c:spPr>
                <a:noFill/>
                <a:ln w="25400">
                  <a:noFill/>
                </a:ln>
              </c:spPr>
              <c:txPr>
                <a:bodyPr/>
                <a:lstStyle/>
                <a:p>
                  <a:pPr>
                    <a:defRPr sz="900" b="0" i="0" u="none" strike="noStrike" baseline="0">
                      <a:solidFill>
                        <a:srgbClr val="000000"/>
                      </a:solidFill>
                      <a:latin typeface="Arial Narrow"/>
                      <a:ea typeface="Arial Narrow"/>
                      <a:cs typeface="Arial Narrow"/>
                    </a:defRPr>
                  </a:pPr>
                  <a:endParaRPr lang="it-I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F0-4D39-85FD-D3A06833BB75}"/>
                </c:ext>
              </c:extLst>
            </c:dLbl>
            <c:spPr>
              <a:noFill/>
              <a:ln w="25400">
                <a:noFill/>
              </a:ln>
            </c:spPr>
            <c:txPr>
              <a:bodyPr wrap="square" lIns="38100" tIns="19050" rIns="38100" bIns="19050" anchor="ctr">
                <a:spAutoFit/>
              </a:bodyPr>
              <a:lstStyle/>
              <a:p>
                <a:pPr>
                  <a:defRPr sz="900" b="0" i="0" u="none" strike="noStrike" baseline="0">
                    <a:solidFill>
                      <a:srgbClr val="000000"/>
                    </a:solidFill>
                    <a:latin typeface="Arial Narrow"/>
                    <a:ea typeface="Arial Narrow"/>
                    <a:cs typeface="Arial Narrow"/>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'[GraficiElabImport_10_23.xlsx]GR-11 italiano'!$A$3:$A$15</c:f>
              <c:strCache>
                <c:ptCount val="13"/>
                <c:pt idx="0">
                  <c:v>CA</c:v>
                </c:pt>
                <c:pt idx="1">
                  <c:v>CB</c:v>
                </c:pt>
                <c:pt idx="2">
                  <c:v>CC</c:v>
                </c:pt>
                <c:pt idx="3">
                  <c:v>CD</c:v>
                </c:pt>
                <c:pt idx="4">
                  <c:v>CE</c:v>
                </c:pt>
                <c:pt idx="5">
                  <c:v>CF</c:v>
                </c:pt>
                <c:pt idx="6">
                  <c:v>CG</c:v>
                </c:pt>
                <c:pt idx="7">
                  <c:v>CH</c:v>
                </c:pt>
                <c:pt idx="8">
                  <c:v>CI</c:v>
                </c:pt>
                <c:pt idx="9">
                  <c:v>CJ</c:v>
                </c:pt>
                <c:pt idx="10">
                  <c:v>CK</c:v>
                </c:pt>
                <c:pt idx="11">
                  <c:v>CL</c:v>
                </c:pt>
                <c:pt idx="12">
                  <c:v>CM</c:v>
                </c:pt>
              </c:strCache>
            </c:strRef>
          </c:cat>
          <c:val>
            <c:numRef>
              <c:f>'[GraficiElabImport_10_23.xlsx]GR-11 italiano'!$B$3:$B$15</c:f>
              <c:numCache>
                <c:formatCode>0.0</c:formatCode>
                <c:ptCount val="13"/>
                <c:pt idx="0">
                  <c:v>5.4</c:v>
                </c:pt>
                <c:pt idx="1">
                  <c:v>1.3</c:v>
                </c:pt>
                <c:pt idx="2">
                  <c:v>-19.2</c:v>
                </c:pt>
                <c:pt idx="3">
                  <c:v>-12.8</c:v>
                </c:pt>
                <c:pt idx="4">
                  <c:v>-11.4</c:v>
                </c:pt>
                <c:pt idx="5">
                  <c:v>-4.2</c:v>
                </c:pt>
                <c:pt idx="6">
                  <c:v>-0.3</c:v>
                </c:pt>
                <c:pt idx="7">
                  <c:v>-8.3000000000000007</c:v>
                </c:pt>
                <c:pt idx="8">
                  <c:v>-3</c:v>
                </c:pt>
                <c:pt idx="9">
                  <c:v>1.1000000000000001</c:v>
                </c:pt>
                <c:pt idx="10">
                  <c:v>3.7</c:v>
                </c:pt>
                <c:pt idx="11">
                  <c:v>4.7</c:v>
                </c:pt>
                <c:pt idx="12">
                  <c:v>1.5</c:v>
                </c:pt>
              </c:numCache>
            </c:numRef>
          </c:val>
          <c:extLst>
            <c:ext xmlns:c16="http://schemas.microsoft.com/office/drawing/2014/chart" uri="{C3380CC4-5D6E-409C-BE32-E72D297353CC}">
              <c16:uniqueId val="{00000001-0FF0-4D39-85FD-D3A06833BB75}"/>
            </c:ext>
          </c:extLst>
        </c:ser>
        <c:ser>
          <c:idx val="1"/>
          <c:order val="1"/>
          <c:tx>
            <c:strRef>
              <c:f>'[GraficiElabImport_10_23.xlsx]GR-11 italiano'!$C$1:$D$1</c:f>
              <c:strCache>
                <c:ptCount val="1"/>
                <c:pt idx="0">
                  <c:v>Area non euro</c:v>
                </c:pt>
              </c:strCache>
            </c:strRef>
          </c:tx>
          <c:spPr>
            <a:solidFill>
              <a:srgbClr val="FF0000"/>
            </a:solidFill>
            <a:ln w="12700">
              <a:solidFill>
                <a:srgbClr val="FF0000"/>
              </a:solidFill>
              <a:prstDash val="solid"/>
            </a:ln>
          </c:spPr>
          <c:invertIfNegative val="0"/>
          <c:dLbls>
            <c:dLbl>
              <c:idx val="2"/>
              <c:layout>
                <c:manualLayout>
                  <c:x val="3.482652572909274E-3"/>
                  <c:y val="4.8102090686939726E-3"/>
                </c:manualLayout>
              </c:layout>
              <c:spPr>
                <a:noFill/>
                <a:ln w="25400">
                  <a:noFill/>
                </a:ln>
              </c:spPr>
              <c:txPr>
                <a:bodyPr/>
                <a:lstStyle/>
                <a:p>
                  <a:pPr>
                    <a:defRPr sz="900" b="0" i="0" u="none" strike="noStrike" baseline="0">
                      <a:solidFill>
                        <a:srgbClr val="000000"/>
                      </a:solidFill>
                      <a:latin typeface="Arial Narrow"/>
                      <a:ea typeface="Arial Narrow"/>
                      <a:cs typeface="Arial Narrow"/>
                    </a:defRPr>
                  </a:pPr>
                  <a:endParaRPr lang="it-I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F0-4D39-85FD-D3A06833BB75}"/>
                </c:ext>
              </c:extLst>
            </c:dLbl>
            <c:dLbl>
              <c:idx val="8"/>
              <c:layout>
                <c:manualLayout>
                  <c:x val="3.2256354554862279E-3"/>
                  <c:y val="-2.775853018372703E-2"/>
                </c:manualLayout>
              </c:layout>
              <c:spPr>
                <a:noFill/>
                <a:ln w="25400">
                  <a:noFill/>
                </a:ln>
              </c:spPr>
              <c:txPr>
                <a:bodyPr/>
                <a:lstStyle/>
                <a:p>
                  <a:pPr>
                    <a:defRPr sz="900" b="0" i="0" u="none" strike="noStrike" baseline="0">
                      <a:solidFill>
                        <a:srgbClr val="000000"/>
                      </a:solidFill>
                      <a:latin typeface="Arial Narrow"/>
                      <a:ea typeface="Arial Narrow"/>
                      <a:cs typeface="Arial Narrow"/>
                    </a:defRPr>
                  </a:pPr>
                  <a:endParaRPr lang="it-I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F0-4D39-85FD-D3A06833BB75}"/>
                </c:ext>
              </c:extLst>
            </c:dLbl>
            <c:spPr>
              <a:noFill/>
              <a:ln w="25400">
                <a:noFill/>
              </a:ln>
            </c:spPr>
            <c:txPr>
              <a:bodyPr wrap="square" lIns="38100" tIns="19050" rIns="38100" bIns="19050" anchor="ctr">
                <a:spAutoFit/>
              </a:bodyPr>
              <a:lstStyle/>
              <a:p>
                <a:pPr>
                  <a:defRPr sz="900" b="0" i="0" u="none" strike="noStrike" baseline="0">
                    <a:solidFill>
                      <a:srgbClr val="000000"/>
                    </a:solidFill>
                    <a:latin typeface="Arial Narrow"/>
                    <a:ea typeface="Arial Narrow"/>
                    <a:cs typeface="Arial Narrow"/>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'[GraficiElabImport_10_23.xlsx]GR-11 italiano'!$A$3:$A$15</c:f>
              <c:strCache>
                <c:ptCount val="13"/>
                <c:pt idx="0">
                  <c:v>CA</c:v>
                </c:pt>
                <c:pt idx="1">
                  <c:v>CB</c:v>
                </c:pt>
                <c:pt idx="2">
                  <c:v>CC</c:v>
                </c:pt>
                <c:pt idx="3">
                  <c:v>CD</c:v>
                </c:pt>
                <c:pt idx="4">
                  <c:v>CE</c:v>
                </c:pt>
                <c:pt idx="5">
                  <c:v>CF</c:v>
                </c:pt>
                <c:pt idx="6">
                  <c:v>CG</c:v>
                </c:pt>
                <c:pt idx="7">
                  <c:v>CH</c:v>
                </c:pt>
                <c:pt idx="8">
                  <c:v>CI</c:v>
                </c:pt>
                <c:pt idx="9">
                  <c:v>CJ</c:v>
                </c:pt>
                <c:pt idx="10">
                  <c:v>CK</c:v>
                </c:pt>
                <c:pt idx="11">
                  <c:v>CL</c:v>
                </c:pt>
                <c:pt idx="12">
                  <c:v>CM</c:v>
                </c:pt>
              </c:strCache>
            </c:strRef>
          </c:cat>
          <c:val>
            <c:numRef>
              <c:f>'[GraficiElabImport_10_23.xlsx]GR-11 italiano'!$C$3:$C$15</c:f>
              <c:numCache>
                <c:formatCode>0.0</c:formatCode>
                <c:ptCount val="13"/>
                <c:pt idx="0">
                  <c:v>-6.7</c:v>
                </c:pt>
                <c:pt idx="1">
                  <c:v>-3.9</c:v>
                </c:pt>
                <c:pt idx="2">
                  <c:v>-17.5</c:v>
                </c:pt>
                <c:pt idx="3">
                  <c:v>0.7</c:v>
                </c:pt>
                <c:pt idx="4">
                  <c:v>-15.6</c:v>
                </c:pt>
                <c:pt idx="5">
                  <c:v>-2.7</c:v>
                </c:pt>
                <c:pt idx="6">
                  <c:v>-3.6</c:v>
                </c:pt>
                <c:pt idx="7">
                  <c:v>-4.5</c:v>
                </c:pt>
                <c:pt idx="8">
                  <c:v>-0.3</c:v>
                </c:pt>
                <c:pt idx="9">
                  <c:v>-2.8</c:v>
                </c:pt>
                <c:pt idx="10">
                  <c:v>0.5</c:v>
                </c:pt>
                <c:pt idx="11">
                  <c:v>3.7</c:v>
                </c:pt>
                <c:pt idx="12">
                  <c:v>1.1000000000000001</c:v>
                </c:pt>
              </c:numCache>
            </c:numRef>
          </c:val>
          <c:extLst>
            <c:ext xmlns:c16="http://schemas.microsoft.com/office/drawing/2014/chart" uri="{C3380CC4-5D6E-409C-BE32-E72D297353CC}">
              <c16:uniqueId val="{00000004-0FF0-4D39-85FD-D3A06833BB75}"/>
            </c:ext>
          </c:extLst>
        </c:ser>
        <c:dLbls>
          <c:showLegendKey val="0"/>
          <c:showVal val="0"/>
          <c:showCatName val="0"/>
          <c:showSerName val="0"/>
          <c:showPercent val="0"/>
          <c:showBubbleSize val="0"/>
        </c:dLbls>
        <c:gapWidth val="30"/>
        <c:axId val="242107616"/>
        <c:axId val="239661376"/>
      </c:barChart>
      <c:catAx>
        <c:axId val="242107616"/>
        <c:scaling>
          <c:orientation val="minMax"/>
        </c:scaling>
        <c:delete val="0"/>
        <c:axPos val="b"/>
        <c:majorGridlines>
          <c:spPr>
            <a:ln>
              <a:prstDash val="sysDash"/>
            </a:ln>
          </c:spPr>
        </c:majorGridlines>
        <c:numFmt formatCode="General" sourceLinked="1"/>
        <c:majorTickMark val="none"/>
        <c:minorTickMark val="none"/>
        <c:tickLblPos val="low"/>
        <c:spPr>
          <a:ln w="12700">
            <a:solidFill>
              <a:srgbClr val="808080"/>
            </a:solidFill>
            <a:prstDash val="solid"/>
          </a:ln>
        </c:spPr>
        <c:txPr>
          <a:bodyPr rot="0" vert="horz"/>
          <a:lstStyle/>
          <a:p>
            <a:pPr>
              <a:defRPr sz="875" b="1" i="0" u="none" strike="noStrike" baseline="0">
                <a:solidFill>
                  <a:srgbClr val="808080"/>
                </a:solidFill>
                <a:latin typeface="Arial Narrow"/>
                <a:ea typeface="Arial Narrow"/>
                <a:cs typeface="Arial Narrow"/>
              </a:defRPr>
            </a:pPr>
            <a:endParaRPr lang="it-IT"/>
          </a:p>
        </c:txPr>
        <c:crossAx val="239661376"/>
        <c:crosses val="autoZero"/>
        <c:auto val="1"/>
        <c:lblAlgn val="ctr"/>
        <c:lblOffset val="100"/>
        <c:tickLblSkip val="1"/>
        <c:tickMarkSkip val="1"/>
        <c:noMultiLvlLbl val="0"/>
      </c:catAx>
      <c:valAx>
        <c:axId val="239661376"/>
        <c:scaling>
          <c:orientation val="minMax"/>
          <c:max val="20"/>
          <c:min val="-30"/>
        </c:scaling>
        <c:delete val="0"/>
        <c:axPos val="l"/>
        <c:majorGridlines>
          <c:spPr>
            <a:ln>
              <a:prstDash val="sysDash"/>
            </a:ln>
          </c:spPr>
        </c:majorGridlines>
        <c:numFmt formatCode="0" sourceLinked="0"/>
        <c:majorTickMark val="out"/>
        <c:minorTickMark val="none"/>
        <c:tickLblPos val="nextTo"/>
        <c:spPr>
          <a:ln>
            <a:noFill/>
          </a:ln>
        </c:spPr>
        <c:txPr>
          <a:bodyPr rot="0" vert="horz"/>
          <a:lstStyle/>
          <a:p>
            <a:pPr>
              <a:defRPr sz="900" b="0" i="0" u="none" strike="noStrike" baseline="0">
                <a:solidFill>
                  <a:srgbClr val="000000"/>
                </a:solidFill>
                <a:latin typeface="Arial Narrow"/>
                <a:ea typeface="Arial Narrow"/>
                <a:cs typeface="Arial Narrow"/>
              </a:defRPr>
            </a:pPr>
            <a:endParaRPr lang="it-IT"/>
          </a:p>
        </c:txPr>
        <c:crossAx val="242107616"/>
        <c:crosses val="autoZero"/>
        <c:crossBetween val="between"/>
        <c:majorUnit val="10"/>
      </c:valAx>
    </c:plotArea>
    <c:legend>
      <c:legendPos val="t"/>
      <c:legendEntry>
        <c:idx val="0"/>
        <c:txPr>
          <a:bodyPr/>
          <a:lstStyle/>
          <a:p>
            <a:pPr>
              <a:defRPr sz="900" b="0" i="0" u="none" strike="noStrike" baseline="0">
                <a:solidFill>
                  <a:srgbClr val="000000"/>
                </a:solidFill>
                <a:latin typeface="Arial Narrow"/>
                <a:ea typeface="Arial Narrow"/>
                <a:cs typeface="Arial Narrow"/>
              </a:defRPr>
            </a:pPr>
            <a:endParaRPr lang="it-IT"/>
          </a:p>
        </c:txPr>
      </c:legendEntry>
      <c:legendEntry>
        <c:idx val="1"/>
        <c:txPr>
          <a:bodyPr/>
          <a:lstStyle/>
          <a:p>
            <a:pPr>
              <a:defRPr sz="900" b="0" i="0" u="none" strike="noStrike" baseline="0">
                <a:solidFill>
                  <a:srgbClr val="000000"/>
                </a:solidFill>
                <a:latin typeface="Arial Narrow"/>
                <a:ea typeface="Arial Narrow"/>
                <a:cs typeface="Arial Narrow"/>
              </a:defRPr>
            </a:pPr>
            <a:endParaRPr lang="it-IT"/>
          </a:p>
        </c:txPr>
      </c:legendEntry>
      <c:layout>
        <c:manualLayout>
          <c:xMode val="edge"/>
          <c:yMode val="edge"/>
          <c:x val="0.38842366529126648"/>
          <c:y val="0"/>
          <c:w val="0.22315266941746698"/>
          <c:h val="9.4608116649341212E-2"/>
        </c:manualLayout>
      </c:layout>
      <c:overlay val="0"/>
      <c:spPr>
        <a:noFill/>
        <a:ln w="25400">
          <a:noFill/>
        </a:ln>
      </c:spPr>
      <c:txPr>
        <a:bodyPr/>
        <a:lstStyle/>
        <a:p>
          <a:pPr>
            <a:defRPr sz="900" b="0" i="0" u="none" strike="noStrike" baseline="0">
              <a:solidFill>
                <a:srgbClr val="000000"/>
              </a:solidFill>
              <a:latin typeface="Arial Narrow"/>
              <a:ea typeface="Arial Narrow"/>
              <a:cs typeface="Arial Narrow"/>
            </a:defRPr>
          </a:pPr>
          <a:endParaRPr lang="it-IT"/>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Narrow"/>
          <a:ea typeface="Arial Narrow"/>
          <a:cs typeface="Arial Narrow"/>
        </a:defRPr>
      </a:pPr>
      <a:endParaRPr lang="it-I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409703152988609E-2"/>
          <c:y val="0.11942609975251388"/>
          <c:w val="0.92470376179061697"/>
          <c:h val="0.76081558939600014"/>
        </c:manualLayout>
      </c:layout>
      <c:lineChart>
        <c:grouping val="standard"/>
        <c:varyColors val="0"/>
        <c:ser>
          <c:idx val="0"/>
          <c:order val="0"/>
          <c:tx>
            <c:strRef>
              <c:f>'figure 2 e 3 '!$C$4</c:f>
              <c:strCache>
                <c:ptCount val="1"/>
                <c:pt idx="0">
                  <c:v>esportazioni</c:v>
                </c:pt>
              </c:strCache>
            </c:strRef>
          </c:tx>
          <c:spPr>
            <a:ln w="12700" cap="rnd" cmpd="sng" algn="ctr">
              <a:solidFill>
                <a:srgbClr val="003B5C"/>
              </a:solidFill>
              <a:prstDash val="sysDash"/>
              <a:round/>
              <a:headEnd type="none" w="med" len="med"/>
              <a:tailEnd type="none" w="med" len="med"/>
            </a:ln>
            <a:effectLst/>
          </c:spPr>
          <c:marker>
            <c:symbol val="none"/>
          </c:marker>
          <c:cat>
            <c:numRef>
              <c:f>'figure 2 e 3 '!$B$79:$B$150</c:f>
              <c:numCache>
                <c:formatCode>General</c:formatCode>
                <c:ptCount val="72"/>
                <c:pt idx="5" formatCode="0">
                  <c:v>2018</c:v>
                </c:pt>
                <c:pt idx="17" formatCode="0">
                  <c:v>2019</c:v>
                </c:pt>
                <c:pt idx="29" formatCode="0">
                  <c:v>2020</c:v>
                </c:pt>
                <c:pt idx="41" formatCode="0">
                  <c:v>2021</c:v>
                </c:pt>
                <c:pt idx="53" formatCode="0">
                  <c:v>2022</c:v>
                </c:pt>
                <c:pt idx="65" formatCode="0">
                  <c:v>2023</c:v>
                </c:pt>
              </c:numCache>
            </c:numRef>
          </c:cat>
          <c:val>
            <c:numRef>
              <c:f>'figure 2 e 3 '!$C$79:$C$150</c:f>
              <c:numCache>
                <c:formatCode>0</c:formatCode>
                <c:ptCount val="72"/>
                <c:pt idx="0">
                  <c:v>19579</c:v>
                </c:pt>
                <c:pt idx="1">
                  <c:v>19867</c:v>
                </c:pt>
                <c:pt idx="2">
                  <c:v>19603</c:v>
                </c:pt>
                <c:pt idx="3">
                  <c:v>19712</c:v>
                </c:pt>
                <c:pt idx="4">
                  <c:v>19411</c:v>
                </c:pt>
                <c:pt idx="5">
                  <c:v>20174</c:v>
                </c:pt>
                <c:pt idx="6">
                  <c:v>20396</c:v>
                </c:pt>
                <c:pt idx="7">
                  <c:v>20498</c:v>
                </c:pt>
                <c:pt idx="8">
                  <c:v>20063</c:v>
                </c:pt>
                <c:pt idx="9">
                  <c:v>20397</c:v>
                </c:pt>
                <c:pt idx="10">
                  <c:v>20228</c:v>
                </c:pt>
                <c:pt idx="11">
                  <c:v>19933</c:v>
                </c:pt>
                <c:pt idx="12">
                  <c:v>20316</c:v>
                </c:pt>
                <c:pt idx="13">
                  <c:v>20175</c:v>
                </c:pt>
                <c:pt idx="14">
                  <c:v>20433</c:v>
                </c:pt>
                <c:pt idx="15">
                  <c:v>20734</c:v>
                </c:pt>
                <c:pt idx="16">
                  <c:v>20950</c:v>
                </c:pt>
                <c:pt idx="17">
                  <c:v>20693</c:v>
                </c:pt>
                <c:pt idx="18">
                  <c:v>20710</c:v>
                </c:pt>
                <c:pt idx="19">
                  <c:v>20114</c:v>
                </c:pt>
                <c:pt idx="20">
                  <c:v>20846</c:v>
                </c:pt>
                <c:pt idx="21">
                  <c:v>20592</c:v>
                </c:pt>
                <c:pt idx="22">
                  <c:v>20039</c:v>
                </c:pt>
                <c:pt idx="23">
                  <c:v>20895</c:v>
                </c:pt>
                <c:pt idx="24">
                  <c:v>20393</c:v>
                </c:pt>
                <c:pt idx="25">
                  <c:v>20354</c:v>
                </c:pt>
                <c:pt idx="26">
                  <c:v>17269</c:v>
                </c:pt>
                <c:pt idx="27">
                  <c:v>11683</c:v>
                </c:pt>
                <c:pt idx="28">
                  <c:v>16075</c:v>
                </c:pt>
                <c:pt idx="29">
                  <c:v>18235</c:v>
                </c:pt>
                <c:pt idx="30">
                  <c:v>19340</c:v>
                </c:pt>
                <c:pt idx="31">
                  <c:v>20083</c:v>
                </c:pt>
                <c:pt idx="32">
                  <c:v>20115</c:v>
                </c:pt>
                <c:pt idx="33">
                  <c:v>19908</c:v>
                </c:pt>
                <c:pt idx="34">
                  <c:v>20912</c:v>
                </c:pt>
                <c:pt idx="35">
                  <c:v>20344</c:v>
                </c:pt>
                <c:pt idx="36">
                  <c:v>20995</c:v>
                </c:pt>
                <c:pt idx="37">
                  <c:v>21432</c:v>
                </c:pt>
                <c:pt idx="38">
                  <c:v>22075</c:v>
                </c:pt>
                <c:pt idx="39">
                  <c:v>22271</c:v>
                </c:pt>
                <c:pt idx="40">
                  <c:v>21722</c:v>
                </c:pt>
                <c:pt idx="41">
                  <c:v>22786</c:v>
                </c:pt>
                <c:pt idx="42">
                  <c:v>22688</c:v>
                </c:pt>
                <c:pt idx="43">
                  <c:v>23625</c:v>
                </c:pt>
                <c:pt idx="44">
                  <c:v>23615</c:v>
                </c:pt>
                <c:pt idx="45">
                  <c:v>23785</c:v>
                </c:pt>
                <c:pt idx="46">
                  <c:v>24434</c:v>
                </c:pt>
                <c:pt idx="47">
                  <c:v>24727</c:v>
                </c:pt>
                <c:pt idx="48">
                  <c:v>25684</c:v>
                </c:pt>
                <c:pt idx="49">
                  <c:v>26256</c:v>
                </c:pt>
                <c:pt idx="50">
                  <c:v>26756</c:v>
                </c:pt>
                <c:pt idx="51">
                  <c:v>27132</c:v>
                </c:pt>
                <c:pt idx="52">
                  <c:v>28378</c:v>
                </c:pt>
                <c:pt idx="53">
                  <c:v>27634</c:v>
                </c:pt>
                <c:pt idx="54">
                  <c:v>28844</c:v>
                </c:pt>
                <c:pt idx="55">
                  <c:v>28256</c:v>
                </c:pt>
                <c:pt idx="56">
                  <c:v>27931</c:v>
                </c:pt>
                <c:pt idx="57">
                  <c:v>28432</c:v>
                </c:pt>
                <c:pt idx="58">
                  <c:v>28415</c:v>
                </c:pt>
                <c:pt idx="59">
                  <c:v>28020</c:v>
                </c:pt>
                <c:pt idx="60">
                  <c:v>27888</c:v>
                </c:pt>
                <c:pt idx="61">
                  <c:v>27622</c:v>
                </c:pt>
                <c:pt idx="62">
                  <c:v>27581</c:v>
                </c:pt>
                <c:pt idx="63">
                  <c:v>27144</c:v>
                </c:pt>
                <c:pt idx="64">
                  <c:v>26716</c:v>
                </c:pt>
                <c:pt idx="65">
                  <c:v>26867</c:v>
                </c:pt>
                <c:pt idx="66">
                  <c:v>26551</c:v>
                </c:pt>
                <c:pt idx="67">
                  <c:v>27455</c:v>
                </c:pt>
                <c:pt idx="68">
                  <c:v>26869</c:v>
                </c:pt>
                <c:pt idx="69">
                  <c:v>27242</c:v>
                </c:pt>
              </c:numCache>
            </c:numRef>
          </c:val>
          <c:smooth val="0"/>
          <c:extLst>
            <c:ext xmlns:c16="http://schemas.microsoft.com/office/drawing/2014/chart" uri="{C3380CC4-5D6E-409C-BE32-E72D297353CC}">
              <c16:uniqueId val="{00000000-C924-4DF7-A0AE-4CD53EEF56C4}"/>
            </c:ext>
          </c:extLst>
        </c:ser>
        <c:ser>
          <c:idx val="1"/>
          <c:order val="1"/>
          <c:tx>
            <c:strRef>
              <c:f>'figure 2 e 3 '!$D$4</c:f>
              <c:strCache>
                <c:ptCount val="1"/>
                <c:pt idx="0">
                  <c:v>importazioni</c:v>
                </c:pt>
              </c:strCache>
            </c:strRef>
          </c:tx>
          <c:spPr>
            <a:ln w="12700" cap="rnd" cmpd="sng" algn="ctr">
              <a:solidFill>
                <a:srgbClr val="D22630"/>
              </a:solidFill>
              <a:prstDash val="sysDash"/>
              <a:round/>
              <a:headEnd type="none" w="med" len="med"/>
              <a:tailEnd type="none" w="med" len="med"/>
            </a:ln>
            <a:effectLst/>
          </c:spPr>
          <c:marker>
            <c:symbol val="none"/>
          </c:marker>
          <c:cat>
            <c:numRef>
              <c:f>'figure 2 e 3 '!$B$79:$B$150</c:f>
              <c:numCache>
                <c:formatCode>General</c:formatCode>
                <c:ptCount val="72"/>
                <c:pt idx="5" formatCode="0">
                  <c:v>2018</c:v>
                </c:pt>
                <c:pt idx="17" formatCode="0">
                  <c:v>2019</c:v>
                </c:pt>
                <c:pt idx="29" formatCode="0">
                  <c:v>2020</c:v>
                </c:pt>
                <c:pt idx="41" formatCode="0">
                  <c:v>2021</c:v>
                </c:pt>
                <c:pt idx="53" formatCode="0">
                  <c:v>2022</c:v>
                </c:pt>
                <c:pt idx="65" formatCode="0">
                  <c:v>2023</c:v>
                </c:pt>
              </c:numCache>
            </c:numRef>
          </c:cat>
          <c:val>
            <c:numRef>
              <c:f>'figure 2 e 3 '!$D$79:$D$150</c:f>
              <c:numCache>
                <c:formatCode>0</c:formatCode>
                <c:ptCount val="72"/>
                <c:pt idx="0">
                  <c:v>19777</c:v>
                </c:pt>
                <c:pt idx="1">
                  <c:v>19216</c:v>
                </c:pt>
                <c:pt idx="2">
                  <c:v>19606</c:v>
                </c:pt>
                <c:pt idx="3">
                  <c:v>19536</c:v>
                </c:pt>
                <c:pt idx="4">
                  <c:v>19849</c:v>
                </c:pt>
                <c:pt idx="5">
                  <c:v>19974</c:v>
                </c:pt>
                <c:pt idx="6">
                  <c:v>20541</c:v>
                </c:pt>
                <c:pt idx="7">
                  <c:v>20073</c:v>
                </c:pt>
                <c:pt idx="8">
                  <c:v>19782</c:v>
                </c:pt>
                <c:pt idx="9">
                  <c:v>20549</c:v>
                </c:pt>
                <c:pt idx="10">
                  <c:v>20114</c:v>
                </c:pt>
                <c:pt idx="11">
                  <c:v>20775</c:v>
                </c:pt>
                <c:pt idx="12">
                  <c:v>19868</c:v>
                </c:pt>
                <c:pt idx="13">
                  <c:v>19845</c:v>
                </c:pt>
                <c:pt idx="14">
                  <c:v>20137</c:v>
                </c:pt>
                <c:pt idx="15">
                  <c:v>20449</c:v>
                </c:pt>
                <c:pt idx="16">
                  <c:v>20601</c:v>
                </c:pt>
                <c:pt idx="17">
                  <c:v>20087</c:v>
                </c:pt>
                <c:pt idx="18">
                  <c:v>20220</c:v>
                </c:pt>
                <c:pt idx="19">
                  <c:v>19867</c:v>
                </c:pt>
                <c:pt idx="20">
                  <c:v>20524</c:v>
                </c:pt>
                <c:pt idx="21">
                  <c:v>20007</c:v>
                </c:pt>
                <c:pt idx="22">
                  <c:v>19767</c:v>
                </c:pt>
                <c:pt idx="23">
                  <c:v>20974</c:v>
                </c:pt>
                <c:pt idx="24">
                  <c:v>20262</c:v>
                </c:pt>
                <c:pt idx="25">
                  <c:v>20002</c:v>
                </c:pt>
                <c:pt idx="26">
                  <c:v>16492</c:v>
                </c:pt>
                <c:pt idx="27">
                  <c:v>12693</c:v>
                </c:pt>
                <c:pt idx="28">
                  <c:v>14750</c:v>
                </c:pt>
                <c:pt idx="29">
                  <c:v>16913</c:v>
                </c:pt>
                <c:pt idx="30">
                  <c:v>18410</c:v>
                </c:pt>
                <c:pt idx="31">
                  <c:v>18737</c:v>
                </c:pt>
                <c:pt idx="32">
                  <c:v>19411</c:v>
                </c:pt>
                <c:pt idx="33">
                  <c:v>19721</c:v>
                </c:pt>
                <c:pt idx="34">
                  <c:v>20221</c:v>
                </c:pt>
                <c:pt idx="35">
                  <c:v>19910</c:v>
                </c:pt>
                <c:pt idx="36">
                  <c:v>20186</c:v>
                </c:pt>
                <c:pt idx="37">
                  <c:v>20428</c:v>
                </c:pt>
                <c:pt idx="38">
                  <c:v>21598</c:v>
                </c:pt>
                <c:pt idx="39">
                  <c:v>21604</c:v>
                </c:pt>
                <c:pt idx="40">
                  <c:v>21797</c:v>
                </c:pt>
                <c:pt idx="41">
                  <c:v>22624</c:v>
                </c:pt>
                <c:pt idx="42">
                  <c:v>22844</c:v>
                </c:pt>
                <c:pt idx="43">
                  <c:v>23246</c:v>
                </c:pt>
                <c:pt idx="44">
                  <c:v>23048</c:v>
                </c:pt>
                <c:pt idx="45">
                  <c:v>23598</c:v>
                </c:pt>
                <c:pt idx="46">
                  <c:v>24241</c:v>
                </c:pt>
                <c:pt idx="47">
                  <c:v>26711</c:v>
                </c:pt>
                <c:pt idx="48">
                  <c:v>25692</c:v>
                </c:pt>
                <c:pt idx="49">
                  <c:v>26362</c:v>
                </c:pt>
                <c:pt idx="50">
                  <c:v>26944</c:v>
                </c:pt>
                <c:pt idx="51">
                  <c:v>28711</c:v>
                </c:pt>
                <c:pt idx="52">
                  <c:v>29483</c:v>
                </c:pt>
                <c:pt idx="53">
                  <c:v>27984</c:v>
                </c:pt>
                <c:pt idx="54">
                  <c:v>29022</c:v>
                </c:pt>
                <c:pt idx="55">
                  <c:v>30112</c:v>
                </c:pt>
                <c:pt idx="56">
                  <c:v>29445</c:v>
                </c:pt>
                <c:pt idx="57">
                  <c:v>28590</c:v>
                </c:pt>
                <c:pt idx="58">
                  <c:v>28584</c:v>
                </c:pt>
                <c:pt idx="59">
                  <c:v>29169</c:v>
                </c:pt>
                <c:pt idx="60">
                  <c:v>29509</c:v>
                </c:pt>
                <c:pt idx="61">
                  <c:v>28983</c:v>
                </c:pt>
                <c:pt idx="62">
                  <c:v>28399</c:v>
                </c:pt>
                <c:pt idx="63">
                  <c:v>28205</c:v>
                </c:pt>
                <c:pt idx="64">
                  <c:v>27740</c:v>
                </c:pt>
                <c:pt idx="65">
                  <c:v>28877</c:v>
                </c:pt>
                <c:pt idx="66">
                  <c:v>27495</c:v>
                </c:pt>
                <c:pt idx="67">
                  <c:v>28509</c:v>
                </c:pt>
                <c:pt idx="68">
                  <c:v>27395</c:v>
                </c:pt>
                <c:pt idx="69">
                  <c:v>28062</c:v>
                </c:pt>
              </c:numCache>
            </c:numRef>
          </c:val>
          <c:smooth val="0"/>
          <c:extLst>
            <c:ext xmlns:c16="http://schemas.microsoft.com/office/drawing/2014/chart" uri="{C3380CC4-5D6E-409C-BE32-E72D297353CC}">
              <c16:uniqueId val="{00000001-C924-4DF7-A0AE-4CD53EEF56C4}"/>
            </c:ext>
          </c:extLst>
        </c:ser>
        <c:ser>
          <c:idx val="2"/>
          <c:order val="2"/>
          <c:tx>
            <c:strRef>
              <c:f>'figure 2 e 3 '!$E$4</c:f>
              <c:strCache>
                <c:ptCount val="1"/>
                <c:pt idx="0">
                  <c:v>mm3mesi export</c:v>
                </c:pt>
              </c:strCache>
            </c:strRef>
          </c:tx>
          <c:spPr>
            <a:ln w="28575" cap="rnd" cmpd="sng" algn="ctr">
              <a:solidFill>
                <a:srgbClr val="003B5C"/>
              </a:solidFill>
              <a:prstDash val="solid"/>
              <a:round/>
              <a:headEnd type="none" w="med" len="med"/>
              <a:tailEnd type="none" w="med" len="med"/>
            </a:ln>
            <a:effectLst/>
          </c:spPr>
          <c:marker>
            <c:symbol val="none"/>
          </c:marker>
          <c:cat>
            <c:numRef>
              <c:f>'figure 2 e 3 '!$B$79:$B$150</c:f>
              <c:numCache>
                <c:formatCode>General</c:formatCode>
                <c:ptCount val="72"/>
                <c:pt idx="5" formatCode="0">
                  <c:v>2018</c:v>
                </c:pt>
                <c:pt idx="17" formatCode="0">
                  <c:v>2019</c:v>
                </c:pt>
                <c:pt idx="29" formatCode="0">
                  <c:v>2020</c:v>
                </c:pt>
                <c:pt idx="41" formatCode="0">
                  <c:v>2021</c:v>
                </c:pt>
                <c:pt idx="53" formatCode="0">
                  <c:v>2022</c:v>
                </c:pt>
                <c:pt idx="65" formatCode="0">
                  <c:v>2023</c:v>
                </c:pt>
              </c:numCache>
            </c:numRef>
          </c:cat>
          <c:val>
            <c:numRef>
              <c:f>'figure 2 e 3 '!$E$79:$E$150</c:f>
              <c:numCache>
                <c:formatCode>0</c:formatCode>
                <c:ptCount val="72"/>
                <c:pt idx="0">
                  <c:v>19867.333333333332</c:v>
                </c:pt>
                <c:pt idx="1">
                  <c:v>19683</c:v>
                </c:pt>
                <c:pt idx="2">
                  <c:v>19727.333333333332</c:v>
                </c:pt>
                <c:pt idx="3">
                  <c:v>19575.333333333332</c:v>
                </c:pt>
                <c:pt idx="4">
                  <c:v>19765.666666666668</c:v>
                </c:pt>
                <c:pt idx="5">
                  <c:v>19993.666666666668</c:v>
                </c:pt>
                <c:pt idx="6">
                  <c:v>20356</c:v>
                </c:pt>
                <c:pt idx="7">
                  <c:v>20319</c:v>
                </c:pt>
                <c:pt idx="8">
                  <c:v>20319.333333333332</c:v>
                </c:pt>
                <c:pt idx="9">
                  <c:v>20229.333333333332</c:v>
                </c:pt>
                <c:pt idx="10">
                  <c:v>20186</c:v>
                </c:pt>
                <c:pt idx="11">
                  <c:v>20159</c:v>
                </c:pt>
                <c:pt idx="12">
                  <c:v>20141.333333333332</c:v>
                </c:pt>
                <c:pt idx="13">
                  <c:v>20308</c:v>
                </c:pt>
                <c:pt idx="14">
                  <c:v>20447.333333333332</c:v>
                </c:pt>
                <c:pt idx="15">
                  <c:v>20705.666666666668</c:v>
                </c:pt>
                <c:pt idx="16">
                  <c:v>20792.333333333332</c:v>
                </c:pt>
                <c:pt idx="17">
                  <c:v>20784.333333333332</c:v>
                </c:pt>
                <c:pt idx="18">
                  <c:v>20505.666666666668</c:v>
                </c:pt>
                <c:pt idx="19">
                  <c:v>20556.666666666668</c:v>
                </c:pt>
                <c:pt idx="20">
                  <c:v>20517.333333333332</c:v>
                </c:pt>
                <c:pt idx="21">
                  <c:v>20492.333333333332</c:v>
                </c:pt>
                <c:pt idx="22">
                  <c:v>20508.666666666668</c:v>
                </c:pt>
                <c:pt idx="23">
                  <c:v>20442.333333333332</c:v>
                </c:pt>
                <c:pt idx="24">
                  <c:v>20547.333333333332</c:v>
                </c:pt>
                <c:pt idx="25">
                  <c:v>19338.666666666668</c:v>
                </c:pt>
                <c:pt idx="26">
                  <c:v>16435.333333333332</c:v>
                </c:pt>
                <c:pt idx="27">
                  <c:v>15009</c:v>
                </c:pt>
                <c:pt idx="28">
                  <c:v>15331</c:v>
                </c:pt>
                <c:pt idx="29">
                  <c:v>17883.333333333332</c:v>
                </c:pt>
                <c:pt idx="30">
                  <c:v>19219.333333333332</c:v>
                </c:pt>
                <c:pt idx="31">
                  <c:v>19846</c:v>
                </c:pt>
                <c:pt idx="32">
                  <c:v>20035.333333333332</c:v>
                </c:pt>
                <c:pt idx="33">
                  <c:v>20311.666666666668</c:v>
                </c:pt>
                <c:pt idx="34">
                  <c:v>20388</c:v>
                </c:pt>
                <c:pt idx="35">
                  <c:v>20750.333333333332</c:v>
                </c:pt>
                <c:pt idx="36">
                  <c:v>20923.666666666668</c:v>
                </c:pt>
                <c:pt idx="37">
                  <c:v>21500.666666666668</c:v>
                </c:pt>
                <c:pt idx="38">
                  <c:v>21926</c:v>
                </c:pt>
                <c:pt idx="39">
                  <c:v>22022.666666666668</c:v>
                </c:pt>
                <c:pt idx="40">
                  <c:v>22259.666666666668</c:v>
                </c:pt>
                <c:pt idx="41">
                  <c:v>22398.666666666668</c:v>
                </c:pt>
                <c:pt idx="42">
                  <c:v>23033</c:v>
                </c:pt>
                <c:pt idx="43">
                  <c:v>23309.333333333332</c:v>
                </c:pt>
                <c:pt idx="44">
                  <c:v>23675</c:v>
                </c:pt>
                <c:pt idx="45">
                  <c:v>23944.666666666668</c:v>
                </c:pt>
                <c:pt idx="46">
                  <c:v>24315.333333333332</c:v>
                </c:pt>
                <c:pt idx="47">
                  <c:v>24948.333333333332</c:v>
                </c:pt>
                <c:pt idx="48">
                  <c:v>25555.666666666668</c:v>
                </c:pt>
                <c:pt idx="49">
                  <c:v>26232</c:v>
                </c:pt>
                <c:pt idx="50">
                  <c:v>26714.666666666668</c:v>
                </c:pt>
                <c:pt idx="51">
                  <c:v>27422</c:v>
                </c:pt>
                <c:pt idx="52">
                  <c:v>27714.666666666668</c:v>
                </c:pt>
                <c:pt idx="53">
                  <c:v>28285.333333333332</c:v>
                </c:pt>
                <c:pt idx="54">
                  <c:v>28244.666666666668</c:v>
                </c:pt>
                <c:pt idx="55">
                  <c:v>28343.666666666668</c:v>
                </c:pt>
                <c:pt idx="56">
                  <c:v>28206.333333333332</c:v>
                </c:pt>
                <c:pt idx="57">
                  <c:v>28259.333333333332</c:v>
                </c:pt>
                <c:pt idx="58">
                  <c:v>28289</c:v>
                </c:pt>
                <c:pt idx="59">
                  <c:v>28107.666666666668</c:v>
                </c:pt>
                <c:pt idx="60">
                  <c:v>27843.333333333332</c:v>
                </c:pt>
                <c:pt idx="61">
                  <c:v>27697</c:v>
                </c:pt>
                <c:pt idx="62">
                  <c:v>27449</c:v>
                </c:pt>
                <c:pt idx="63">
                  <c:v>27147</c:v>
                </c:pt>
                <c:pt idx="64">
                  <c:v>26909</c:v>
                </c:pt>
                <c:pt idx="65">
                  <c:v>26711.333333333332</c:v>
                </c:pt>
                <c:pt idx="66">
                  <c:v>26957.666666666668</c:v>
                </c:pt>
                <c:pt idx="67">
                  <c:v>26958.333333333332</c:v>
                </c:pt>
                <c:pt idx="68">
                  <c:v>27188.666666666668</c:v>
                </c:pt>
              </c:numCache>
            </c:numRef>
          </c:val>
          <c:smooth val="0"/>
          <c:extLst>
            <c:ext xmlns:c16="http://schemas.microsoft.com/office/drawing/2014/chart" uri="{C3380CC4-5D6E-409C-BE32-E72D297353CC}">
              <c16:uniqueId val="{00000002-C924-4DF7-A0AE-4CD53EEF56C4}"/>
            </c:ext>
          </c:extLst>
        </c:ser>
        <c:ser>
          <c:idx val="3"/>
          <c:order val="3"/>
          <c:tx>
            <c:strRef>
              <c:f>'figure 2 e 3 '!$F$4</c:f>
              <c:strCache>
                <c:ptCount val="1"/>
                <c:pt idx="0">
                  <c:v>mm3mesi import</c:v>
                </c:pt>
              </c:strCache>
            </c:strRef>
          </c:tx>
          <c:spPr>
            <a:ln w="28575" cap="rnd" cmpd="sng" algn="ctr">
              <a:solidFill>
                <a:srgbClr val="D22630"/>
              </a:solidFill>
              <a:prstDash val="solid"/>
              <a:round/>
              <a:headEnd type="none" w="med" len="med"/>
              <a:tailEnd type="none" w="med" len="med"/>
            </a:ln>
            <a:effectLst/>
          </c:spPr>
          <c:marker>
            <c:symbol val="none"/>
          </c:marker>
          <c:cat>
            <c:numRef>
              <c:f>'figure 2 e 3 '!$B$79:$B$150</c:f>
              <c:numCache>
                <c:formatCode>General</c:formatCode>
                <c:ptCount val="72"/>
                <c:pt idx="5" formatCode="0">
                  <c:v>2018</c:v>
                </c:pt>
                <c:pt idx="17" formatCode="0">
                  <c:v>2019</c:v>
                </c:pt>
                <c:pt idx="29" formatCode="0">
                  <c:v>2020</c:v>
                </c:pt>
                <c:pt idx="41" formatCode="0">
                  <c:v>2021</c:v>
                </c:pt>
                <c:pt idx="53" formatCode="0">
                  <c:v>2022</c:v>
                </c:pt>
                <c:pt idx="65" formatCode="0">
                  <c:v>2023</c:v>
                </c:pt>
              </c:numCache>
            </c:numRef>
          </c:cat>
          <c:val>
            <c:numRef>
              <c:f>'figure 2 e 3 '!$F$79:$F$150</c:f>
              <c:numCache>
                <c:formatCode>0</c:formatCode>
                <c:ptCount val="72"/>
                <c:pt idx="0">
                  <c:v>19868.666666666668</c:v>
                </c:pt>
                <c:pt idx="1">
                  <c:v>19533</c:v>
                </c:pt>
                <c:pt idx="2">
                  <c:v>19452.666666666668</c:v>
                </c:pt>
                <c:pt idx="3">
                  <c:v>19663.666666666668</c:v>
                </c:pt>
                <c:pt idx="4">
                  <c:v>19786.333333333332</c:v>
                </c:pt>
                <c:pt idx="5">
                  <c:v>20121.333333333332</c:v>
                </c:pt>
                <c:pt idx="6">
                  <c:v>20196</c:v>
                </c:pt>
                <c:pt idx="7">
                  <c:v>20132</c:v>
                </c:pt>
                <c:pt idx="8">
                  <c:v>20134.666666666668</c:v>
                </c:pt>
                <c:pt idx="9">
                  <c:v>20148.333333333332</c:v>
                </c:pt>
                <c:pt idx="10">
                  <c:v>20479.333333333332</c:v>
                </c:pt>
                <c:pt idx="11">
                  <c:v>20252.333333333332</c:v>
                </c:pt>
                <c:pt idx="12">
                  <c:v>20162.666666666668</c:v>
                </c:pt>
                <c:pt idx="13">
                  <c:v>19950</c:v>
                </c:pt>
                <c:pt idx="14">
                  <c:v>20143.666666666668</c:v>
                </c:pt>
                <c:pt idx="15">
                  <c:v>20395.666666666668</c:v>
                </c:pt>
                <c:pt idx="16">
                  <c:v>20379</c:v>
                </c:pt>
                <c:pt idx="17">
                  <c:v>20302.666666666668</c:v>
                </c:pt>
                <c:pt idx="18">
                  <c:v>20058</c:v>
                </c:pt>
                <c:pt idx="19">
                  <c:v>20203.666666666668</c:v>
                </c:pt>
                <c:pt idx="20">
                  <c:v>20132.666666666668</c:v>
                </c:pt>
                <c:pt idx="21">
                  <c:v>20099.333333333332</c:v>
                </c:pt>
                <c:pt idx="22">
                  <c:v>20249.333333333332</c:v>
                </c:pt>
                <c:pt idx="23">
                  <c:v>20334.333333333332</c:v>
                </c:pt>
                <c:pt idx="24">
                  <c:v>20412.666666666668</c:v>
                </c:pt>
                <c:pt idx="25">
                  <c:v>18918.666666666668</c:v>
                </c:pt>
                <c:pt idx="26">
                  <c:v>16395.666666666668</c:v>
                </c:pt>
                <c:pt idx="27">
                  <c:v>14645</c:v>
                </c:pt>
                <c:pt idx="28">
                  <c:v>14785.333333333334</c:v>
                </c:pt>
                <c:pt idx="29">
                  <c:v>16691</c:v>
                </c:pt>
                <c:pt idx="30">
                  <c:v>18020</c:v>
                </c:pt>
                <c:pt idx="31">
                  <c:v>18852.666666666668</c:v>
                </c:pt>
                <c:pt idx="32">
                  <c:v>19289.666666666668</c:v>
                </c:pt>
                <c:pt idx="33">
                  <c:v>19784.333333333332</c:v>
                </c:pt>
                <c:pt idx="34">
                  <c:v>19950.666666666668</c:v>
                </c:pt>
                <c:pt idx="35">
                  <c:v>20105.666666666668</c:v>
                </c:pt>
                <c:pt idx="36">
                  <c:v>20174.666666666668</c:v>
                </c:pt>
                <c:pt idx="37">
                  <c:v>20737.333333333332</c:v>
                </c:pt>
                <c:pt idx="38">
                  <c:v>21210</c:v>
                </c:pt>
                <c:pt idx="39">
                  <c:v>21666.333333333332</c:v>
                </c:pt>
                <c:pt idx="40">
                  <c:v>22008.333333333332</c:v>
                </c:pt>
                <c:pt idx="41">
                  <c:v>22421.666666666668</c:v>
                </c:pt>
                <c:pt idx="42">
                  <c:v>22904.666666666668</c:v>
                </c:pt>
                <c:pt idx="43">
                  <c:v>23046</c:v>
                </c:pt>
                <c:pt idx="44">
                  <c:v>23297.333333333332</c:v>
                </c:pt>
                <c:pt idx="45">
                  <c:v>23629</c:v>
                </c:pt>
                <c:pt idx="46">
                  <c:v>24850</c:v>
                </c:pt>
                <c:pt idx="47">
                  <c:v>25548</c:v>
                </c:pt>
                <c:pt idx="48">
                  <c:v>26255</c:v>
                </c:pt>
                <c:pt idx="49">
                  <c:v>26332.666666666668</c:v>
                </c:pt>
                <c:pt idx="50">
                  <c:v>27339</c:v>
                </c:pt>
                <c:pt idx="51">
                  <c:v>28379.333333333332</c:v>
                </c:pt>
                <c:pt idx="52">
                  <c:v>28726</c:v>
                </c:pt>
                <c:pt idx="53">
                  <c:v>28829.666666666668</c:v>
                </c:pt>
                <c:pt idx="54">
                  <c:v>29039.333333333332</c:v>
                </c:pt>
                <c:pt idx="55">
                  <c:v>29526.333333333332</c:v>
                </c:pt>
                <c:pt idx="56">
                  <c:v>29382.333333333332</c:v>
                </c:pt>
                <c:pt idx="57">
                  <c:v>28873</c:v>
                </c:pt>
                <c:pt idx="58">
                  <c:v>28781</c:v>
                </c:pt>
                <c:pt idx="59">
                  <c:v>29087.333333333332</c:v>
                </c:pt>
                <c:pt idx="60">
                  <c:v>29220.333333333332</c:v>
                </c:pt>
                <c:pt idx="61">
                  <c:v>28963.666666666668</c:v>
                </c:pt>
                <c:pt idx="62">
                  <c:v>28529</c:v>
                </c:pt>
                <c:pt idx="63">
                  <c:v>28114.666666666668</c:v>
                </c:pt>
                <c:pt idx="64">
                  <c:v>28274</c:v>
                </c:pt>
                <c:pt idx="65">
                  <c:v>28037.333333333332</c:v>
                </c:pt>
                <c:pt idx="66">
                  <c:v>28293.666666666668</c:v>
                </c:pt>
                <c:pt idx="67">
                  <c:v>27799.666666666668</c:v>
                </c:pt>
                <c:pt idx="68">
                  <c:v>27988.666666666668</c:v>
                </c:pt>
              </c:numCache>
            </c:numRef>
          </c:val>
          <c:smooth val="0"/>
          <c:extLst>
            <c:ext xmlns:c16="http://schemas.microsoft.com/office/drawing/2014/chart" uri="{C3380CC4-5D6E-409C-BE32-E72D297353CC}">
              <c16:uniqueId val="{00000003-C924-4DF7-A0AE-4CD53EEF56C4}"/>
            </c:ext>
          </c:extLst>
        </c:ser>
        <c:dLbls>
          <c:showLegendKey val="0"/>
          <c:showVal val="0"/>
          <c:showCatName val="0"/>
          <c:showSerName val="0"/>
          <c:showPercent val="0"/>
          <c:showBubbleSize val="0"/>
        </c:dLbls>
        <c:marker val="1"/>
        <c:smooth val="0"/>
        <c:axId val="209412192"/>
        <c:axId val="209412752"/>
      </c:lineChart>
      <c:lineChart>
        <c:grouping val="standard"/>
        <c:varyColors val="0"/>
        <c:ser>
          <c:idx val="4"/>
          <c:order val="4"/>
          <c:spPr>
            <a:ln w="28575" cap="rnd">
              <a:solidFill>
                <a:srgbClr val="FFFFFF"/>
              </a:solidFill>
              <a:round/>
            </a:ln>
            <a:effectLst/>
          </c:spPr>
          <c:marker>
            <c:symbol val="none"/>
          </c:marker>
          <c:val>
            <c:numRef>
              <c:f>'figure 2 e 3 '!$FO$1:$FO$74</c:f>
              <c:numCache>
                <c:formatCode>General</c:formatCode>
                <c:ptCount val="74"/>
              </c:numCache>
            </c:numRef>
          </c:val>
          <c:smooth val="0"/>
          <c:extLst>
            <c:ext xmlns:c16="http://schemas.microsoft.com/office/drawing/2014/chart" uri="{C3380CC4-5D6E-409C-BE32-E72D297353CC}">
              <c16:uniqueId val="{00000004-C924-4DF7-A0AE-4CD53EEF56C4}"/>
            </c:ext>
          </c:extLst>
        </c:ser>
        <c:dLbls>
          <c:showLegendKey val="0"/>
          <c:showVal val="0"/>
          <c:showCatName val="0"/>
          <c:showSerName val="0"/>
          <c:showPercent val="0"/>
          <c:showBubbleSize val="0"/>
        </c:dLbls>
        <c:marker val="1"/>
        <c:smooth val="0"/>
        <c:axId val="209413872"/>
        <c:axId val="209413312"/>
      </c:lineChart>
      <c:catAx>
        <c:axId val="209412192"/>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rot="-60000000" spcFirstLastPara="1" vertOverflow="ellipsis" vert="horz"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209412752"/>
        <c:crosses val="autoZero"/>
        <c:auto val="1"/>
        <c:lblAlgn val="l"/>
        <c:lblOffset val="0"/>
        <c:tickMarkSkip val="3"/>
        <c:noMultiLvlLbl val="0"/>
      </c:catAx>
      <c:valAx>
        <c:axId val="209412752"/>
        <c:scaling>
          <c:orientation val="minMax"/>
          <c:max val="32000"/>
          <c:min val="8000"/>
        </c:scaling>
        <c:delete val="0"/>
        <c:axPos val="l"/>
        <c:majorGridlines>
          <c:spPr>
            <a:ln w="6350" cap="flat" cmpd="sng" algn="ctr">
              <a:solidFill>
                <a:srgbClr val="A6A6A6"/>
              </a:solidFill>
              <a:prstDash val="sysDash"/>
              <a:round/>
              <a:headEnd type="none" w="med" len="med"/>
              <a:tailEnd type="none" w="med" len="me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09412192"/>
        <c:crosses val="autoZero"/>
        <c:crossBetween val="between"/>
        <c:majorUnit val="4000"/>
        <c:dispUnits>
          <c:builtInUnit val="thousands"/>
        </c:dispUnits>
      </c:valAx>
      <c:valAx>
        <c:axId val="209413312"/>
        <c:scaling>
          <c:orientation val="minMax"/>
        </c:scaling>
        <c:delete val="1"/>
        <c:axPos val="r"/>
        <c:numFmt formatCode="General" sourceLinked="1"/>
        <c:majorTickMark val="out"/>
        <c:minorTickMark val="none"/>
        <c:tickLblPos val="nextTo"/>
        <c:crossAx val="209413872"/>
        <c:crosses val="max"/>
        <c:crossBetween val="between"/>
      </c:valAx>
      <c:catAx>
        <c:axId val="209413872"/>
        <c:scaling>
          <c:orientation val="minMax"/>
        </c:scaling>
        <c:delete val="1"/>
        <c:axPos val="t"/>
        <c:majorGridlines>
          <c:spPr>
            <a:ln w="12700" cap="flat" cmpd="sng" algn="ctr">
              <a:solidFill>
                <a:srgbClr val="A6A6A6"/>
              </a:solidFill>
              <a:prstDash val="solid"/>
              <a:round/>
              <a:headEnd type="none" w="med" len="med"/>
              <a:tailEnd type="none" w="med" len="med"/>
            </a:ln>
            <a:effectLst/>
          </c:spPr>
        </c:majorGridlines>
        <c:majorTickMark val="out"/>
        <c:minorTickMark val="none"/>
        <c:tickLblPos val="nextTo"/>
        <c:crossAx val="209413312"/>
        <c:crosses val="max"/>
        <c:auto val="1"/>
        <c:lblAlgn val="ctr"/>
        <c:lblOffset val="100"/>
        <c:tickMarkSkip val="12"/>
        <c:noMultiLvlLbl val="0"/>
      </c:catAx>
      <c:spPr>
        <a:solidFill>
          <a:srgbClr val="FFFFFF"/>
        </a:solidFill>
        <a:ln w="9525" cap="flat" cmpd="sng" algn="ctr">
          <a:solidFill>
            <a:schemeClr val="bg1">
              <a:lumMod val="85000"/>
            </a:schemeClr>
          </a:solidFill>
          <a:prstDash val="solid"/>
          <a:round/>
          <a:headEnd type="none" w="med" len="med"/>
          <a:tailEnd type="none" w="med" len="med"/>
        </a:ln>
        <a:effectLst/>
      </c:spPr>
    </c:plotArea>
    <c:legend>
      <c:legendPos val="t"/>
      <c:legendEntry>
        <c:idx val="4"/>
        <c:delete val="1"/>
      </c:legendEntry>
      <c:layout>
        <c:manualLayout>
          <c:xMode val="edge"/>
          <c:yMode val="edge"/>
          <c:x val="0.17755877059552952"/>
          <c:y val="0"/>
          <c:w val="0.63421706965332536"/>
          <c:h val="8.9783713000070306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409703152988609E-2"/>
          <c:y val="0.11942609975251388"/>
          <c:w val="0.92470376179061697"/>
          <c:h val="0.76081558939600014"/>
        </c:manualLayout>
      </c:layout>
      <c:lineChart>
        <c:grouping val="standard"/>
        <c:varyColors val="0"/>
        <c:ser>
          <c:idx val="5"/>
          <c:order val="0"/>
          <c:tx>
            <c:strRef>
              <c:f>'figure 2 e 3 '!$C$4</c:f>
              <c:strCache>
                <c:ptCount val="1"/>
                <c:pt idx="0">
                  <c:v>esportazioni</c:v>
                </c:pt>
              </c:strCache>
            </c:strRef>
          </c:tx>
          <c:spPr>
            <a:ln w="12700" cap="rnd" cmpd="sng" algn="ctr">
              <a:solidFill>
                <a:srgbClr val="003B5C"/>
              </a:solidFill>
              <a:prstDash val="sysDash"/>
              <a:round/>
              <a:headEnd type="none" w="med" len="med"/>
              <a:tailEnd type="none" w="med" len="med"/>
            </a:ln>
            <a:effectLst/>
          </c:spPr>
          <c:marker>
            <c:symbol val="none"/>
          </c:marker>
          <c:cat>
            <c:numRef>
              <c:f>'figure 2 e 3 '!$B$79:$B$150</c:f>
              <c:numCache>
                <c:formatCode>General</c:formatCode>
                <c:ptCount val="72"/>
                <c:pt idx="5" formatCode="0">
                  <c:v>2018</c:v>
                </c:pt>
                <c:pt idx="17" formatCode="0">
                  <c:v>2019</c:v>
                </c:pt>
                <c:pt idx="29" formatCode="0">
                  <c:v>2020</c:v>
                </c:pt>
                <c:pt idx="41" formatCode="0">
                  <c:v>2021</c:v>
                </c:pt>
                <c:pt idx="53" formatCode="0">
                  <c:v>2022</c:v>
                </c:pt>
                <c:pt idx="65" formatCode="0">
                  <c:v>2023</c:v>
                </c:pt>
              </c:numCache>
            </c:numRef>
          </c:cat>
          <c:val>
            <c:numRef>
              <c:f>'figure 2 e 3 '!$G$79:$G$150</c:f>
              <c:numCache>
                <c:formatCode>0</c:formatCode>
                <c:ptCount val="72"/>
                <c:pt idx="0">
                  <c:v>18232</c:v>
                </c:pt>
                <c:pt idx="1">
                  <c:v>18087</c:v>
                </c:pt>
                <c:pt idx="2">
                  <c:v>18796</c:v>
                </c:pt>
                <c:pt idx="3">
                  <c:v>18742</c:v>
                </c:pt>
                <c:pt idx="4">
                  <c:v>18142</c:v>
                </c:pt>
                <c:pt idx="5">
                  <c:v>19495</c:v>
                </c:pt>
                <c:pt idx="6">
                  <c:v>18965</c:v>
                </c:pt>
                <c:pt idx="7">
                  <c:v>19297</c:v>
                </c:pt>
                <c:pt idx="8">
                  <c:v>18439</c:v>
                </c:pt>
                <c:pt idx="9">
                  <c:v>19398</c:v>
                </c:pt>
                <c:pt idx="10">
                  <c:v>19722</c:v>
                </c:pt>
                <c:pt idx="11">
                  <c:v>18746</c:v>
                </c:pt>
                <c:pt idx="12">
                  <c:v>19516</c:v>
                </c:pt>
                <c:pt idx="13">
                  <c:v>19396</c:v>
                </c:pt>
                <c:pt idx="14">
                  <c:v>19712</c:v>
                </c:pt>
                <c:pt idx="15">
                  <c:v>19284</c:v>
                </c:pt>
                <c:pt idx="16">
                  <c:v>19403</c:v>
                </c:pt>
                <c:pt idx="17">
                  <c:v>20068</c:v>
                </c:pt>
                <c:pt idx="18">
                  <c:v>19584</c:v>
                </c:pt>
                <c:pt idx="19">
                  <c:v>19459</c:v>
                </c:pt>
                <c:pt idx="20">
                  <c:v>19895</c:v>
                </c:pt>
                <c:pt idx="21">
                  <c:v>20883</c:v>
                </c:pt>
                <c:pt idx="22">
                  <c:v>18957</c:v>
                </c:pt>
                <c:pt idx="23">
                  <c:v>19553</c:v>
                </c:pt>
                <c:pt idx="24">
                  <c:v>20062</c:v>
                </c:pt>
                <c:pt idx="25">
                  <c:v>19945</c:v>
                </c:pt>
                <c:pt idx="26">
                  <c:v>16608</c:v>
                </c:pt>
                <c:pt idx="27">
                  <c:v>10369</c:v>
                </c:pt>
                <c:pt idx="28">
                  <c:v>14212</c:v>
                </c:pt>
                <c:pt idx="29">
                  <c:v>16560</c:v>
                </c:pt>
                <c:pt idx="30">
                  <c:v>18031</c:v>
                </c:pt>
                <c:pt idx="31">
                  <c:v>18025</c:v>
                </c:pt>
                <c:pt idx="32">
                  <c:v>19366</c:v>
                </c:pt>
                <c:pt idx="33">
                  <c:v>19052</c:v>
                </c:pt>
                <c:pt idx="34">
                  <c:v>19711</c:v>
                </c:pt>
                <c:pt idx="35">
                  <c:v>18981</c:v>
                </c:pt>
                <c:pt idx="36">
                  <c:v>18888</c:v>
                </c:pt>
                <c:pt idx="37">
                  <c:v>19051</c:v>
                </c:pt>
                <c:pt idx="38">
                  <c:v>19495</c:v>
                </c:pt>
                <c:pt idx="39">
                  <c:v>21231</c:v>
                </c:pt>
                <c:pt idx="40">
                  <c:v>19951</c:v>
                </c:pt>
                <c:pt idx="41">
                  <c:v>20107</c:v>
                </c:pt>
                <c:pt idx="42">
                  <c:v>21811</c:v>
                </c:pt>
                <c:pt idx="43">
                  <c:v>20660</c:v>
                </c:pt>
                <c:pt idx="44">
                  <c:v>20337</c:v>
                </c:pt>
                <c:pt idx="45">
                  <c:v>20804</c:v>
                </c:pt>
                <c:pt idx="46">
                  <c:v>21367</c:v>
                </c:pt>
                <c:pt idx="47">
                  <c:v>20984</c:v>
                </c:pt>
                <c:pt idx="48">
                  <c:v>22018</c:v>
                </c:pt>
                <c:pt idx="49">
                  <c:v>23069</c:v>
                </c:pt>
                <c:pt idx="50">
                  <c:v>23554</c:v>
                </c:pt>
                <c:pt idx="51">
                  <c:v>24443</c:v>
                </c:pt>
                <c:pt idx="52">
                  <c:v>25040</c:v>
                </c:pt>
                <c:pt idx="53">
                  <c:v>24683</c:v>
                </c:pt>
                <c:pt idx="54">
                  <c:v>26322</c:v>
                </c:pt>
                <c:pt idx="55">
                  <c:v>24281</c:v>
                </c:pt>
                <c:pt idx="56">
                  <c:v>25823</c:v>
                </c:pt>
                <c:pt idx="57">
                  <c:v>24324</c:v>
                </c:pt>
                <c:pt idx="58">
                  <c:v>26509</c:v>
                </c:pt>
                <c:pt idx="59">
                  <c:v>25798</c:v>
                </c:pt>
                <c:pt idx="60">
                  <c:v>25966</c:v>
                </c:pt>
                <c:pt idx="61">
                  <c:v>27088</c:v>
                </c:pt>
                <c:pt idx="62">
                  <c:v>25232</c:v>
                </c:pt>
                <c:pt idx="63">
                  <c:v>24738</c:v>
                </c:pt>
                <c:pt idx="64">
                  <c:v>25003</c:v>
                </c:pt>
                <c:pt idx="65">
                  <c:v>25103</c:v>
                </c:pt>
                <c:pt idx="66">
                  <c:v>24574</c:v>
                </c:pt>
                <c:pt idx="67">
                  <c:v>26279</c:v>
                </c:pt>
                <c:pt idx="68">
                  <c:v>24541</c:v>
                </c:pt>
                <c:pt idx="69">
                  <c:v>26127</c:v>
                </c:pt>
              </c:numCache>
            </c:numRef>
          </c:val>
          <c:smooth val="0"/>
          <c:extLst>
            <c:ext xmlns:c16="http://schemas.microsoft.com/office/drawing/2014/chart" uri="{C3380CC4-5D6E-409C-BE32-E72D297353CC}">
              <c16:uniqueId val="{00000000-57E4-44BD-99F9-52BEA3A88DAC}"/>
            </c:ext>
          </c:extLst>
        </c:ser>
        <c:ser>
          <c:idx val="7"/>
          <c:order val="1"/>
          <c:tx>
            <c:strRef>
              <c:f>'figure 2 e 3 '!$E$4</c:f>
              <c:strCache>
                <c:ptCount val="1"/>
                <c:pt idx="0">
                  <c:v>mm3mesi export</c:v>
                </c:pt>
              </c:strCache>
            </c:strRef>
          </c:tx>
          <c:spPr>
            <a:ln w="28575" cap="rnd" cmpd="sng" algn="ctr">
              <a:solidFill>
                <a:srgbClr val="003B5C"/>
              </a:solidFill>
              <a:prstDash val="solid"/>
              <a:round/>
              <a:headEnd type="none" w="med" len="med"/>
              <a:tailEnd type="none" w="med" len="med"/>
            </a:ln>
            <a:effectLst/>
          </c:spPr>
          <c:marker>
            <c:symbol val="none"/>
          </c:marker>
          <c:cat>
            <c:numRef>
              <c:f>'figure 2 e 3 '!$B$79:$B$150</c:f>
              <c:numCache>
                <c:formatCode>General</c:formatCode>
                <c:ptCount val="72"/>
                <c:pt idx="5" formatCode="0">
                  <c:v>2018</c:v>
                </c:pt>
                <c:pt idx="17" formatCode="0">
                  <c:v>2019</c:v>
                </c:pt>
                <c:pt idx="29" formatCode="0">
                  <c:v>2020</c:v>
                </c:pt>
                <c:pt idx="41" formatCode="0">
                  <c:v>2021</c:v>
                </c:pt>
                <c:pt idx="53" formatCode="0">
                  <c:v>2022</c:v>
                </c:pt>
                <c:pt idx="65" formatCode="0">
                  <c:v>2023</c:v>
                </c:pt>
              </c:numCache>
            </c:numRef>
          </c:cat>
          <c:val>
            <c:numRef>
              <c:f>'figure 2 e 3 '!$I$79:$I$150</c:f>
              <c:numCache>
                <c:formatCode>0</c:formatCode>
                <c:ptCount val="72"/>
                <c:pt idx="0">
                  <c:v>18694.666666666668</c:v>
                </c:pt>
                <c:pt idx="1">
                  <c:v>18371.666666666668</c:v>
                </c:pt>
                <c:pt idx="2">
                  <c:v>18541.666666666668</c:v>
                </c:pt>
                <c:pt idx="3">
                  <c:v>18560</c:v>
                </c:pt>
                <c:pt idx="4">
                  <c:v>18793</c:v>
                </c:pt>
                <c:pt idx="5">
                  <c:v>18867.333333333332</c:v>
                </c:pt>
                <c:pt idx="6">
                  <c:v>19252.333333333332</c:v>
                </c:pt>
                <c:pt idx="7">
                  <c:v>18900.333333333332</c:v>
                </c:pt>
                <c:pt idx="8">
                  <c:v>19044.666666666668</c:v>
                </c:pt>
                <c:pt idx="9">
                  <c:v>19186.333333333332</c:v>
                </c:pt>
                <c:pt idx="10">
                  <c:v>19288.666666666668</c:v>
                </c:pt>
                <c:pt idx="11">
                  <c:v>19328</c:v>
                </c:pt>
                <c:pt idx="12">
                  <c:v>19219.333333333332</c:v>
                </c:pt>
                <c:pt idx="13">
                  <c:v>19541.333333333332</c:v>
                </c:pt>
                <c:pt idx="14">
                  <c:v>19464</c:v>
                </c:pt>
                <c:pt idx="15">
                  <c:v>19466.333333333332</c:v>
                </c:pt>
                <c:pt idx="16">
                  <c:v>19585</c:v>
                </c:pt>
                <c:pt idx="17">
                  <c:v>19685</c:v>
                </c:pt>
                <c:pt idx="18">
                  <c:v>19703.666666666668</c:v>
                </c:pt>
                <c:pt idx="19">
                  <c:v>19646</c:v>
                </c:pt>
                <c:pt idx="20">
                  <c:v>20079</c:v>
                </c:pt>
                <c:pt idx="21">
                  <c:v>19911.666666666668</c:v>
                </c:pt>
                <c:pt idx="22">
                  <c:v>19797.666666666668</c:v>
                </c:pt>
                <c:pt idx="23">
                  <c:v>19524</c:v>
                </c:pt>
                <c:pt idx="24">
                  <c:v>19853.333333333332</c:v>
                </c:pt>
                <c:pt idx="25">
                  <c:v>18871.666666666668</c:v>
                </c:pt>
                <c:pt idx="26">
                  <c:v>15640.666666666666</c:v>
                </c:pt>
                <c:pt idx="27">
                  <c:v>13729.666666666666</c:v>
                </c:pt>
                <c:pt idx="28">
                  <c:v>13713.666666666666</c:v>
                </c:pt>
                <c:pt idx="29">
                  <c:v>16267.666666666666</c:v>
                </c:pt>
                <c:pt idx="30">
                  <c:v>17538.666666666668</c:v>
                </c:pt>
                <c:pt idx="31">
                  <c:v>18474</c:v>
                </c:pt>
                <c:pt idx="32">
                  <c:v>18814.333333333332</c:v>
                </c:pt>
                <c:pt idx="33">
                  <c:v>19376.333333333332</c:v>
                </c:pt>
                <c:pt idx="34">
                  <c:v>19248</c:v>
                </c:pt>
                <c:pt idx="35">
                  <c:v>19193.333333333332</c:v>
                </c:pt>
                <c:pt idx="36">
                  <c:v>18973.333333333332</c:v>
                </c:pt>
                <c:pt idx="37">
                  <c:v>19144.666666666668</c:v>
                </c:pt>
                <c:pt idx="38">
                  <c:v>19925.666666666668</c:v>
                </c:pt>
                <c:pt idx="39">
                  <c:v>20225.666666666668</c:v>
                </c:pt>
                <c:pt idx="40">
                  <c:v>20429.666666666668</c:v>
                </c:pt>
                <c:pt idx="41">
                  <c:v>20623</c:v>
                </c:pt>
                <c:pt idx="42">
                  <c:v>20859.333333333332</c:v>
                </c:pt>
                <c:pt idx="43">
                  <c:v>20936</c:v>
                </c:pt>
                <c:pt idx="44">
                  <c:v>20600.333333333332</c:v>
                </c:pt>
                <c:pt idx="45">
                  <c:v>20836</c:v>
                </c:pt>
                <c:pt idx="46">
                  <c:v>21051.666666666668</c:v>
                </c:pt>
                <c:pt idx="47">
                  <c:v>21456.333333333332</c:v>
                </c:pt>
                <c:pt idx="48">
                  <c:v>22023.666666666668</c:v>
                </c:pt>
                <c:pt idx="49">
                  <c:v>22880.333333333332</c:v>
                </c:pt>
                <c:pt idx="50">
                  <c:v>23688.666666666668</c:v>
                </c:pt>
                <c:pt idx="51">
                  <c:v>24345.666666666668</c:v>
                </c:pt>
                <c:pt idx="52">
                  <c:v>24722</c:v>
                </c:pt>
                <c:pt idx="53">
                  <c:v>25348.333333333332</c:v>
                </c:pt>
                <c:pt idx="54">
                  <c:v>25095.333333333332</c:v>
                </c:pt>
                <c:pt idx="55">
                  <c:v>25475.333333333332</c:v>
                </c:pt>
                <c:pt idx="56">
                  <c:v>24809.333333333332</c:v>
                </c:pt>
                <c:pt idx="57">
                  <c:v>25552</c:v>
                </c:pt>
                <c:pt idx="58">
                  <c:v>25543.666666666668</c:v>
                </c:pt>
                <c:pt idx="59">
                  <c:v>26091</c:v>
                </c:pt>
                <c:pt idx="60">
                  <c:v>26284</c:v>
                </c:pt>
                <c:pt idx="61">
                  <c:v>26095.333333333332</c:v>
                </c:pt>
                <c:pt idx="62">
                  <c:v>25686</c:v>
                </c:pt>
                <c:pt idx="63">
                  <c:v>24991</c:v>
                </c:pt>
                <c:pt idx="64">
                  <c:v>24948</c:v>
                </c:pt>
                <c:pt idx="65">
                  <c:v>24893.333333333332</c:v>
                </c:pt>
                <c:pt idx="66">
                  <c:v>25318.666666666668</c:v>
                </c:pt>
                <c:pt idx="67">
                  <c:v>25131.333333333332</c:v>
                </c:pt>
                <c:pt idx="68">
                  <c:v>25649</c:v>
                </c:pt>
              </c:numCache>
            </c:numRef>
          </c:val>
          <c:smooth val="0"/>
          <c:extLst>
            <c:ext xmlns:c16="http://schemas.microsoft.com/office/drawing/2014/chart" uri="{C3380CC4-5D6E-409C-BE32-E72D297353CC}">
              <c16:uniqueId val="{00000001-57E4-44BD-99F9-52BEA3A88DAC}"/>
            </c:ext>
          </c:extLst>
        </c:ser>
        <c:ser>
          <c:idx val="9"/>
          <c:order val="2"/>
          <c:spPr>
            <a:ln w="28575" cap="rnd">
              <a:solidFill>
                <a:srgbClr val="FFFFFF"/>
              </a:solidFill>
              <a:round/>
            </a:ln>
            <a:effectLst/>
          </c:spPr>
          <c:marker>
            <c:symbol val="none"/>
          </c:marker>
          <c:cat>
            <c:numRef>
              <c:f>'figure 2 e 3 '!$B$79:$B$150</c:f>
              <c:numCache>
                <c:formatCode>General</c:formatCode>
                <c:ptCount val="72"/>
                <c:pt idx="5" formatCode="0">
                  <c:v>2018</c:v>
                </c:pt>
                <c:pt idx="17" formatCode="0">
                  <c:v>2019</c:v>
                </c:pt>
                <c:pt idx="29" formatCode="0">
                  <c:v>2020</c:v>
                </c:pt>
                <c:pt idx="41" formatCode="0">
                  <c:v>2021</c:v>
                </c:pt>
                <c:pt idx="53" formatCode="0">
                  <c:v>2022</c:v>
                </c:pt>
                <c:pt idx="65" formatCode="0">
                  <c:v>2023</c:v>
                </c:pt>
              </c:numCache>
            </c:numRef>
          </c:cat>
          <c:val>
            <c:numRef>
              <c:f>'figure 2 e 3 '!$FO$1:$FO$74</c:f>
              <c:numCache>
                <c:formatCode>General</c:formatCode>
                <c:ptCount val="74"/>
              </c:numCache>
            </c:numRef>
          </c:val>
          <c:smooth val="0"/>
          <c:extLst>
            <c:ext xmlns:c16="http://schemas.microsoft.com/office/drawing/2014/chart" uri="{C3380CC4-5D6E-409C-BE32-E72D297353CC}">
              <c16:uniqueId val="{00000002-57E4-44BD-99F9-52BEA3A88DAC}"/>
            </c:ext>
          </c:extLst>
        </c:ser>
        <c:ser>
          <c:idx val="1"/>
          <c:order val="3"/>
          <c:tx>
            <c:strRef>
              <c:f>'figure 2 e 3 '!$D$4</c:f>
              <c:strCache>
                <c:ptCount val="1"/>
                <c:pt idx="0">
                  <c:v>importazioni</c:v>
                </c:pt>
              </c:strCache>
            </c:strRef>
          </c:tx>
          <c:spPr>
            <a:ln w="12700" cap="rnd" cmpd="sng" algn="ctr">
              <a:solidFill>
                <a:srgbClr val="D22630"/>
              </a:solidFill>
              <a:prstDash val="sysDash"/>
              <a:round/>
              <a:headEnd type="none" w="med" len="med"/>
              <a:tailEnd type="none" w="med" len="med"/>
            </a:ln>
            <a:effectLst/>
          </c:spPr>
          <c:marker>
            <c:symbol val="none"/>
          </c:marker>
          <c:cat>
            <c:numRef>
              <c:f>'figure 2 e 3 '!$B$79:$B$150</c:f>
              <c:numCache>
                <c:formatCode>General</c:formatCode>
                <c:ptCount val="72"/>
                <c:pt idx="5" formatCode="0">
                  <c:v>2018</c:v>
                </c:pt>
                <c:pt idx="17" formatCode="0">
                  <c:v>2019</c:v>
                </c:pt>
                <c:pt idx="29" formatCode="0">
                  <c:v>2020</c:v>
                </c:pt>
                <c:pt idx="41" formatCode="0">
                  <c:v>2021</c:v>
                </c:pt>
                <c:pt idx="53" formatCode="0">
                  <c:v>2022</c:v>
                </c:pt>
                <c:pt idx="65" formatCode="0">
                  <c:v>2023</c:v>
                </c:pt>
              </c:numCache>
            </c:numRef>
          </c:cat>
          <c:val>
            <c:numRef>
              <c:f>'figure 2 e 3 '!$H$79:$H$150</c:f>
              <c:numCache>
                <c:formatCode>0</c:formatCode>
                <c:ptCount val="72"/>
                <c:pt idx="0">
                  <c:v>14310</c:v>
                </c:pt>
                <c:pt idx="1">
                  <c:v>14737</c:v>
                </c:pt>
                <c:pt idx="2">
                  <c:v>14941</c:v>
                </c:pt>
                <c:pt idx="3">
                  <c:v>15410</c:v>
                </c:pt>
                <c:pt idx="4">
                  <c:v>15392</c:v>
                </c:pt>
                <c:pt idx="5">
                  <c:v>15564</c:v>
                </c:pt>
                <c:pt idx="6">
                  <c:v>15931</c:v>
                </c:pt>
                <c:pt idx="7">
                  <c:v>15698</c:v>
                </c:pt>
                <c:pt idx="8">
                  <c:v>16253</c:v>
                </c:pt>
                <c:pt idx="9">
                  <c:v>16463</c:v>
                </c:pt>
                <c:pt idx="10">
                  <c:v>16204</c:v>
                </c:pt>
                <c:pt idx="11">
                  <c:v>16012</c:v>
                </c:pt>
                <c:pt idx="12">
                  <c:v>15349</c:v>
                </c:pt>
                <c:pt idx="13">
                  <c:v>15324</c:v>
                </c:pt>
                <c:pt idx="14">
                  <c:v>15472</c:v>
                </c:pt>
                <c:pt idx="15">
                  <c:v>15354</c:v>
                </c:pt>
                <c:pt idx="16">
                  <c:v>15798</c:v>
                </c:pt>
                <c:pt idx="17">
                  <c:v>15547</c:v>
                </c:pt>
                <c:pt idx="18">
                  <c:v>15446</c:v>
                </c:pt>
                <c:pt idx="19">
                  <c:v>15072</c:v>
                </c:pt>
                <c:pt idx="20">
                  <c:v>15616</c:v>
                </c:pt>
                <c:pt idx="21">
                  <c:v>14732</c:v>
                </c:pt>
                <c:pt idx="22">
                  <c:v>14519</c:v>
                </c:pt>
                <c:pt idx="23">
                  <c:v>14647</c:v>
                </c:pt>
                <c:pt idx="24">
                  <c:v>15747</c:v>
                </c:pt>
                <c:pt idx="25">
                  <c:v>14430</c:v>
                </c:pt>
                <c:pt idx="26">
                  <c:v>12044</c:v>
                </c:pt>
                <c:pt idx="27">
                  <c:v>10106</c:v>
                </c:pt>
                <c:pt idx="28">
                  <c:v>10370</c:v>
                </c:pt>
                <c:pt idx="29">
                  <c:v>12514</c:v>
                </c:pt>
                <c:pt idx="30">
                  <c:v>13009</c:v>
                </c:pt>
                <c:pt idx="31">
                  <c:v>12843</c:v>
                </c:pt>
                <c:pt idx="32">
                  <c:v>12994</c:v>
                </c:pt>
                <c:pt idx="33">
                  <c:v>13377</c:v>
                </c:pt>
                <c:pt idx="34">
                  <c:v>13880</c:v>
                </c:pt>
                <c:pt idx="35">
                  <c:v>13662</c:v>
                </c:pt>
                <c:pt idx="36">
                  <c:v>13890</c:v>
                </c:pt>
                <c:pt idx="37">
                  <c:v>14424</c:v>
                </c:pt>
                <c:pt idx="38">
                  <c:v>15409</c:v>
                </c:pt>
                <c:pt idx="39">
                  <c:v>16069</c:v>
                </c:pt>
                <c:pt idx="40">
                  <c:v>15931</c:v>
                </c:pt>
                <c:pt idx="41">
                  <c:v>16249</c:v>
                </c:pt>
                <c:pt idx="42">
                  <c:v>16976</c:v>
                </c:pt>
                <c:pt idx="43">
                  <c:v>18485</c:v>
                </c:pt>
                <c:pt idx="44">
                  <c:v>18513</c:v>
                </c:pt>
                <c:pt idx="45">
                  <c:v>19656</c:v>
                </c:pt>
                <c:pt idx="46">
                  <c:v>20399</c:v>
                </c:pt>
                <c:pt idx="47">
                  <c:v>21940</c:v>
                </c:pt>
                <c:pt idx="48">
                  <c:v>23280</c:v>
                </c:pt>
                <c:pt idx="49">
                  <c:v>24134</c:v>
                </c:pt>
                <c:pt idx="50">
                  <c:v>25104</c:v>
                </c:pt>
                <c:pt idx="51">
                  <c:v>26349</c:v>
                </c:pt>
                <c:pt idx="52">
                  <c:v>25911</c:v>
                </c:pt>
                <c:pt idx="53">
                  <c:v>28586</c:v>
                </c:pt>
                <c:pt idx="54">
                  <c:v>29922</c:v>
                </c:pt>
                <c:pt idx="55">
                  <c:v>30276</c:v>
                </c:pt>
                <c:pt idx="56">
                  <c:v>30089</c:v>
                </c:pt>
                <c:pt idx="57">
                  <c:v>27349</c:v>
                </c:pt>
                <c:pt idx="58">
                  <c:v>26359</c:v>
                </c:pt>
                <c:pt idx="59">
                  <c:v>25257</c:v>
                </c:pt>
                <c:pt idx="60">
                  <c:v>22822</c:v>
                </c:pt>
                <c:pt idx="61">
                  <c:v>22482</c:v>
                </c:pt>
                <c:pt idx="62">
                  <c:v>22385</c:v>
                </c:pt>
                <c:pt idx="63">
                  <c:v>22492</c:v>
                </c:pt>
                <c:pt idx="64">
                  <c:v>21300</c:v>
                </c:pt>
                <c:pt idx="65">
                  <c:v>20897</c:v>
                </c:pt>
                <c:pt idx="66">
                  <c:v>20304</c:v>
                </c:pt>
                <c:pt idx="67">
                  <c:v>21108</c:v>
                </c:pt>
                <c:pt idx="68">
                  <c:v>20778</c:v>
                </c:pt>
                <c:pt idx="69">
                  <c:v>21441</c:v>
                </c:pt>
              </c:numCache>
            </c:numRef>
          </c:val>
          <c:smooth val="0"/>
          <c:extLst>
            <c:ext xmlns:c16="http://schemas.microsoft.com/office/drawing/2014/chart" uri="{C3380CC4-5D6E-409C-BE32-E72D297353CC}">
              <c16:uniqueId val="{00000003-57E4-44BD-99F9-52BEA3A88DAC}"/>
            </c:ext>
          </c:extLst>
        </c:ser>
        <c:ser>
          <c:idx val="3"/>
          <c:order val="4"/>
          <c:tx>
            <c:strRef>
              <c:f>'figure 2 e 3 '!$F$4</c:f>
              <c:strCache>
                <c:ptCount val="1"/>
                <c:pt idx="0">
                  <c:v>mm3mesi import</c:v>
                </c:pt>
              </c:strCache>
            </c:strRef>
          </c:tx>
          <c:spPr>
            <a:ln w="28575" cap="rnd" cmpd="sng" algn="ctr">
              <a:solidFill>
                <a:srgbClr val="D22630"/>
              </a:solidFill>
              <a:prstDash val="solid"/>
              <a:round/>
              <a:headEnd type="none" w="med" len="med"/>
              <a:tailEnd type="none" w="med" len="med"/>
            </a:ln>
            <a:effectLst/>
          </c:spPr>
          <c:marker>
            <c:symbol val="none"/>
          </c:marker>
          <c:cat>
            <c:numRef>
              <c:f>'figure 2 e 3 '!$B$79:$B$150</c:f>
              <c:numCache>
                <c:formatCode>General</c:formatCode>
                <c:ptCount val="72"/>
                <c:pt idx="5" formatCode="0">
                  <c:v>2018</c:v>
                </c:pt>
                <c:pt idx="17" formatCode="0">
                  <c:v>2019</c:v>
                </c:pt>
                <c:pt idx="29" formatCode="0">
                  <c:v>2020</c:v>
                </c:pt>
                <c:pt idx="41" formatCode="0">
                  <c:v>2021</c:v>
                </c:pt>
                <c:pt idx="53" formatCode="0">
                  <c:v>2022</c:v>
                </c:pt>
                <c:pt idx="65" formatCode="0">
                  <c:v>2023</c:v>
                </c:pt>
              </c:numCache>
            </c:numRef>
          </c:cat>
          <c:val>
            <c:numRef>
              <c:f>'figure 2 e 3 '!$J$79:$J$150</c:f>
              <c:numCache>
                <c:formatCode>0</c:formatCode>
                <c:ptCount val="72"/>
                <c:pt idx="0">
                  <c:v>14671.666666666666</c:v>
                </c:pt>
                <c:pt idx="1">
                  <c:v>14662.666666666666</c:v>
                </c:pt>
                <c:pt idx="2">
                  <c:v>15029.333333333334</c:v>
                </c:pt>
                <c:pt idx="3">
                  <c:v>15247.666666666666</c:v>
                </c:pt>
                <c:pt idx="4">
                  <c:v>15455.333333333334</c:v>
                </c:pt>
                <c:pt idx="5">
                  <c:v>15629</c:v>
                </c:pt>
                <c:pt idx="6">
                  <c:v>15731</c:v>
                </c:pt>
                <c:pt idx="7">
                  <c:v>15960.666666666666</c:v>
                </c:pt>
                <c:pt idx="8">
                  <c:v>16138</c:v>
                </c:pt>
                <c:pt idx="9">
                  <c:v>16306.666666666666</c:v>
                </c:pt>
                <c:pt idx="10">
                  <c:v>16226.333333333334</c:v>
                </c:pt>
                <c:pt idx="11">
                  <c:v>15855</c:v>
                </c:pt>
                <c:pt idx="12">
                  <c:v>15561.666666666666</c:v>
                </c:pt>
                <c:pt idx="13">
                  <c:v>15381.666666666666</c:v>
                </c:pt>
                <c:pt idx="14">
                  <c:v>15383.333333333334</c:v>
                </c:pt>
                <c:pt idx="15">
                  <c:v>15541.333333333334</c:v>
                </c:pt>
                <c:pt idx="16">
                  <c:v>15566.333333333334</c:v>
                </c:pt>
                <c:pt idx="17">
                  <c:v>15597</c:v>
                </c:pt>
                <c:pt idx="18">
                  <c:v>15355</c:v>
                </c:pt>
                <c:pt idx="19">
                  <c:v>15378</c:v>
                </c:pt>
                <c:pt idx="20">
                  <c:v>15140</c:v>
                </c:pt>
                <c:pt idx="21">
                  <c:v>14955.666666666666</c:v>
                </c:pt>
                <c:pt idx="22">
                  <c:v>14632.666666666666</c:v>
                </c:pt>
                <c:pt idx="23">
                  <c:v>14971</c:v>
                </c:pt>
                <c:pt idx="24">
                  <c:v>14941.333333333334</c:v>
                </c:pt>
                <c:pt idx="25">
                  <c:v>14073.666666666666</c:v>
                </c:pt>
                <c:pt idx="26">
                  <c:v>12193.333333333334</c:v>
                </c:pt>
                <c:pt idx="27">
                  <c:v>10840</c:v>
                </c:pt>
                <c:pt idx="28">
                  <c:v>10996.666666666666</c:v>
                </c:pt>
                <c:pt idx="29">
                  <c:v>11964.333333333334</c:v>
                </c:pt>
                <c:pt idx="30">
                  <c:v>12788.666666666666</c:v>
                </c:pt>
                <c:pt idx="31">
                  <c:v>12948.666666666666</c:v>
                </c:pt>
                <c:pt idx="32">
                  <c:v>13071.333333333334</c:v>
                </c:pt>
                <c:pt idx="33">
                  <c:v>13417</c:v>
                </c:pt>
                <c:pt idx="34">
                  <c:v>13639.666666666666</c:v>
                </c:pt>
                <c:pt idx="35">
                  <c:v>13810.666666666666</c:v>
                </c:pt>
                <c:pt idx="36">
                  <c:v>13992</c:v>
                </c:pt>
                <c:pt idx="37">
                  <c:v>14574.333333333334</c:v>
                </c:pt>
                <c:pt idx="38">
                  <c:v>15300.666666666666</c:v>
                </c:pt>
                <c:pt idx="39">
                  <c:v>15803</c:v>
                </c:pt>
                <c:pt idx="40">
                  <c:v>16083</c:v>
                </c:pt>
                <c:pt idx="41">
                  <c:v>16385.333333333332</c:v>
                </c:pt>
                <c:pt idx="42">
                  <c:v>17236.666666666668</c:v>
                </c:pt>
                <c:pt idx="43">
                  <c:v>17991.333333333332</c:v>
                </c:pt>
                <c:pt idx="44">
                  <c:v>18884.666666666668</c:v>
                </c:pt>
                <c:pt idx="45">
                  <c:v>19522.666666666668</c:v>
                </c:pt>
                <c:pt idx="46">
                  <c:v>20665</c:v>
                </c:pt>
                <c:pt idx="47">
                  <c:v>21873</c:v>
                </c:pt>
                <c:pt idx="48">
                  <c:v>23118</c:v>
                </c:pt>
                <c:pt idx="49">
                  <c:v>24172.666666666668</c:v>
                </c:pt>
                <c:pt idx="50">
                  <c:v>25195.666666666668</c:v>
                </c:pt>
                <c:pt idx="51">
                  <c:v>25788</c:v>
                </c:pt>
                <c:pt idx="52">
                  <c:v>26948.666666666668</c:v>
                </c:pt>
                <c:pt idx="53">
                  <c:v>28139.666666666668</c:v>
                </c:pt>
                <c:pt idx="54">
                  <c:v>29594.666666666668</c:v>
                </c:pt>
                <c:pt idx="55">
                  <c:v>30095.666666666668</c:v>
                </c:pt>
                <c:pt idx="56">
                  <c:v>29238</c:v>
                </c:pt>
                <c:pt idx="57">
                  <c:v>27932.333333333332</c:v>
                </c:pt>
                <c:pt idx="58">
                  <c:v>26321.666666666668</c:v>
                </c:pt>
                <c:pt idx="59">
                  <c:v>24812.666666666668</c:v>
                </c:pt>
                <c:pt idx="60">
                  <c:v>23520.333333333332</c:v>
                </c:pt>
                <c:pt idx="61">
                  <c:v>22563</c:v>
                </c:pt>
                <c:pt idx="62">
                  <c:v>22453</c:v>
                </c:pt>
                <c:pt idx="63">
                  <c:v>22059</c:v>
                </c:pt>
                <c:pt idx="64">
                  <c:v>21563</c:v>
                </c:pt>
                <c:pt idx="65">
                  <c:v>20833.666666666668</c:v>
                </c:pt>
                <c:pt idx="66">
                  <c:v>20769.666666666668</c:v>
                </c:pt>
                <c:pt idx="67">
                  <c:v>20730</c:v>
                </c:pt>
                <c:pt idx="68">
                  <c:v>21109</c:v>
                </c:pt>
              </c:numCache>
            </c:numRef>
          </c:val>
          <c:smooth val="0"/>
          <c:extLst>
            <c:ext xmlns:c16="http://schemas.microsoft.com/office/drawing/2014/chart" uri="{C3380CC4-5D6E-409C-BE32-E72D297353CC}">
              <c16:uniqueId val="{00000004-57E4-44BD-99F9-52BEA3A88DAC}"/>
            </c:ext>
          </c:extLst>
        </c:ser>
        <c:dLbls>
          <c:showLegendKey val="0"/>
          <c:showVal val="0"/>
          <c:showCatName val="0"/>
          <c:showSerName val="0"/>
          <c:showPercent val="0"/>
          <c:showBubbleSize val="0"/>
        </c:dLbls>
        <c:marker val="1"/>
        <c:smooth val="0"/>
        <c:axId val="209418912"/>
        <c:axId val="209419472"/>
      </c:lineChart>
      <c:lineChart>
        <c:grouping val="standard"/>
        <c:varyColors val="0"/>
        <c:ser>
          <c:idx val="4"/>
          <c:order val="5"/>
          <c:spPr>
            <a:ln w="28575" cap="rnd">
              <a:solidFill>
                <a:srgbClr val="FFFFFF"/>
              </a:solidFill>
              <a:round/>
            </a:ln>
            <a:effectLst/>
          </c:spPr>
          <c:marker>
            <c:symbol val="none"/>
          </c:marker>
          <c:val>
            <c:numRef>
              <c:f>'figure 2 e 3 '!$FO$1:$FO$74</c:f>
              <c:numCache>
                <c:formatCode>General</c:formatCode>
                <c:ptCount val="74"/>
              </c:numCache>
            </c:numRef>
          </c:val>
          <c:smooth val="0"/>
          <c:extLst>
            <c:ext xmlns:c16="http://schemas.microsoft.com/office/drawing/2014/chart" uri="{C3380CC4-5D6E-409C-BE32-E72D297353CC}">
              <c16:uniqueId val="{00000005-57E4-44BD-99F9-52BEA3A88DAC}"/>
            </c:ext>
          </c:extLst>
        </c:ser>
        <c:dLbls>
          <c:showLegendKey val="0"/>
          <c:showVal val="0"/>
          <c:showCatName val="0"/>
          <c:showSerName val="0"/>
          <c:showPercent val="0"/>
          <c:showBubbleSize val="0"/>
        </c:dLbls>
        <c:marker val="1"/>
        <c:smooth val="0"/>
        <c:axId val="209420592"/>
        <c:axId val="209420032"/>
      </c:lineChart>
      <c:catAx>
        <c:axId val="209418912"/>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rot="-60000000" spcFirstLastPara="1" vertOverflow="ellipsis" vert="horz"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209419472"/>
        <c:crosses val="autoZero"/>
        <c:auto val="1"/>
        <c:lblAlgn val="l"/>
        <c:lblOffset val="0"/>
        <c:tickMarkSkip val="3"/>
        <c:noMultiLvlLbl val="0"/>
      </c:catAx>
      <c:valAx>
        <c:axId val="209419472"/>
        <c:scaling>
          <c:orientation val="minMax"/>
          <c:max val="32000"/>
          <c:min val="8000"/>
        </c:scaling>
        <c:delete val="0"/>
        <c:axPos val="l"/>
        <c:majorGridlines>
          <c:spPr>
            <a:ln w="6350" cap="flat" cmpd="sng" algn="ctr">
              <a:solidFill>
                <a:srgbClr val="A6A6A6"/>
              </a:solidFill>
              <a:prstDash val="sysDash"/>
              <a:round/>
              <a:headEnd type="none" w="med" len="med"/>
              <a:tailEnd type="none" w="med" len="me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09418912"/>
        <c:crosses val="autoZero"/>
        <c:crossBetween val="between"/>
        <c:majorUnit val="4000"/>
        <c:dispUnits>
          <c:builtInUnit val="thousands"/>
        </c:dispUnits>
      </c:valAx>
      <c:valAx>
        <c:axId val="209420032"/>
        <c:scaling>
          <c:orientation val="minMax"/>
        </c:scaling>
        <c:delete val="1"/>
        <c:axPos val="r"/>
        <c:numFmt formatCode="General" sourceLinked="1"/>
        <c:majorTickMark val="out"/>
        <c:minorTickMark val="none"/>
        <c:tickLblPos val="nextTo"/>
        <c:crossAx val="209420592"/>
        <c:crosses val="max"/>
        <c:crossBetween val="between"/>
      </c:valAx>
      <c:catAx>
        <c:axId val="209420592"/>
        <c:scaling>
          <c:orientation val="minMax"/>
        </c:scaling>
        <c:delete val="1"/>
        <c:axPos val="t"/>
        <c:majorGridlines>
          <c:spPr>
            <a:ln w="12700" cap="flat" cmpd="sng" algn="ctr">
              <a:solidFill>
                <a:srgbClr val="A6A6A6"/>
              </a:solidFill>
              <a:prstDash val="solid"/>
              <a:round/>
              <a:headEnd type="none" w="med" len="med"/>
              <a:tailEnd type="none" w="med" len="med"/>
            </a:ln>
            <a:effectLst/>
          </c:spPr>
        </c:majorGridlines>
        <c:majorTickMark val="out"/>
        <c:minorTickMark val="none"/>
        <c:tickLblPos val="nextTo"/>
        <c:crossAx val="209420032"/>
        <c:crosses val="max"/>
        <c:auto val="1"/>
        <c:lblAlgn val="ctr"/>
        <c:lblOffset val="100"/>
        <c:tickMarkSkip val="12"/>
        <c:noMultiLvlLbl val="0"/>
      </c:catAx>
      <c:spPr>
        <a:solidFill>
          <a:srgbClr val="FFFFFF"/>
        </a:solidFill>
        <a:ln w="9525" cap="flat" cmpd="sng" algn="ctr">
          <a:solidFill>
            <a:schemeClr val="bg1">
              <a:lumMod val="85000"/>
            </a:schemeClr>
          </a:solidFill>
          <a:prstDash val="solid"/>
          <a:round/>
          <a:headEnd type="none" w="med" len="med"/>
          <a:tailEnd type="none" w="med" len="med"/>
        </a:ln>
        <a:effectLst/>
      </c:spPr>
    </c:plotArea>
    <c:legend>
      <c:legendPos val="t"/>
      <c:legendEntry>
        <c:idx val="2"/>
        <c:delete val="1"/>
      </c:legendEntry>
      <c:legendEntry>
        <c:idx val="5"/>
        <c:delete val="1"/>
      </c:legendEntry>
      <c:layout>
        <c:manualLayout>
          <c:xMode val="edge"/>
          <c:yMode val="edge"/>
          <c:x val="0.14132322163401495"/>
          <c:y val="0"/>
          <c:w val="0.78025629739952906"/>
          <c:h val="9.1110120175692852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0" cap="flat" cmpd="sng" algn="ctr">
      <a:noFill/>
      <a:round/>
    </a:ln>
    <a:effectLs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200031242677498E-2"/>
          <c:y val="0.12410404855160488"/>
          <c:w val="0.92273205198300878"/>
          <c:h val="0.77953332753771654"/>
        </c:manualLayout>
      </c:layout>
      <c:lineChart>
        <c:grouping val="standard"/>
        <c:varyColors val="0"/>
        <c:ser>
          <c:idx val="0"/>
          <c:order val="0"/>
          <c:tx>
            <c:strRef>
              <c:f>'figura 4'!$F$4</c:f>
              <c:strCache>
                <c:ptCount val="1"/>
                <c:pt idx="0">
                  <c:v>Export</c:v>
                </c:pt>
              </c:strCache>
            </c:strRef>
          </c:tx>
          <c:spPr>
            <a:ln w="19050" cap="rnd">
              <a:solidFill>
                <a:srgbClr val="003B5C"/>
              </a:solidFill>
              <a:round/>
            </a:ln>
            <a:effectLst/>
          </c:spPr>
          <c:marker>
            <c:symbol val="none"/>
          </c:marker>
          <c:cat>
            <c:numRef>
              <c:f>'figura 4'!$B$89:$B$148</c:f>
              <c:numCache>
                <c:formatCode>General</c:formatCode>
                <c:ptCount val="60"/>
                <c:pt idx="5" formatCode="0">
                  <c:v>2019</c:v>
                </c:pt>
                <c:pt idx="17" formatCode="0">
                  <c:v>2020</c:v>
                </c:pt>
                <c:pt idx="29" formatCode="0">
                  <c:v>2021</c:v>
                </c:pt>
                <c:pt idx="41" formatCode="0">
                  <c:v>2022</c:v>
                </c:pt>
                <c:pt idx="53" formatCode="0">
                  <c:v>2023</c:v>
                </c:pt>
              </c:numCache>
            </c:numRef>
          </c:cat>
          <c:val>
            <c:numRef>
              <c:f>'figura 4'!$F$89:$F$148</c:f>
              <c:numCache>
                <c:formatCode>0.0</c:formatCode>
                <c:ptCount val="60"/>
                <c:pt idx="0">
                  <c:v>3.6893959110131158</c:v>
                </c:pt>
                <c:pt idx="1">
                  <c:v>4.1153285081400481</c:v>
                </c:pt>
                <c:pt idx="2">
                  <c:v>0.45361148350655522</c:v>
                </c:pt>
                <c:pt idx="3">
                  <c:v>6.2122269245504125</c:v>
                </c:pt>
                <c:pt idx="4">
                  <c:v>8.2579182056991662</c:v>
                </c:pt>
                <c:pt idx="5">
                  <c:v>-2.8755264014559745</c:v>
                </c:pt>
                <c:pt idx="6">
                  <c:v>6.7599343267634726</c:v>
                </c:pt>
                <c:pt idx="7">
                  <c:v>-2.9346107104233132</c:v>
                </c:pt>
                <c:pt idx="8">
                  <c:v>7.025573507578331</c:v>
                </c:pt>
                <c:pt idx="9">
                  <c:v>5.2489112563056661</c:v>
                </c:pt>
                <c:pt idx="10">
                  <c:v>-2.4395719004043248</c:v>
                </c:pt>
                <c:pt idx="11">
                  <c:v>4.751155855401068</c:v>
                </c:pt>
                <c:pt idx="12">
                  <c:v>1.8800433360849578</c:v>
                </c:pt>
                <c:pt idx="13">
                  <c:v>4.9702980985989687</c:v>
                </c:pt>
                <c:pt idx="14">
                  <c:v>-14.640764481952806</c:v>
                </c:pt>
                <c:pt idx="15">
                  <c:v>-42.780657555504995</c:v>
                </c:pt>
                <c:pt idx="16">
                  <c:v>-29.737216021294554</c:v>
                </c:pt>
                <c:pt idx="17">
                  <c:v>-11.887566105596004</c:v>
                </c:pt>
                <c:pt idx="18">
                  <c:v>-7.4953761702297506</c:v>
                </c:pt>
                <c:pt idx="19">
                  <c:v>-6.1552712860193477</c:v>
                </c:pt>
                <c:pt idx="20">
                  <c:v>2.3123459229232424</c:v>
                </c:pt>
                <c:pt idx="21">
                  <c:v>-7.41523126636634</c:v>
                </c:pt>
                <c:pt idx="22">
                  <c:v>2.1966259269010635</c:v>
                </c:pt>
                <c:pt idx="23">
                  <c:v>3.9519551567386291</c:v>
                </c:pt>
                <c:pt idx="24">
                  <c:v>-8.330259965312214</c:v>
                </c:pt>
                <c:pt idx="25">
                  <c:v>-2.2351663681371869</c:v>
                </c:pt>
                <c:pt idx="26">
                  <c:v>28.732510811948607</c:v>
                </c:pt>
                <c:pt idx="27">
                  <c:v>98.20009056200152</c:v>
                </c:pt>
                <c:pt idx="28">
                  <c:v>41.691950989109387</c:v>
                </c:pt>
                <c:pt idx="29">
                  <c:v>25.625941178762488</c:v>
                </c:pt>
                <c:pt idx="30">
                  <c:v>16.19976708844937</c:v>
                </c:pt>
                <c:pt idx="31">
                  <c:v>17.601754937039704</c:v>
                </c:pt>
                <c:pt idx="32">
                  <c:v>11.187427495195458</c:v>
                </c:pt>
                <c:pt idx="33">
                  <c:v>8.144508299140929</c:v>
                </c:pt>
                <c:pt idx="34">
                  <c:v>17.485766845312135</c:v>
                </c:pt>
                <c:pt idx="35">
                  <c:v>16.8722410006114</c:v>
                </c:pt>
                <c:pt idx="36">
                  <c:v>21.516675189647994</c:v>
                </c:pt>
                <c:pt idx="37">
                  <c:v>21.917779116221414</c:v>
                </c:pt>
                <c:pt idx="38">
                  <c:v>23.030682060758643</c:v>
                </c:pt>
                <c:pt idx="39">
                  <c:v>14.57102325221169</c:v>
                </c:pt>
                <c:pt idx="40">
                  <c:v>29.245501765805358</c:v>
                </c:pt>
                <c:pt idx="41">
                  <c:v>20.495292775410935</c:v>
                </c:pt>
                <c:pt idx="42">
                  <c:v>16.986296407084222</c:v>
                </c:pt>
                <c:pt idx="43">
                  <c:v>24.793224437136075</c:v>
                </c:pt>
                <c:pt idx="44">
                  <c:v>22.221735599471849</c:v>
                </c:pt>
                <c:pt idx="45">
                  <c:v>18.267277197335694</c:v>
                </c:pt>
                <c:pt idx="46">
                  <c:v>18.60240102269184</c:v>
                </c:pt>
                <c:pt idx="47">
                  <c:v>13.663494889252359</c:v>
                </c:pt>
                <c:pt idx="48">
                  <c:v>15.456741269275698</c:v>
                </c:pt>
                <c:pt idx="49">
                  <c:v>10.632330590646589</c:v>
                </c:pt>
                <c:pt idx="50">
                  <c:v>4.676351512301391</c:v>
                </c:pt>
                <c:pt idx="51">
                  <c:v>-5.6264688557832399</c:v>
                </c:pt>
                <c:pt idx="52">
                  <c:v>0.56294855842928815</c:v>
                </c:pt>
                <c:pt idx="53">
                  <c:v>0.69377222687501128</c:v>
                </c:pt>
                <c:pt idx="54">
                  <c:v>-7.7606111143496692</c:v>
                </c:pt>
                <c:pt idx="55">
                  <c:v>2.1529059949662921</c:v>
                </c:pt>
                <c:pt idx="56">
                  <c:v>-6.3846682122820848</c:v>
                </c:pt>
                <c:pt idx="57">
                  <c:v>2.9742761278140017</c:v>
                </c:pt>
              </c:numCache>
            </c:numRef>
          </c:val>
          <c:smooth val="0"/>
          <c:extLst>
            <c:ext xmlns:c16="http://schemas.microsoft.com/office/drawing/2014/chart" uri="{C3380CC4-5D6E-409C-BE32-E72D297353CC}">
              <c16:uniqueId val="{00000000-359A-417C-9356-53EE41EE63F6}"/>
            </c:ext>
          </c:extLst>
        </c:ser>
        <c:ser>
          <c:idx val="1"/>
          <c:order val="1"/>
          <c:tx>
            <c:strRef>
              <c:f>'figura 4'!$G$4</c:f>
              <c:strCache>
                <c:ptCount val="1"/>
                <c:pt idx="0">
                  <c:v>Import</c:v>
                </c:pt>
              </c:strCache>
            </c:strRef>
          </c:tx>
          <c:spPr>
            <a:ln w="19050" cap="rnd">
              <a:solidFill>
                <a:srgbClr val="D22630"/>
              </a:solidFill>
              <a:round/>
            </a:ln>
            <a:effectLst/>
          </c:spPr>
          <c:marker>
            <c:symbol val="none"/>
          </c:marker>
          <c:cat>
            <c:numRef>
              <c:f>'figura 4'!$B$89:$B$148</c:f>
              <c:numCache>
                <c:formatCode>General</c:formatCode>
                <c:ptCount val="60"/>
                <c:pt idx="5" formatCode="0">
                  <c:v>2019</c:v>
                </c:pt>
                <c:pt idx="17" formatCode="0">
                  <c:v>2020</c:v>
                </c:pt>
                <c:pt idx="29" formatCode="0">
                  <c:v>2021</c:v>
                </c:pt>
                <c:pt idx="41" formatCode="0">
                  <c:v>2022</c:v>
                </c:pt>
                <c:pt idx="53" formatCode="0">
                  <c:v>2023</c:v>
                </c:pt>
              </c:numCache>
            </c:numRef>
          </c:cat>
          <c:val>
            <c:numRef>
              <c:f>'figura 4'!$G$89:$G$148</c:f>
              <c:numCache>
                <c:formatCode>0.0</c:formatCode>
                <c:ptCount val="60"/>
                <c:pt idx="0">
                  <c:v>1.7974203489770746</c:v>
                </c:pt>
                <c:pt idx="1">
                  <c:v>3.3671484676422558</c:v>
                </c:pt>
                <c:pt idx="2">
                  <c:v>-0.30391450663055375</c:v>
                </c:pt>
                <c:pt idx="3">
                  <c:v>5.9600184893007224</c:v>
                </c:pt>
                <c:pt idx="4">
                  <c:v>2.9051136422940882</c:v>
                </c:pt>
                <c:pt idx="5">
                  <c:v>-5.0013365453943637</c:v>
                </c:pt>
                <c:pt idx="6">
                  <c:v>2.0196905690953226</c:v>
                </c:pt>
                <c:pt idx="7">
                  <c:v>-4.3266090148819547</c:v>
                </c:pt>
                <c:pt idx="8">
                  <c:v>2.3097377266630081</c:v>
                </c:pt>
                <c:pt idx="9">
                  <c:v>-5.5647338883738744</c:v>
                </c:pt>
                <c:pt idx="10">
                  <c:v>-5.957468451488845</c:v>
                </c:pt>
                <c:pt idx="11">
                  <c:v>-1.7308275803805118</c:v>
                </c:pt>
                <c:pt idx="12">
                  <c:v>1.5603249438599587</c:v>
                </c:pt>
                <c:pt idx="13">
                  <c:v>-0.56977080719227136</c:v>
                </c:pt>
                <c:pt idx="14">
                  <c:v>-18.418281818700756</c:v>
                </c:pt>
                <c:pt idx="15">
                  <c:v>-34.482629327281956</c:v>
                </c:pt>
                <c:pt idx="16">
                  <c:v>-34.069251315824211</c:v>
                </c:pt>
                <c:pt idx="17">
                  <c:v>-14.868866323421736</c:v>
                </c:pt>
                <c:pt idx="18">
                  <c:v>-13.137895129981668</c:v>
                </c:pt>
                <c:pt idx="19">
                  <c:v>-10.861708572397655</c:v>
                </c:pt>
                <c:pt idx="20">
                  <c:v>-5.7938134289781225</c:v>
                </c:pt>
                <c:pt idx="21">
                  <c:v>-6.9792940012951776</c:v>
                </c:pt>
                <c:pt idx="22">
                  <c:v>-2.2030400885427737</c:v>
                </c:pt>
                <c:pt idx="23">
                  <c:v>-0.73834932259302377</c:v>
                </c:pt>
                <c:pt idx="24">
                  <c:v>-11.156282906755932</c:v>
                </c:pt>
                <c:pt idx="25">
                  <c:v>-0.15505613782806904</c:v>
                </c:pt>
                <c:pt idx="26">
                  <c:v>36.606733653538214</c:v>
                </c:pt>
                <c:pt idx="27">
                  <c:v>64.07583563926984</c:v>
                </c:pt>
                <c:pt idx="28">
                  <c:v>52.353186910301041</c:v>
                </c:pt>
                <c:pt idx="29">
                  <c:v>34.402985997520851</c:v>
                </c:pt>
                <c:pt idx="30">
                  <c:v>25.034967495687255</c:v>
                </c:pt>
                <c:pt idx="31">
                  <c:v>35.179230718014345</c:v>
                </c:pt>
                <c:pt idx="32">
                  <c:v>26.44945089433708</c:v>
                </c:pt>
                <c:pt idx="33">
                  <c:v>25.11259026402999</c:v>
                </c:pt>
                <c:pt idx="34">
                  <c:v>34.485325832846605</c:v>
                </c:pt>
                <c:pt idx="35">
                  <c:v>46.013196341508042</c:v>
                </c:pt>
                <c:pt idx="36">
                  <c:v>48.362385954828291</c:v>
                </c:pt>
                <c:pt idx="37">
                  <c:v>44.261753003031657</c:v>
                </c:pt>
                <c:pt idx="38">
                  <c:v>39.598891496175085</c:v>
                </c:pt>
                <c:pt idx="39">
                  <c:v>41.849092437235626</c:v>
                </c:pt>
                <c:pt idx="40">
                  <c:v>48.382051062406894</c:v>
                </c:pt>
                <c:pt idx="41">
                  <c:v>43.275788028176422</c:v>
                </c:pt>
                <c:pt idx="42">
                  <c:v>42.398448705732839</c:v>
                </c:pt>
                <c:pt idx="43">
                  <c:v>55.430253478641099</c:v>
                </c:pt>
                <c:pt idx="44">
                  <c:v>41.562992196787228</c:v>
                </c:pt>
                <c:pt idx="45">
                  <c:v>29.169446491967467</c:v>
                </c:pt>
                <c:pt idx="46">
                  <c:v>21.10623492924999</c:v>
                </c:pt>
                <c:pt idx="47">
                  <c:v>8.6568993173052213</c:v>
                </c:pt>
                <c:pt idx="48">
                  <c:v>7.826565326045487</c:v>
                </c:pt>
                <c:pt idx="49">
                  <c:v>2.2776586899587281</c:v>
                </c:pt>
                <c:pt idx="50">
                  <c:v>-2.6584048040289909</c:v>
                </c:pt>
                <c:pt idx="51">
                  <c:v>-13.036440628140189</c:v>
                </c:pt>
                <c:pt idx="52">
                  <c:v>-8.5807127820103801</c:v>
                </c:pt>
                <c:pt idx="53">
                  <c:v>-10.336409255292567</c:v>
                </c:pt>
                <c:pt idx="54">
                  <c:v>-19.633755399541496</c:v>
                </c:pt>
                <c:pt idx="55">
                  <c:v>-20.994843058254343</c:v>
                </c:pt>
                <c:pt idx="56">
                  <c:v>-20.380130466934197</c:v>
                </c:pt>
                <c:pt idx="57">
                  <c:v>-9.222856409500757</c:v>
                </c:pt>
              </c:numCache>
            </c:numRef>
          </c:val>
          <c:smooth val="0"/>
          <c:extLst>
            <c:ext xmlns:c16="http://schemas.microsoft.com/office/drawing/2014/chart" uri="{C3380CC4-5D6E-409C-BE32-E72D297353CC}">
              <c16:uniqueId val="{00000001-359A-417C-9356-53EE41EE63F6}"/>
            </c:ext>
          </c:extLst>
        </c:ser>
        <c:dLbls>
          <c:showLegendKey val="0"/>
          <c:showVal val="0"/>
          <c:showCatName val="0"/>
          <c:showSerName val="0"/>
          <c:showPercent val="0"/>
          <c:showBubbleSize val="0"/>
        </c:dLbls>
        <c:smooth val="0"/>
        <c:axId val="209964144"/>
        <c:axId val="209063776"/>
      </c:lineChart>
      <c:catAx>
        <c:axId val="209964144"/>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9525" cap="flat" cmpd="sng" algn="ctr">
            <a:solidFill>
              <a:schemeClr val="tx1"/>
            </a:solidFill>
            <a:round/>
          </a:ln>
          <a:effectLst/>
          <a:extLst/>
        </c:spPr>
        <c:txPr>
          <a:bodyPr rot="-60000000" spcFirstLastPara="1" vertOverflow="ellipsis" vert="horz"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209063776"/>
        <c:crosses val="autoZero"/>
        <c:auto val="1"/>
        <c:lblAlgn val="l"/>
        <c:lblOffset val="0"/>
        <c:tickMarkSkip val="3"/>
        <c:noMultiLvlLbl val="0"/>
      </c:catAx>
      <c:valAx>
        <c:axId val="209063776"/>
        <c:scaling>
          <c:orientation val="minMax"/>
          <c:max val="100"/>
          <c:min val="-50"/>
        </c:scaling>
        <c:delete val="0"/>
        <c:axPos val="l"/>
        <c:majorGridlines>
          <c:spPr>
            <a:ln w="6350" cap="flat" cmpd="sng" algn="ctr">
              <a:solidFill>
                <a:srgbClr val="A6A6A6"/>
              </a:solidFill>
              <a:prstDash val="sysDash"/>
              <a:round/>
              <a:headEnd type="none" w="med" len="med"/>
              <a:tailEnd type="none" w="med" len="med"/>
            </a:ln>
            <a:effectLst/>
          </c:spPr>
        </c:majorGridlines>
        <c:title>
          <c:tx>
            <c:rich>
              <a:bodyPr rot="0" spcFirstLastPara="1" vertOverflow="ellipsis" wrap="square" anchor="ctr" anchorCtr="1"/>
              <a:lstStyle/>
              <a:p>
                <a:pPr>
                  <a:defRPr sz="900" b="0" i="0" u="none" strike="noStrike" kern="1200" baseline="0">
                    <a:solidFill>
                      <a:srgbClr val="000000"/>
                    </a:solidFill>
                    <a:latin typeface="Arial Narrow" panose="020B0606020202030204" pitchFamily="34" charset="0"/>
                    <a:ea typeface="+mn-ea"/>
                    <a:cs typeface="+mn-cs"/>
                  </a:defRPr>
                </a:pPr>
                <a:r>
                  <a:rPr lang="it-IT"/>
                  <a:t>%</a:t>
                </a:r>
              </a:p>
            </c:rich>
          </c:tx>
          <c:layout>
            <c:manualLayout>
              <c:xMode val="edge"/>
              <c:yMode val="edge"/>
              <c:x val="1.8995495495495493E-3"/>
              <c:y val="5.0319444444444448E-3"/>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09964144"/>
        <c:crosses val="autoZero"/>
        <c:crossBetween val="between"/>
        <c:majorUnit val="25"/>
      </c:valAx>
    </c:plotArea>
    <c:legend>
      <c:legendPos val="t"/>
      <c:layout>
        <c:manualLayout>
          <c:xMode val="edge"/>
          <c:yMode val="edge"/>
          <c:x val="0.29322274226593525"/>
          <c:y val="0"/>
          <c:w val="0.39102989683908218"/>
          <c:h val="9.189071284011693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6350" cap="flat" cmpd="sng" algn="ctr">
      <a:noFill/>
      <a:round/>
    </a:ln>
    <a:effec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2952862122324263E-2"/>
          <c:y val="0.10798409327416178"/>
          <c:w val="0.93033102698547121"/>
          <c:h val="0.78678210029233187"/>
        </c:manualLayout>
      </c:layout>
      <c:lineChart>
        <c:grouping val="standard"/>
        <c:varyColors val="0"/>
        <c:ser>
          <c:idx val="0"/>
          <c:order val="0"/>
          <c:tx>
            <c:strRef>
              <c:f>'[GraficiElabImport_10_23.xlsx]GR 5-italiano'!$F$28</c:f>
              <c:strCache>
                <c:ptCount val="1"/>
                <c:pt idx="0">
                  <c:v>Totale</c:v>
                </c:pt>
              </c:strCache>
            </c:strRef>
          </c:tx>
          <c:spPr>
            <a:ln w="19050" cap="rnd" cmpd="sng" algn="ctr">
              <a:solidFill>
                <a:srgbClr val="D22630"/>
              </a:solidFill>
              <a:prstDash val="solid"/>
              <a:round/>
              <a:headEnd type="none" w="med" len="med"/>
              <a:tailEnd type="none" w="med" len="med"/>
            </a:ln>
            <a:effectLst/>
          </c:spPr>
          <c:marker>
            <c:symbol val="none"/>
          </c:marker>
          <c:cat>
            <c:numRef>
              <c:f>'[GraficiElabImport_10_23.xlsx]GR 5-italiano'!$C$113:$C$172</c:f>
              <c:numCache>
                <c:formatCode>General</c:formatCode>
                <c:ptCount val="60"/>
                <c:pt idx="5" formatCode="0">
                  <c:v>2019</c:v>
                </c:pt>
                <c:pt idx="17" formatCode="0">
                  <c:v>2020</c:v>
                </c:pt>
                <c:pt idx="29" formatCode="0">
                  <c:v>2021</c:v>
                </c:pt>
                <c:pt idx="41">
                  <c:v>2022</c:v>
                </c:pt>
                <c:pt idx="53">
                  <c:v>2023</c:v>
                </c:pt>
              </c:numCache>
            </c:numRef>
          </c:cat>
          <c:val>
            <c:numRef>
              <c:f>'[GraficiElabImport_10_23.xlsx]GR 5-italiano'!$F$113:$F$172</c:f>
              <c:numCache>
                <c:formatCode>0.0</c:formatCode>
                <c:ptCount val="60"/>
                <c:pt idx="0">
                  <c:v>0.29702970297029729</c:v>
                </c:pt>
                <c:pt idx="1">
                  <c:v>0.59582919563057057</c:v>
                </c:pt>
                <c:pt idx="2">
                  <c:v>1.2922465208747624</c:v>
                </c:pt>
                <c:pt idx="3">
                  <c:v>1.1857707509881354</c:v>
                </c:pt>
                <c:pt idx="4">
                  <c:v>0.98231827111985304</c:v>
                </c:pt>
                <c:pt idx="5">
                  <c:v>-1.650485436893212</c:v>
                </c:pt>
                <c:pt idx="6">
                  <c:v>-1.6488845780795236</c:v>
                </c:pt>
                <c:pt idx="7">
                  <c:v>-2.5169409486931249</c:v>
                </c:pt>
                <c:pt idx="8">
                  <c:v>-2.70531400966183</c:v>
                </c:pt>
                <c:pt idx="9">
                  <c:v>-3.8167938931297662</c:v>
                </c:pt>
                <c:pt idx="10">
                  <c:v>-2.1235521235521082</c:v>
                </c:pt>
                <c:pt idx="11">
                  <c:v>-0.49067713444553851</c:v>
                </c:pt>
                <c:pt idx="12">
                  <c:v>-0.29615004935833467</c:v>
                </c:pt>
                <c:pt idx="13">
                  <c:v>-1.4807502467917066</c:v>
                </c:pt>
                <c:pt idx="14">
                  <c:v>-5.0049067713444639</c:v>
                </c:pt>
                <c:pt idx="15">
                  <c:v>-8.1054687500000107</c:v>
                </c:pt>
                <c:pt idx="16">
                  <c:v>-7.9766536964980599</c:v>
                </c:pt>
                <c:pt idx="17">
                  <c:v>-6.5153010858835074</c:v>
                </c:pt>
                <c:pt idx="18">
                  <c:v>-6.4102564102564097</c:v>
                </c:pt>
                <c:pt idx="19">
                  <c:v>-5.7596822244289969</c:v>
                </c:pt>
                <c:pt idx="20">
                  <c:v>-5.1638530287984157</c:v>
                </c:pt>
                <c:pt idx="21">
                  <c:v>-4.9603174603174649</c:v>
                </c:pt>
                <c:pt idx="22">
                  <c:v>-5.1282051282051322</c:v>
                </c:pt>
                <c:pt idx="23">
                  <c:v>-4.1420118343195256</c:v>
                </c:pt>
                <c:pt idx="24">
                  <c:v>-2.7722772277227747</c:v>
                </c:pt>
                <c:pt idx="25">
                  <c:v>-0.80160320641282645</c:v>
                </c:pt>
                <c:pt idx="26">
                  <c:v>4.3388429752066138</c:v>
                </c:pt>
                <c:pt idx="27">
                  <c:v>8.1827842720510127</c:v>
                </c:pt>
                <c:pt idx="28">
                  <c:v>8.9852008456659647</c:v>
                </c:pt>
                <c:pt idx="29">
                  <c:v>9.5036958817317885</c:v>
                </c:pt>
                <c:pt idx="30">
                  <c:v>11.064278187565858</c:v>
                </c:pt>
                <c:pt idx="31">
                  <c:v>12.012644889357205</c:v>
                </c:pt>
                <c:pt idx="32">
                  <c:v>12.565445026178001</c:v>
                </c:pt>
                <c:pt idx="33">
                  <c:v>15.344467640918591</c:v>
                </c:pt>
                <c:pt idx="34">
                  <c:v>15.800415800415802</c:v>
                </c:pt>
                <c:pt idx="35">
                  <c:v>15.6</c:v>
                </c:pt>
                <c:pt idx="36">
                  <c:v>17.5</c:v>
                </c:pt>
                <c:pt idx="37">
                  <c:v>18.5</c:v>
                </c:pt>
                <c:pt idx="38">
                  <c:v>19</c:v>
                </c:pt>
                <c:pt idx="39">
                  <c:v>21.4</c:v>
                </c:pt>
                <c:pt idx="40">
                  <c:v>20.100000000000001</c:v>
                </c:pt>
                <c:pt idx="41">
                  <c:v>21.5</c:v>
                </c:pt>
                <c:pt idx="42">
                  <c:v>21.2</c:v>
                </c:pt>
                <c:pt idx="43">
                  <c:v>21.5</c:v>
                </c:pt>
                <c:pt idx="44">
                  <c:v>20.3</c:v>
                </c:pt>
                <c:pt idx="45">
                  <c:v>15.7</c:v>
                </c:pt>
                <c:pt idx="46">
                  <c:v>14.1</c:v>
                </c:pt>
                <c:pt idx="47">
                  <c:v>11.3</c:v>
                </c:pt>
                <c:pt idx="48">
                  <c:v>4.7</c:v>
                </c:pt>
                <c:pt idx="49">
                  <c:v>1.3</c:v>
                </c:pt>
                <c:pt idx="50">
                  <c:v>-2.6</c:v>
                </c:pt>
                <c:pt idx="51">
                  <c:v>-6.2</c:v>
                </c:pt>
                <c:pt idx="52">
                  <c:v>-7.8</c:v>
                </c:pt>
                <c:pt idx="53">
                  <c:v>-9.9</c:v>
                </c:pt>
                <c:pt idx="54">
                  <c:v>-11.4</c:v>
                </c:pt>
                <c:pt idx="55">
                  <c:v>-12.7</c:v>
                </c:pt>
                <c:pt idx="56">
                  <c:v>-12.1</c:v>
                </c:pt>
                <c:pt idx="57">
                  <c:v>-10.199999999999999</c:v>
                </c:pt>
              </c:numCache>
            </c:numRef>
          </c:val>
          <c:smooth val="0"/>
          <c:extLst>
            <c:ext xmlns:c16="http://schemas.microsoft.com/office/drawing/2014/chart" uri="{C3380CC4-5D6E-409C-BE32-E72D297353CC}">
              <c16:uniqueId val="{00000000-66DA-43C3-B295-9BD07B0C62AC}"/>
            </c:ext>
          </c:extLst>
        </c:ser>
        <c:ser>
          <c:idx val="1"/>
          <c:order val="1"/>
          <c:tx>
            <c:strRef>
              <c:f>'[GraficiElabImport_10_23.xlsx]GR 5-italiano'!$G$28</c:f>
              <c:strCache>
                <c:ptCount val="1"/>
                <c:pt idx="0">
                  <c:v>Totale al netto energia</c:v>
                </c:pt>
              </c:strCache>
            </c:strRef>
          </c:tx>
          <c:spPr>
            <a:ln w="19050" cap="rnd" cmpd="sng" algn="ctr">
              <a:solidFill>
                <a:srgbClr val="003B5C"/>
              </a:solidFill>
              <a:prstDash val="sysDash"/>
              <a:round/>
              <a:headEnd type="none" w="med" len="med"/>
              <a:tailEnd type="none" w="med" len="med"/>
            </a:ln>
            <a:effectLst/>
          </c:spPr>
          <c:marker>
            <c:symbol val="none"/>
          </c:marker>
          <c:cat>
            <c:numRef>
              <c:f>'[GraficiElabImport_10_23.xlsx]GR 5-italiano'!$C$113:$C$172</c:f>
              <c:numCache>
                <c:formatCode>General</c:formatCode>
                <c:ptCount val="60"/>
                <c:pt idx="5" formatCode="0">
                  <c:v>2019</c:v>
                </c:pt>
                <c:pt idx="17" formatCode="0">
                  <c:v>2020</c:v>
                </c:pt>
                <c:pt idx="29" formatCode="0">
                  <c:v>2021</c:v>
                </c:pt>
                <c:pt idx="41">
                  <c:v>2022</c:v>
                </c:pt>
                <c:pt idx="53">
                  <c:v>2023</c:v>
                </c:pt>
              </c:numCache>
            </c:numRef>
          </c:cat>
          <c:val>
            <c:numRef>
              <c:f>'[GraficiElabImport_10_23.xlsx]GR 5-italiano'!$G$113:$G$172</c:f>
              <c:numCache>
                <c:formatCode>0.0</c:formatCode>
                <c:ptCount val="60"/>
                <c:pt idx="0">
                  <c:v>0.70000000000001172</c:v>
                </c:pt>
                <c:pt idx="1">
                  <c:v>0.60060060060058706</c:v>
                </c:pt>
                <c:pt idx="2">
                  <c:v>0.49999999999998934</c:v>
                </c:pt>
                <c:pt idx="3">
                  <c:v>0.49999999999998934</c:v>
                </c:pt>
                <c:pt idx="4">
                  <c:v>0.60060060060058706</c:v>
                </c:pt>
                <c:pt idx="5">
                  <c:v>-0.19920318725099584</c:v>
                </c:pt>
                <c:pt idx="6">
                  <c:v>-0.19880715705764551</c:v>
                </c:pt>
                <c:pt idx="7">
                  <c:v>-0.49652432969214955</c:v>
                </c:pt>
                <c:pt idx="8">
                  <c:v>-0.39761431411530213</c:v>
                </c:pt>
                <c:pt idx="9">
                  <c:v>-0.29821073558647937</c:v>
                </c:pt>
                <c:pt idx="10">
                  <c:v>-0.7928642220019988</c:v>
                </c:pt>
                <c:pt idx="11">
                  <c:v>-0.79365079365079083</c:v>
                </c:pt>
                <c:pt idx="12">
                  <c:v>-0.9930486593843102</c:v>
                </c:pt>
                <c:pt idx="13">
                  <c:v>-0.89552238805971074</c:v>
                </c:pt>
                <c:pt idx="14">
                  <c:v>-0.89552238805971074</c:v>
                </c:pt>
                <c:pt idx="15">
                  <c:v>-1.3930348258706537</c:v>
                </c:pt>
                <c:pt idx="16">
                  <c:v>-1.6915422885572129</c:v>
                </c:pt>
                <c:pt idx="17">
                  <c:v>-1.4970059880239472</c:v>
                </c:pt>
                <c:pt idx="18">
                  <c:v>-1.5936254980079778</c:v>
                </c:pt>
                <c:pt idx="19">
                  <c:v>-1.4970059880239472</c:v>
                </c:pt>
                <c:pt idx="20">
                  <c:v>-1.2974051896207595</c:v>
                </c:pt>
                <c:pt idx="21">
                  <c:v>-1.395812562313048</c:v>
                </c:pt>
                <c:pt idx="22">
                  <c:v>-0.99900099900099848</c:v>
                </c:pt>
                <c:pt idx="23">
                  <c:v>-0.50000000000000044</c:v>
                </c:pt>
                <c:pt idx="24">
                  <c:v>-0.10030090270812808</c:v>
                </c:pt>
                <c:pt idx="25">
                  <c:v>0.40160642570281624</c:v>
                </c:pt>
                <c:pt idx="26">
                  <c:v>1.4056224899598346</c:v>
                </c:pt>
                <c:pt idx="27">
                  <c:v>3.128153380423826</c:v>
                </c:pt>
                <c:pt idx="28">
                  <c:v>4.3522267206477672</c:v>
                </c:pt>
                <c:pt idx="29">
                  <c:v>4.8632218844984809</c:v>
                </c:pt>
                <c:pt idx="30">
                  <c:v>5.4655870445344146</c:v>
                </c:pt>
                <c:pt idx="31">
                  <c:v>6.2816616008105397</c:v>
                </c:pt>
                <c:pt idx="32">
                  <c:v>6.9767441860465018</c:v>
                </c:pt>
                <c:pt idx="33">
                  <c:v>7.3811931243680462</c:v>
                </c:pt>
                <c:pt idx="34">
                  <c:v>8.1735620585267519</c:v>
                </c:pt>
                <c:pt idx="35">
                  <c:v>8.6999999999999993</c:v>
                </c:pt>
                <c:pt idx="36">
                  <c:v>9.9</c:v>
                </c:pt>
                <c:pt idx="37">
                  <c:v>10.5</c:v>
                </c:pt>
                <c:pt idx="38">
                  <c:v>11.3</c:v>
                </c:pt>
                <c:pt idx="39">
                  <c:v>11.5</c:v>
                </c:pt>
                <c:pt idx="40">
                  <c:v>11.3</c:v>
                </c:pt>
                <c:pt idx="41">
                  <c:v>11.6</c:v>
                </c:pt>
                <c:pt idx="42">
                  <c:v>11.2</c:v>
                </c:pt>
                <c:pt idx="43">
                  <c:v>10.9</c:v>
                </c:pt>
                <c:pt idx="44">
                  <c:v>10.1</c:v>
                </c:pt>
                <c:pt idx="45">
                  <c:v>9.6999999999999993</c:v>
                </c:pt>
                <c:pt idx="46">
                  <c:v>8.5</c:v>
                </c:pt>
                <c:pt idx="47">
                  <c:v>7.2</c:v>
                </c:pt>
                <c:pt idx="48">
                  <c:v>5.8</c:v>
                </c:pt>
                <c:pt idx="49">
                  <c:v>4.3</c:v>
                </c:pt>
                <c:pt idx="50">
                  <c:v>2.5</c:v>
                </c:pt>
                <c:pt idx="51">
                  <c:v>0.9</c:v>
                </c:pt>
                <c:pt idx="52">
                  <c:v>-0.3</c:v>
                </c:pt>
                <c:pt idx="53">
                  <c:v>-1.5</c:v>
                </c:pt>
                <c:pt idx="54">
                  <c:v>-2.2000000000000002</c:v>
                </c:pt>
                <c:pt idx="55">
                  <c:v>-3.1</c:v>
                </c:pt>
                <c:pt idx="56">
                  <c:v>-3.3</c:v>
                </c:pt>
                <c:pt idx="57">
                  <c:v>-3.2</c:v>
                </c:pt>
              </c:numCache>
            </c:numRef>
          </c:val>
          <c:smooth val="0"/>
          <c:extLst>
            <c:ext xmlns:c16="http://schemas.microsoft.com/office/drawing/2014/chart" uri="{C3380CC4-5D6E-409C-BE32-E72D297353CC}">
              <c16:uniqueId val="{00000001-66DA-43C3-B295-9BD07B0C62AC}"/>
            </c:ext>
          </c:extLst>
        </c:ser>
        <c:dLbls>
          <c:showLegendKey val="0"/>
          <c:showVal val="0"/>
          <c:showCatName val="0"/>
          <c:showSerName val="0"/>
          <c:showPercent val="0"/>
          <c:showBubbleSize val="0"/>
        </c:dLbls>
        <c:marker val="1"/>
        <c:smooth val="0"/>
        <c:axId val="247912448"/>
        <c:axId val="248988416"/>
      </c:lineChart>
      <c:lineChart>
        <c:grouping val="standard"/>
        <c:varyColors val="0"/>
        <c:ser>
          <c:idx val="2"/>
          <c:order val="2"/>
          <c:spPr>
            <a:ln w="25400">
              <a:solidFill>
                <a:srgbClr val="FFFFFF"/>
              </a:solidFill>
              <a:prstDash val="solid"/>
            </a:ln>
          </c:spPr>
          <c:marker>
            <c:symbol val="none"/>
          </c:marker>
          <c:cat>
            <c:numRef>
              <c:f>'\\NAS-BALBO\Prezzi_Produzione\Users\FRCOPP~1\AppData\Local\Temp\[Coe_LONG e xUe.xlsx]PREZZI IMPORT'!$C$41:$C$100</c:f>
              <c:numCache>
                <c:formatCode>General</c:formatCode>
                <c:ptCount val="60"/>
                <c:pt idx="5">
                  <c:v>2013</c:v>
                </c:pt>
                <c:pt idx="17">
                  <c:v>2014</c:v>
                </c:pt>
                <c:pt idx="29">
                  <c:v>2015</c:v>
                </c:pt>
                <c:pt idx="41">
                  <c:v>2016</c:v>
                </c:pt>
                <c:pt idx="53">
                  <c:v>2017</c:v>
                </c:pt>
              </c:numCache>
            </c:numRef>
          </c:cat>
          <c:val>
            <c:numRef>
              <c:f>'\\NAS-BALBO\Prezzi_Produzione\Users\FRCOPP~1\AppData\Local\Temp\[Coe_LONG e xUe.xlsx]PREZZI IMPORT'!$FU$1:$FU$60</c:f>
              <c:numCache>
                <c:formatCode>General</c:formatCode>
                <c:ptCount val="60"/>
              </c:numCache>
            </c:numRef>
          </c:val>
          <c:smooth val="0"/>
          <c:extLst>
            <c:ext xmlns:c16="http://schemas.microsoft.com/office/drawing/2014/chart" uri="{C3380CC4-5D6E-409C-BE32-E72D297353CC}">
              <c16:uniqueId val="{00000002-66DA-43C3-B295-9BD07B0C62AC}"/>
            </c:ext>
          </c:extLst>
        </c:ser>
        <c:dLbls>
          <c:showLegendKey val="0"/>
          <c:showVal val="0"/>
          <c:showCatName val="0"/>
          <c:showSerName val="0"/>
          <c:showPercent val="0"/>
          <c:showBubbleSize val="0"/>
        </c:dLbls>
        <c:marker val="1"/>
        <c:smooth val="0"/>
        <c:axId val="248988976"/>
        <c:axId val="248989536"/>
      </c:lineChart>
      <c:catAx>
        <c:axId val="247912448"/>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12700" cap="flat" cmpd="sng" algn="ctr">
            <a:solidFill>
              <a:schemeClr val="tx1"/>
            </a:solidFill>
            <a:round/>
          </a:ln>
          <a:effectLst/>
        </c:spPr>
        <c:txPr>
          <a:bodyPr rot="0" vert="horz"/>
          <a:lstStyle/>
          <a:p>
            <a:pPr>
              <a:defRPr sz="1000" b="1" i="0" u="none" strike="noStrike" baseline="0">
                <a:solidFill>
                  <a:srgbClr val="000000"/>
                </a:solidFill>
                <a:latin typeface="Arial Narrow"/>
                <a:ea typeface="Arial Narrow"/>
                <a:cs typeface="Arial Narrow"/>
              </a:defRPr>
            </a:pPr>
            <a:endParaRPr lang="it-IT"/>
          </a:p>
        </c:txPr>
        <c:crossAx val="248988416"/>
        <c:crosses val="autoZero"/>
        <c:auto val="1"/>
        <c:lblAlgn val="ctr"/>
        <c:lblOffset val="0"/>
        <c:tickMarkSkip val="3"/>
        <c:noMultiLvlLbl val="0"/>
      </c:catAx>
      <c:valAx>
        <c:axId val="248988416"/>
        <c:scaling>
          <c:orientation val="minMax"/>
          <c:max val="25"/>
          <c:min val="-15"/>
        </c:scaling>
        <c:delete val="0"/>
        <c:axPos val="l"/>
        <c:majorGridlines>
          <c:spPr>
            <a:ln w="6350" cap="flat" cmpd="sng" algn="ctr">
              <a:solidFill>
                <a:srgbClr val="A6A6A6"/>
              </a:solidFill>
              <a:prstDash val="sysDash"/>
              <a:round/>
              <a:headEnd type="none" w="med" len="med"/>
              <a:tailEnd type="none" w="med" len="med"/>
            </a:ln>
            <a:effectLst/>
          </c:spPr>
        </c:majorGridlines>
        <c:title>
          <c:tx>
            <c:rich>
              <a:bodyPr rot="0" vert="horz"/>
              <a:lstStyle/>
              <a:p>
                <a:pPr algn="ctr">
                  <a:defRPr sz="900" b="0" i="0" u="none" strike="noStrike" baseline="0">
                    <a:solidFill>
                      <a:srgbClr val="000000"/>
                    </a:solidFill>
                    <a:latin typeface="Arial Narrow"/>
                    <a:ea typeface="Arial Narrow"/>
                    <a:cs typeface="Arial Narrow"/>
                  </a:defRPr>
                </a:pPr>
                <a:r>
                  <a:rPr lang="it-IT"/>
                  <a:t>%</a:t>
                </a:r>
              </a:p>
            </c:rich>
          </c:tx>
          <c:layout>
            <c:manualLayout>
              <c:xMode val="edge"/>
              <c:yMode val="edge"/>
              <c:x val="9.5379650577385698E-3"/>
              <c:y val="5.0320982604447166E-3"/>
            </c:manualLayout>
          </c:layout>
          <c:overlay val="0"/>
          <c:spPr>
            <a:noFill/>
            <a:ln w="25400">
              <a:noFill/>
            </a:ln>
          </c:spPr>
        </c:title>
        <c:numFmt formatCode="0" sourceLinked="0"/>
        <c:majorTickMark val="none"/>
        <c:minorTickMark val="none"/>
        <c:tickLblPos val="nextTo"/>
        <c:spPr>
          <a:ln w="9525">
            <a:noFill/>
          </a:ln>
        </c:spPr>
        <c:txPr>
          <a:bodyPr rot="0" vert="horz"/>
          <a:lstStyle/>
          <a:p>
            <a:pPr>
              <a:defRPr sz="900" b="0" i="0" u="none" strike="noStrike" baseline="0">
                <a:solidFill>
                  <a:srgbClr val="000000"/>
                </a:solidFill>
                <a:latin typeface="Arial Narrow"/>
                <a:ea typeface="Arial Narrow"/>
                <a:cs typeface="Arial Narrow"/>
              </a:defRPr>
            </a:pPr>
            <a:endParaRPr lang="it-IT"/>
          </a:p>
        </c:txPr>
        <c:crossAx val="247912448"/>
        <c:crosses val="autoZero"/>
        <c:crossBetween val="between"/>
        <c:majorUnit val="5"/>
      </c:valAx>
      <c:catAx>
        <c:axId val="248988976"/>
        <c:scaling>
          <c:orientation val="minMax"/>
        </c:scaling>
        <c:delete val="1"/>
        <c:axPos val="t"/>
        <c:numFmt formatCode="General" sourceLinked="1"/>
        <c:majorTickMark val="out"/>
        <c:minorTickMark val="none"/>
        <c:tickLblPos val="nextTo"/>
        <c:crossAx val="248989536"/>
        <c:crosses val="max"/>
        <c:auto val="1"/>
        <c:lblAlgn val="ctr"/>
        <c:lblOffset val="100"/>
        <c:noMultiLvlLbl val="0"/>
      </c:catAx>
      <c:valAx>
        <c:axId val="248989536"/>
        <c:scaling>
          <c:orientation val="minMax"/>
        </c:scaling>
        <c:delete val="1"/>
        <c:axPos val="r"/>
        <c:numFmt formatCode="General" sourceLinked="1"/>
        <c:majorTickMark val="out"/>
        <c:minorTickMark val="none"/>
        <c:tickLblPos val="nextTo"/>
        <c:crossAx val="248988976"/>
        <c:crosses val="max"/>
        <c:crossBetween val="between"/>
      </c:valAx>
      <c:spPr>
        <a:solidFill>
          <a:srgbClr val="FFFFFF"/>
        </a:solidFill>
        <a:ln w="9525" cap="flat" cmpd="sng" algn="ctr">
          <a:solidFill>
            <a:schemeClr val="bg1">
              <a:lumMod val="85000"/>
            </a:schemeClr>
          </a:solidFill>
          <a:prstDash val="solid"/>
          <a:round/>
          <a:headEnd type="none" w="med" len="med"/>
          <a:tailEnd type="none" w="med" len="med"/>
        </a:ln>
        <a:effectLst/>
      </c:spPr>
    </c:plotArea>
    <c:legend>
      <c:legendPos val="t"/>
      <c:legendEntry>
        <c:idx val="2"/>
        <c:delete val="1"/>
      </c:legendEntry>
      <c:layout>
        <c:manualLayout>
          <c:xMode val="edge"/>
          <c:yMode val="edge"/>
          <c:x val="0.37086976487489626"/>
          <c:y val="0"/>
          <c:w val="0.35930283995399454"/>
          <c:h val="9.1890331890331883E-2"/>
        </c:manualLayout>
      </c:layout>
      <c:overlay val="0"/>
      <c:spPr>
        <a:noFill/>
        <a:ln w="25400">
          <a:noFill/>
        </a:ln>
      </c:spPr>
      <c:txPr>
        <a:bodyPr/>
        <a:lstStyle/>
        <a:p>
          <a:pPr>
            <a:defRPr sz="900" b="0" i="0" u="none" strike="noStrike" baseline="0">
              <a:solidFill>
                <a:srgbClr val="000000"/>
              </a:solidFill>
              <a:latin typeface="Arial Narrow"/>
              <a:ea typeface="Arial Narrow"/>
              <a:cs typeface="Arial Narrow"/>
            </a:defRPr>
          </a:pPr>
          <a:endParaRPr lang="it-IT"/>
        </a:p>
      </c:txPr>
    </c:legend>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Narrow"/>
          <a:ea typeface="Arial Narrow"/>
          <a:cs typeface="Arial Narrow"/>
        </a:defRPr>
      </a:pPr>
      <a:endParaRPr lang="it-I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000600600600591E-2"/>
          <c:y val="0.11227175925925927"/>
          <c:w val="0.91781336336336339"/>
          <c:h val="0.44112500000000004"/>
        </c:manualLayout>
      </c:layout>
      <c:barChart>
        <c:barDir val="col"/>
        <c:grouping val="clustered"/>
        <c:varyColors val="0"/>
        <c:ser>
          <c:idx val="1"/>
          <c:order val="0"/>
          <c:tx>
            <c:strRef>
              <c:f>'figg. 6 e 7'!$D$42</c:f>
              <c:strCache>
                <c:ptCount val="1"/>
                <c:pt idx="0">
                  <c:v>Contributi alla var. (punti perc. - sinistra)</c:v>
                </c:pt>
              </c:strCache>
            </c:strRef>
          </c:tx>
          <c:spPr>
            <a:solidFill>
              <a:srgbClr val="003B5C"/>
            </a:solidFill>
            <a:ln>
              <a:solidFill>
                <a:schemeClr val="bg1"/>
              </a:solidFill>
            </a:ln>
            <a:effectLst/>
          </c:spPr>
          <c:invertIfNegative val="0"/>
          <c:cat>
            <c:strRef>
              <c:f>'figg. 6 e 7'!$P$44:$P$61</c:f>
              <c:strCache>
                <c:ptCount val="18"/>
                <c:pt idx="0">
                  <c:v>Macchinari</c:v>
                </c:pt>
                <c:pt idx="1">
                  <c:v>Autoveicoli</c:v>
                </c:pt>
                <c:pt idx="2">
                  <c:v>Altri mezzi trasporto</c:v>
                </c:pt>
                <c:pt idx="3">
                  <c:v>Alimentari</c:v>
                </c:pt>
                <c:pt idx="4">
                  <c:v>Farmaceutica</c:v>
                </c:pt>
                <c:pt idx="5">
                  <c:v>Apparecchi elettrici</c:v>
                </c:pt>
                <c:pt idx="6">
                  <c:v>Altra manifattura</c:v>
                </c:pt>
                <c:pt idx="7">
                  <c:v>Abbigliamento</c:v>
                </c:pt>
                <c:pt idx="8">
                  <c:v>Mobili</c:v>
                </c:pt>
                <c:pt idx="9">
                  <c:v>Gomma-plastica</c:v>
                </c:pt>
                <c:pt idx="10">
                  <c:v>Tessili</c:v>
                </c:pt>
                <c:pt idx="11">
                  <c:v>Pelletteria</c:v>
                </c:pt>
                <c:pt idx="12">
                  <c:v>Minerali non metalliferi</c:v>
                </c:pt>
                <c:pt idx="13">
                  <c:v>Raffinazione</c:v>
                </c:pt>
                <c:pt idx="14">
                  <c:v>Carta-stampa</c:v>
                </c:pt>
                <c:pt idx="15">
                  <c:v>Elettronica</c:v>
                </c:pt>
                <c:pt idx="16">
                  <c:v>Chimica</c:v>
                </c:pt>
                <c:pt idx="17">
                  <c:v>Metalli</c:v>
                </c:pt>
              </c:strCache>
            </c:strRef>
          </c:cat>
          <c:val>
            <c:numRef>
              <c:f>'figg. 6 e 7'!$D$44:$D$61</c:f>
              <c:numCache>
                <c:formatCode>0.00</c:formatCode>
                <c:ptCount val="18"/>
                <c:pt idx="0">
                  <c:v>1.7362733436628055</c:v>
                </c:pt>
                <c:pt idx="1">
                  <c:v>1.298399460291684</c:v>
                </c:pt>
                <c:pt idx="2">
                  <c:v>1.2771983814667507</c:v>
                </c:pt>
                <c:pt idx="3">
                  <c:v>0.78554955807258686</c:v>
                </c:pt>
                <c:pt idx="4">
                  <c:v>0.45778334514308572</c:v>
                </c:pt>
                <c:pt idx="5">
                  <c:v>0.38539466151942436</c:v>
                </c:pt>
                <c:pt idx="6">
                  <c:v>0.18370566428010077</c:v>
                </c:pt>
                <c:pt idx="7">
                  <c:v>2.3082370688533312E-2</c:v>
                </c:pt>
                <c:pt idx="8">
                  <c:v>1.4897818528766371E-2</c:v>
                </c:pt>
                <c:pt idx="9">
                  <c:v>-2.8797726821442785E-2</c:v>
                </c:pt>
                <c:pt idx="10">
                  <c:v>-6.6746843092046274E-2</c:v>
                </c:pt>
                <c:pt idx="11">
                  <c:v>-0.12351964594173927</c:v>
                </c:pt>
                <c:pt idx="12">
                  <c:v>-0.13099819121138692</c:v>
                </c:pt>
                <c:pt idx="13">
                  <c:v>-0.17707897910295201</c:v>
                </c:pt>
                <c:pt idx="14">
                  <c:v>-0.21072075037311475</c:v>
                </c:pt>
                <c:pt idx="15">
                  <c:v>-0.24929840816713558</c:v>
                </c:pt>
                <c:pt idx="16">
                  <c:v>-0.52364243013625622</c:v>
                </c:pt>
                <c:pt idx="17">
                  <c:v>-1.034620349611054</c:v>
                </c:pt>
              </c:numCache>
            </c:numRef>
          </c:val>
          <c:extLst>
            <c:ext xmlns:c16="http://schemas.microsoft.com/office/drawing/2014/chart" uri="{C3380CC4-5D6E-409C-BE32-E72D297353CC}">
              <c16:uniqueId val="{00000000-B2DB-4760-BAC3-F6DAEE2CF040}"/>
            </c:ext>
          </c:extLst>
        </c:ser>
        <c:dLbls>
          <c:showLegendKey val="0"/>
          <c:showVal val="0"/>
          <c:showCatName val="0"/>
          <c:showSerName val="0"/>
          <c:showPercent val="0"/>
          <c:showBubbleSize val="0"/>
        </c:dLbls>
        <c:gapWidth val="0"/>
        <c:axId val="235970992"/>
        <c:axId val="235971552"/>
      </c:barChart>
      <c:lineChart>
        <c:grouping val="standard"/>
        <c:varyColors val="0"/>
        <c:ser>
          <c:idx val="0"/>
          <c:order val="1"/>
          <c:tx>
            <c:strRef>
              <c:f>'figg. 6 e 7'!$B$42</c:f>
              <c:strCache>
                <c:ptCount val="1"/>
                <c:pt idx="0">
                  <c:v>Variazione (%, scala destra)</c:v>
                </c:pt>
              </c:strCache>
            </c:strRef>
          </c:tx>
          <c:spPr>
            <a:ln w="28575" cap="rnd">
              <a:noFill/>
              <a:round/>
            </a:ln>
            <a:effectLst/>
          </c:spPr>
          <c:marker>
            <c:symbol val="diamond"/>
            <c:size val="6"/>
            <c:spPr>
              <a:solidFill>
                <a:schemeClr val="bg1"/>
              </a:solidFill>
              <a:ln w="9525">
                <a:solidFill>
                  <a:schemeClr val="tx1"/>
                </a:solidFill>
              </a:ln>
              <a:effectLst/>
            </c:spPr>
          </c:marker>
          <c:dLbls>
            <c:dLbl>
              <c:idx val="0"/>
              <c:layout>
                <c:manualLayout>
                  <c:x val="-3.2402151419221509E-2"/>
                  <c:y val="-5.47411411172792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DB-4760-BAC3-F6DAEE2CF040}"/>
                </c:ext>
              </c:extLst>
            </c:dLbl>
            <c:dLbl>
              <c:idx val="1"/>
              <c:layout>
                <c:manualLayout>
                  <c:x val="-3.0498878540650639E-2"/>
                  <c:y val="-4.80497997247795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2DB-4760-BAC3-F6DAEE2CF040}"/>
                </c:ext>
              </c:extLst>
            </c:dLbl>
            <c:dLbl>
              <c:idx val="2"/>
              <c:layout>
                <c:manualLayout>
                  <c:x val="-3.0519816636124467E-2"/>
                  <c:y val="-4.20641169650629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2DB-4760-BAC3-F6DAEE2CF040}"/>
                </c:ext>
              </c:extLst>
            </c:dLbl>
            <c:dLbl>
              <c:idx val="3"/>
              <c:layout>
                <c:manualLayout>
                  <c:x val="-2.6712822205508305E-2"/>
                  <c:y val="-5.5407521246510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2DB-4760-BAC3-F6DAEE2CF040}"/>
                </c:ext>
              </c:extLst>
            </c:dLbl>
            <c:dLbl>
              <c:idx val="4"/>
              <c:layout>
                <c:manualLayout>
                  <c:x val="-4.0011877882446652E-2"/>
                  <c:y val="-4.9844872484821341E-2"/>
                </c:manualLayout>
              </c:layout>
              <c:spPr>
                <a:noFill/>
                <a:ln>
                  <a:noFill/>
                </a:ln>
                <a:effectLst/>
              </c:spPr>
              <c:txPr>
                <a:bodyPr wrap="square" lIns="38100" tIns="19050" rIns="38100" bIns="19050" anchor="ctr">
                  <a:noAutofit/>
                </a:bodyPr>
                <a:lstStyle/>
                <a:p>
                  <a:pPr>
                    <a:defRPr/>
                  </a:pPr>
                  <a:endParaRPr lang="it-IT"/>
                </a:p>
              </c:txPr>
              <c:showLegendKey val="0"/>
              <c:showVal val="1"/>
              <c:showCatName val="0"/>
              <c:showSerName val="0"/>
              <c:showPercent val="0"/>
              <c:showBubbleSize val="0"/>
              <c:extLst>
                <c:ext xmlns:c15="http://schemas.microsoft.com/office/drawing/2012/chart" uri="{CE6537A1-D6FC-4f65-9D91-7224C49458BB}">
                  <c15:layout>
                    <c:manualLayout>
                      <c:w val="5.484069069069069E-2"/>
                      <c:h val="6.4299999999999982E-2"/>
                    </c:manualLayout>
                  </c15:layout>
                </c:ext>
                <c:ext xmlns:c16="http://schemas.microsoft.com/office/drawing/2014/chart" uri="{C3380CC4-5D6E-409C-BE32-E72D297353CC}">
                  <c16:uniqueId val="{00000005-B2DB-4760-BAC3-F6DAEE2CF040}"/>
                </c:ext>
              </c:extLst>
            </c:dLbl>
            <c:dLbl>
              <c:idx val="5"/>
              <c:layout>
                <c:manualLayout>
                  <c:x val="-2.2973427911707641E-2"/>
                  <c:y val="-5.02931891977794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2DB-4760-BAC3-F6DAEE2CF040}"/>
                </c:ext>
              </c:extLst>
            </c:dLbl>
            <c:dLbl>
              <c:idx val="6"/>
              <c:layout>
                <c:manualLayout>
                  <c:x val="-2.6771448872835089E-2"/>
                  <c:y val="-5.85159407517634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2DB-4760-BAC3-F6DAEE2CF040}"/>
                </c:ext>
              </c:extLst>
            </c:dLbl>
            <c:dLbl>
              <c:idx val="7"/>
              <c:layout>
                <c:manualLayout>
                  <c:x val="-2.486294147039577E-2"/>
                  <c:y val="-5.95872957969292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2DB-4760-BAC3-F6DAEE2CF040}"/>
                </c:ext>
              </c:extLst>
            </c:dLbl>
            <c:dLbl>
              <c:idx val="8"/>
              <c:layout>
                <c:manualLayout>
                  <c:x val="-2.6812876390308302E-2"/>
                  <c:y val="-5.9497903340569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2DB-4760-BAC3-F6DAEE2CF040}"/>
                </c:ext>
              </c:extLst>
            </c:dLbl>
            <c:dLbl>
              <c:idx val="9"/>
              <c:layout>
                <c:manualLayout>
                  <c:x val="-3.6295291156930046E-2"/>
                  <c:y val="4.910580455016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2DB-4760-BAC3-F6DAEE2CF040}"/>
                </c:ext>
              </c:extLst>
            </c:dLbl>
            <c:dLbl>
              <c:idx val="10"/>
              <c:layout>
                <c:manualLayout>
                  <c:x val="-3.4407721849964559E-2"/>
                  <c:y val="5.57673484572125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2DB-4760-BAC3-F6DAEE2CF040}"/>
                </c:ext>
              </c:extLst>
            </c:dLbl>
            <c:dLbl>
              <c:idx val="11"/>
              <c:layout>
                <c:manualLayout>
                  <c:x val="-3.0578144187801554E-2"/>
                  <c:y val="4.43693587942312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2DB-4760-BAC3-F6DAEE2CF040}"/>
                </c:ext>
              </c:extLst>
            </c:dLbl>
            <c:dLbl>
              <c:idx val="12"/>
              <c:layout>
                <c:manualLayout>
                  <c:x val="-3.0570068065261649E-2"/>
                  <c:y val="4.4258746916411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2DB-4760-BAC3-F6DAEE2CF040}"/>
                </c:ext>
              </c:extLst>
            </c:dLbl>
            <c:dLbl>
              <c:idx val="13"/>
              <c:layout>
                <c:manualLayout>
                  <c:x val="-2.8650493383786169E-2"/>
                  <c:y val="5.67763996691575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2DB-4760-BAC3-F6DAEE2CF040}"/>
                </c:ext>
              </c:extLst>
            </c:dLbl>
            <c:dLbl>
              <c:idx val="14"/>
              <c:layout>
                <c:manualLayout>
                  <c:x val="-4.1001128114672707E-2"/>
                  <c:y val="5.1944015039603567E-2"/>
                </c:manualLayout>
              </c:layout>
              <c:spPr>
                <a:noFill/>
                <a:ln>
                  <a:noFill/>
                </a:ln>
                <a:effectLst/>
              </c:spPr>
              <c:txPr>
                <a:bodyPr wrap="square" lIns="38100" tIns="19050" rIns="38100" bIns="19050" anchor="ctr">
                  <a:noAutofit/>
                </a:bodyPr>
                <a:lstStyle/>
                <a:p>
                  <a:pPr>
                    <a:defRPr/>
                  </a:pPr>
                  <a:endParaRPr lang="it-IT"/>
                </a:p>
              </c:txPr>
              <c:showLegendKey val="0"/>
              <c:showVal val="1"/>
              <c:showCatName val="0"/>
              <c:showSerName val="0"/>
              <c:showPercent val="0"/>
              <c:showBubbleSize val="0"/>
              <c:extLst>
                <c:ext xmlns:c15="http://schemas.microsoft.com/office/drawing/2012/chart" uri="{CE6537A1-D6FC-4f65-9D91-7224C49458BB}">
                  <c15:layout>
                    <c:manualLayout>
                      <c:w val="5.6916230686408151E-2"/>
                      <c:h val="8.4297402541367319E-2"/>
                    </c:manualLayout>
                  </c15:layout>
                </c:ext>
                <c:ext xmlns:c16="http://schemas.microsoft.com/office/drawing/2014/chart" uri="{C3380CC4-5D6E-409C-BE32-E72D297353CC}">
                  <c16:uniqueId val="{0000000F-B2DB-4760-BAC3-F6DAEE2CF040}"/>
                </c:ext>
              </c:extLst>
            </c:dLbl>
            <c:dLbl>
              <c:idx val="15"/>
              <c:layout>
                <c:manualLayout>
                  <c:x val="-2.8611458791509961E-2"/>
                  <c:y val="4.95383195662930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2DB-4760-BAC3-F6DAEE2CF040}"/>
                </c:ext>
              </c:extLst>
            </c:dLbl>
            <c:dLbl>
              <c:idx val="16"/>
              <c:layout>
                <c:manualLayout>
                  <c:x val="-3.4419088244650418E-2"/>
                  <c:y val="5.18354348085195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2DB-4760-BAC3-F6DAEE2CF040}"/>
                </c:ext>
              </c:extLst>
            </c:dLbl>
            <c:dLbl>
              <c:idx val="17"/>
              <c:layout>
                <c:manualLayout>
                  <c:x val="-2.8622376512721315E-2"/>
                  <c:y val="5.63980618993097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2DB-4760-BAC3-F6DAEE2CF040}"/>
                </c:ext>
              </c:extLst>
            </c:dLbl>
            <c:dLbl>
              <c:idx val="18"/>
              <c:layout>
                <c:manualLayout>
                  <c:x val="-3.8156504823624024E-2"/>
                  <c:y val="7.6581018518518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2DB-4760-BAC3-F6DAEE2CF04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'figg. 6 e 7'!$P$44:$P$61</c:f>
              <c:strCache>
                <c:ptCount val="18"/>
                <c:pt idx="0">
                  <c:v>Macchinari</c:v>
                </c:pt>
                <c:pt idx="1">
                  <c:v>Autoveicoli</c:v>
                </c:pt>
                <c:pt idx="2">
                  <c:v>Altri mezzi trasporto</c:v>
                </c:pt>
                <c:pt idx="3">
                  <c:v>Alimentari</c:v>
                </c:pt>
                <c:pt idx="4">
                  <c:v>Farmaceutica</c:v>
                </c:pt>
                <c:pt idx="5">
                  <c:v>Apparecchi elettrici</c:v>
                </c:pt>
                <c:pt idx="6">
                  <c:v>Altra manifattura</c:v>
                </c:pt>
                <c:pt idx="7">
                  <c:v>Abbigliamento</c:v>
                </c:pt>
                <c:pt idx="8">
                  <c:v>Mobili</c:v>
                </c:pt>
                <c:pt idx="9">
                  <c:v>Gomma-plastica</c:v>
                </c:pt>
                <c:pt idx="10">
                  <c:v>Tessili</c:v>
                </c:pt>
                <c:pt idx="11">
                  <c:v>Pelletteria</c:v>
                </c:pt>
                <c:pt idx="12">
                  <c:v>Minerali non metalliferi</c:v>
                </c:pt>
                <c:pt idx="13">
                  <c:v>Raffinazione</c:v>
                </c:pt>
                <c:pt idx="14">
                  <c:v>Carta-stampa</c:v>
                </c:pt>
                <c:pt idx="15">
                  <c:v>Elettronica</c:v>
                </c:pt>
                <c:pt idx="16">
                  <c:v>Chimica</c:v>
                </c:pt>
                <c:pt idx="17">
                  <c:v>Metalli</c:v>
                </c:pt>
              </c:strCache>
            </c:strRef>
          </c:cat>
          <c:val>
            <c:numRef>
              <c:f>'figg. 6 e 7'!$B$44:$B$61</c:f>
              <c:numCache>
                <c:formatCode>0.0</c:formatCode>
                <c:ptCount val="18"/>
                <c:pt idx="0">
                  <c:v>11.896585682885473</c:v>
                </c:pt>
                <c:pt idx="1">
                  <c:v>34.541309684022451</c:v>
                </c:pt>
                <c:pt idx="2">
                  <c:v>26.848214226476514</c:v>
                </c:pt>
                <c:pt idx="3">
                  <c:v>9.1142811702750208</c:v>
                </c:pt>
                <c:pt idx="4">
                  <c:v>5.6622779911076577</c:v>
                </c:pt>
                <c:pt idx="5">
                  <c:v>7.6000056047434725</c:v>
                </c:pt>
                <c:pt idx="6">
                  <c:v>4.8418992600413731</c:v>
                </c:pt>
                <c:pt idx="7">
                  <c:v>0.52117734428784956</c:v>
                </c:pt>
                <c:pt idx="8">
                  <c:v>0.76074652271366006</c:v>
                </c:pt>
                <c:pt idx="9">
                  <c:v>-0.8675400469149821</c:v>
                </c:pt>
                <c:pt idx="10">
                  <c:v>-3.6840798939984722</c:v>
                </c:pt>
                <c:pt idx="11">
                  <c:v>-2.8639896746917799</c:v>
                </c:pt>
                <c:pt idx="12">
                  <c:v>-6.2375376372402798</c:v>
                </c:pt>
                <c:pt idx="13">
                  <c:v>-4.3027055230252529</c:v>
                </c:pt>
                <c:pt idx="14">
                  <c:v>-13.592574240113024</c:v>
                </c:pt>
                <c:pt idx="15">
                  <c:v>-6.7377622116863307</c:v>
                </c:pt>
                <c:pt idx="16">
                  <c:v>-7.7031274112871557</c:v>
                </c:pt>
                <c:pt idx="17">
                  <c:v>-9.1070546483727384</c:v>
                </c:pt>
              </c:numCache>
            </c:numRef>
          </c:val>
          <c:smooth val="0"/>
          <c:extLst>
            <c:ext xmlns:c16="http://schemas.microsoft.com/office/drawing/2014/chart" uri="{C3380CC4-5D6E-409C-BE32-E72D297353CC}">
              <c16:uniqueId val="{00000014-B2DB-4760-BAC3-F6DAEE2CF040}"/>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235972672"/>
        <c:axId val="235972112"/>
      </c:lineChart>
      <c:catAx>
        <c:axId val="235970992"/>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235971552"/>
        <c:crosses val="autoZero"/>
        <c:auto val="1"/>
        <c:lblAlgn val="ctr"/>
        <c:lblOffset val="0"/>
        <c:noMultiLvlLbl val="0"/>
      </c:catAx>
      <c:valAx>
        <c:axId val="235971552"/>
        <c:scaling>
          <c:orientation val="minMax"/>
          <c:max val="10"/>
          <c:min val="-10"/>
        </c:scaling>
        <c:delete val="0"/>
        <c:axPos val="l"/>
        <c:majorGridlines>
          <c:spPr>
            <a:ln w="6350" cap="flat" cmpd="sng" algn="ctr">
              <a:solidFill>
                <a:srgbClr val="A6A6A6"/>
              </a:solidFill>
              <a:prstDash val="sysDash"/>
              <a:round/>
              <a:headEnd type="none" w="med" len="med"/>
              <a:tailEnd type="none" w="med" len="med"/>
            </a:ln>
            <a:effectLst/>
          </c:spPr>
        </c:majorGridlines>
        <c:title>
          <c:tx>
            <c:rich>
              <a:bodyPr rot="0" spcFirstLastPara="1" vertOverflow="ellipsis" wrap="square" anchor="ctr" anchorCtr="1"/>
              <a:lstStyle/>
              <a:p>
                <a:pPr>
                  <a:defRPr sz="900" b="0" i="0" u="none" strike="noStrike" kern="1200" baseline="0">
                    <a:solidFill>
                      <a:srgbClr val="000000"/>
                    </a:solidFill>
                    <a:latin typeface="Arial Narrow" panose="020B0606020202030204" pitchFamily="34" charset="0"/>
                    <a:ea typeface="+mn-ea"/>
                    <a:cs typeface="+mn-cs"/>
                  </a:defRPr>
                </a:pPr>
                <a:r>
                  <a:rPr lang="it-IT"/>
                  <a:t>%</a:t>
                </a:r>
              </a:p>
            </c:rich>
          </c:tx>
          <c:layout>
            <c:manualLayout>
              <c:xMode val="edge"/>
              <c:yMode val="edge"/>
              <c:x val="0.96948843843843846"/>
              <c:y val="3.7319444444444444E-3"/>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35970992"/>
        <c:crosses val="autoZero"/>
        <c:crossBetween val="between"/>
        <c:majorUnit val="5"/>
      </c:valAx>
      <c:valAx>
        <c:axId val="235972112"/>
        <c:scaling>
          <c:orientation val="minMax"/>
          <c:max val="100"/>
          <c:min val="-100"/>
        </c:scaling>
        <c:delete val="0"/>
        <c:axPos val="r"/>
        <c:numFmt formatCode="0" sourceLinked="0"/>
        <c:majorTickMark val="out"/>
        <c:minorTickMark val="none"/>
        <c:tickLblPos val="nextTo"/>
        <c:crossAx val="235972672"/>
        <c:crosses val="max"/>
        <c:crossBetween val="between"/>
        <c:majorUnit val="50"/>
      </c:valAx>
      <c:catAx>
        <c:axId val="235972672"/>
        <c:scaling>
          <c:orientation val="minMax"/>
        </c:scaling>
        <c:delete val="1"/>
        <c:axPos val="b"/>
        <c:numFmt formatCode="General" sourceLinked="1"/>
        <c:majorTickMark val="out"/>
        <c:minorTickMark val="none"/>
        <c:tickLblPos val="nextTo"/>
        <c:crossAx val="235972112"/>
        <c:crosses val="autoZero"/>
        <c:auto val="1"/>
        <c:lblAlgn val="ctr"/>
        <c:lblOffset val="100"/>
        <c:noMultiLvlLbl val="0"/>
      </c:catAx>
      <c:spPr>
        <a:solidFill>
          <a:srgbClr val="FFFFFF"/>
        </a:solidFill>
        <a:ln w="9525" cap="flat" cmpd="sng" algn="ctr">
          <a:solidFill>
            <a:srgbClr val="DDDDDD"/>
          </a:solidFill>
          <a:prstDash val="solid"/>
          <a:round/>
          <a:headEnd type="none" w="med" len="med"/>
          <a:tailEnd type="none" w="med" len="med"/>
        </a:ln>
        <a:effectLst/>
      </c:spPr>
    </c:plotArea>
    <c:legend>
      <c:legendPos val="t"/>
      <c:layout>
        <c:manualLayout>
          <c:xMode val="edge"/>
          <c:yMode val="edge"/>
          <c:x val="0.20371775005577228"/>
          <c:y val="5.8431693350473298E-3"/>
          <c:w val="0.54175660660660663"/>
          <c:h val="9.189071284011693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095195195195195E-2"/>
          <c:y val="0.12223055555555555"/>
          <c:w val="0.91971876876876879"/>
          <c:h val="0.4729078703703703"/>
        </c:manualLayout>
      </c:layout>
      <c:barChart>
        <c:barDir val="col"/>
        <c:grouping val="clustered"/>
        <c:varyColors val="0"/>
        <c:ser>
          <c:idx val="1"/>
          <c:order val="0"/>
          <c:tx>
            <c:strRef>
              <c:f>'figg. 6 e 7'!$D$42</c:f>
              <c:strCache>
                <c:ptCount val="1"/>
                <c:pt idx="0">
                  <c:v>Contributi alla var. (punti perc. - sinistra)</c:v>
                </c:pt>
              </c:strCache>
            </c:strRef>
          </c:tx>
          <c:spPr>
            <a:solidFill>
              <a:srgbClr val="D22630"/>
            </a:solidFill>
            <a:ln>
              <a:solidFill>
                <a:schemeClr val="bg1"/>
              </a:solidFill>
            </a:ln>
            <a:effectLst/>
          </c:spPr>
          <c:invertIfNegative val="0"/>
          <c:cat>
            <c:strRef>
              <c:f>'figg. 6 e 7'!$P$72:$P$90</c:f>
              <c:strCache>
                <c:ptCount val="19"/>
                <c:pt idx="0">
                  <c:v>Autoveicoli</c:v>
                </c:pt>
                <c:pt idx="1">
                  <c:v>Petrolio greggio</c:v>
                </c:pt>
                <c:pt idx="2">
                  <c:v>Altri mezzi trasporto</c:v>
                </c:pt>
                <c:pt idx="3">
                  <c:v>Alimentari</c:v>
                </c:pt>
                <c:pt idx="4">
                  <c:v>Macchinari</c:v>
                </c:pt>
                <c:pt idx="5">
                  <c:v>Altra manifattura</c:v>
                </c:pt>
                <c:pt idx="6">
                  <c:v>Apparecchi elettrici</c:v>
                </c:pt>
                <c:pt idx="7">
                  <c:v>Farmaceutica</c:v>
                </c:pt>
                <c:pt idx="8">
                  <c:v>Agricoltura</c:v>
                </c:pt>
                <c:pt idx="9">
                  <c:v>Gomma-plastica</c:v>
                </c:pt>
                <c:pt idx="10">
                  <c:v>Pelletteria</c:v>
                </c:pt>
                <c:pt idx="11">
                  <c:v>Abbigliamento</c:v>
                </c:pt>
                <c:pt idx="12">
                  <c:v>Carta-stampa</c:v>
                </c:pt>
                <c:pt idx="13">
                  <c:v>Energia elettrica</c:v>
                </c:pt>
                <c:pt idx="14">
                  <c:v>Elettronica</c:v>
                </c:pt>
                <c:pt idx="15">
                  <c:v>Metalli</c:v>
                </c:pt>
                <c:pt idx="16">
                  <c:v>Raffinazione</c:v>
                </c:pt>
                <c:pt idx="17">
                  <c:v>Chimica</c:v>
                </c:pt>
                <c:pt idx="18">
                  <c:v>Gas naturale</c:v>
                </c:pt>
              </c:strCache>
            </c:strRef>
          </c:cat>
          <c:val>
            <c:numRef>
              <c:f>'figg. 6 e 7'!$D$72:$D$90</c:f>
              <c:numCache>
                <c:formatCode>0.00</c:formatCode>
                <c:ptCount val="19"/>
                <c:pt idx="0">
                  <c:v>1.82206525496611</c:v>
                </c:pt>
                <c:pt idx="1">
                  <c:v>0.66692351843919129</c:v>
                </c:pt>
                <c:pt idx="2">
                  <c:v>0.34895068046368061</c:v>
                </c:pt>
                <c:pt idx="3">
                  <c:v>0.32200464308524712</c:v>
                </c:pt>
                <c:pt idx="4">
                  <c:v>0.1997915976076883</c:v>
                </c:pt>
                <c:pt idx="5">
                  <c:v>0.15282543492580161</c:v>
                </c:pt>
                <c:pt idx="6">
                  <c:v>6.4485629431101282E-2</c:v>
                </c:pt>
                <c:pt idx="7">
                  <c:v>5.4780583238277419E-2</c:v>
                </c:pt>
                <c:pt idx="8">
                  <c:v>-4.7459739344805164E-2</c:v>
                </c:pt>
                <c:pt idx="9">
                  <c:v>-5.1496881915994802E-2</c:v>
                </c:pt>
                <c:pt idx="10">
                  <c:v>-8.6787442354582328E-2</c:v>
                </c:pt>
                <c:pt idx="11">
                  <c:v>-0.17355024015570711</c:v>
                </c:pt>
                <c:pt idx="12">
                  <c:v>-0.36620666353346398</c:v>
                </c:pt>
                <c:pt idx="13">
                  <c:v>-0.41073061672158551</c:v>
                </c:pt>
                <c:pt idx="14">
                  <c:v>-0.48784421002991935</c:v>
                </c:pt>
                <c:pt idx="15">
                  <c:v>-0.83573092085738077</c:v>
                </c:pt>
                <c:pt idx="16">
                  <c:v>-1.0869728571560922</c:v>
                </c:pt>
                <c:pt idx="17">
                  <c:v>-1.3300211834350217</c:v>
                </c:pt>
                <c:pt idx="18">
                  <c:v>-5.7077643010306005</c:v>
                </c:pt>
              </c:numCache>
            </c:numRef>
          </c:val>
          <c:extLst>
            <c:ext xmlns:c16="http://schemas.microsoft.com/office/drawing/2014/chart" uri="{C3380CC4-5D6E-409C-BE32-E72D297353CC}">
              <c16:uniqueId val="{00000000-A180-4C8F-AAD7-9CA9473FCFA6}"/>
            </c:ext>
          </c:extLst>
        </c:ser>
        <c:dLbls>
          <c:showLegendKey val="0"/>
          <c:showVal val="0"/>
          <c:showCatName val="0"/>
          <c:showSerName val="0"/>
          <c:showPercent val="0"/>
          <c:showBubbleSize val="0"/>
        </c:dLbls>
        <c:gapWidth val="0"/>
        <c:axId val="235976032"/>
        <c:axId val="235976592"/>
      </c:barChart>
      <c:lineChart>
        <c:grouping val="standard"/>
        <c:varyColors val="0"/>
        <c:ser>
          <c:idx val="0"/>
          <c:order val="1"/>
          <c:tx>
            <c:strRef>
              <c:f>'figg. 6 e 7'!$B$42</c:f>
              <c:strCache>
                <c:ptCount val="1"/>
                <c:pt idx="0">
                  <c:v>Variazione (%, scala destra)</c:v>
                </c:pt>
              </c:strCache>
            </c:strRef>
          </c:tx>
          <c:spPr>
            <a:ln w="28575" cap="rnd">
              <a:noFill/>
              <a:round/>
            </a:ln>
            <a:effectLst/>
          </c:spPr>
          <c:marker>
            <c:symbol val="diamond"/>
            <c:size val="6"/>
            <c:spPr>
              <a:solidFill>
                <a:schemeClr val="bg1"/>
              </a:solidFill>
              <a:ln w="9525">
                <a:solidFill>
                  <a:schemeClr val="tx1"/>
                </a:solidFill>
              </a:ln>
              <a:effectLst/>
            </c:spPr>
          </c:marker>
          <c:dLbls>
            <c:dLbl>
              <c:idx val="0"/>
              <c:layout>
                <c:manualLayout>
                  <c:x val="-3.0530930930930941E-2"/>
                  <c:y val="-4.81782407407407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180-4C8F-AAD7-9CA9473FCFA6}"/>
                </c:ext>
              </c:extLst>
            </c:dLbl>
            <c:dLbl>
              <c:idx val="1"/>
              <c:layout>
                <c:manualLayout>
                  <c:x val="-3.048706347249041E-2"/>
                  <c:y val="-5.3225522316499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180-4C8F-AAD7-9CA9473FCFA6}"/>
                </c:ext>
              </c:extLst>
            </c:dLbl>
            <c:dLbl>
              <c:idx val="2"/>
              <c:layout>
                <c:manualLayout>
                  <c:x val="-3.0521312214372598E-2"/>
                  <c:y val="-4.47973571802173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180-4C8F-AAD7-9CA9473FCFA6}"/>
                </c:ext>
              </c:extLst>
            </c:dLbl>
            <c:dLbl>
              <c:idx val="3"/>
              <c:layout>
                <c:manualLayout>
                  <c:x val="-2.8629405730487528E-2"/>
                  <c:y val="-5.09036111756843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180-4C8F-AAD7-9CA9473FCFA6}"/>
                </c:ext>
              </c:extLst>
            </c:dLbl>
            <c:dLbl>
              <c:idx val="4"/>
              <c:layout>
                <c:manualLayout>
                  <c:x val="-2.6733461185332541E-2"/>
                  <c:y val="-5.20750094438309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80-4C8F-AAD7-9CA9473FCFA6}"/>
                </c:ext>
              </c:extLst>
            </c:dLbl>
            <c:dLbl>
              <c:idx val="5"/>
              <c:layout>
                <c:manualLayout>
                  <c:x val="-2.66917345522097E-2"/>
                  <c:y val="-4.68014470854884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180-4C8F-AAD7-9CA9473FCFA6}"/>
                </c:ext>
              </c:extLst>
            </c:dLbl>
            <c:dLbl>
              <c:idx val="6"/>
              <c:layout>
                <c:manualLayout>
                  <c:x val="-2.6728974450588184E-2"/>
                  <c:y val="-5.56559467077352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180-4C8F-AAD7-9CA9473FCFA6}"/>
                </c:ext>
              </c:extLst>
            </c:dLbl>
            <c:dLbl>
              <c:idx val="7"/>
              <c:layout>
                <c:manualLayout>
                  <c:x val="-2.6746024042616803E-2"/>
                  <c:y val="-5.02021343058057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180-4C8F-AAD7-9CA9473FCFA6}"/>
                </c:ext>
              </c:extLst>
            </c:dLbl>
            <c:dLbl>
              <c:idx val="8"/>
              <c:layout>
                <c:manualLayout>
                  <c:x val="-2.8647801342939531E-2"/>
                  <c:y val="4.7754910792119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180-4C8F-AAD7-9CA9473FCFA6}"/>
                </c:ext>
              </c:extLst>
            </c:dLbl>
            <c:dLbl>
              <c:idx val="9"/>
              <c:layout>
                <c:manualLayout>
                  <c:x val="-3.242578155554196E-2"/>
                  <c:y val="5.96809256407275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180-4C8F-AAD7-9CA9473FCFA6}"/>
                </c:ext>
              </c:extLst>
            </c:dLbl>
            <c:dLbl>
              <c:idx val="10"/>
              <c:layout>
                <c:manualLayout>
                  <c:x val="-3.0522060003496731E-2"/>
                  <c:y val="6.46434772185737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180-4C8F-AAD7-9CA9473FCFA6}"/>
                </c:ext>
              </c:extLst>
            </c:dLbl>
            <c:dLbl>
              <c:idx val="11"/>
              <c:layout>
                <c:manualLayout>
                  <c:x val="-3.0514282996606384E-2"/>
                  <c:y val="5.09644512407741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180-4C8F-AAD7-9CA9473FCFA6}"/>
                </c:ext>
              </c:extLst>
            </c:dLbl>
            <c:dLbl>
              <c:idx val="12"/>
              <c:layout>
                <c:manualLayout>
                  <c:x val="-3.4353432359557422E-2"/>
                  <c:y val="4.51860071482536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180-4C8F-AAD7-9CA9473FCFA6}"/>
                </c:ext>
              </c:extLst>
            </c:dLbl>
            <c:dLbl>
              <c:idx val="13"/>
              <c:layout>
                <c:manualLayout>
                  <c:x val="-3.4327259740215207E-2"/>
                  <c:y val="5.80087319114313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180-4C8F-AAD7-9CA9473FCFA6}"/>
                </c:ext>
              </c:extLst>
            </c:dLbl>
            <c:dLbl>
              <c:idx val="14"/>
              <c:layout>
                <c:manualLayout>
                  <c:x val="-3.0535435435435434E-2"/>
                  <c:y val="5.02064814814814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180-4C8F-AAD7-9CA9473FCFA6}"/>
                </c:ext>
              </c:extLst>
            </c:dLbl>
            <c:dLbl>
              <c:idx val="15"/>
              <c:layout>
                <c:manualLayout>
                  <c:x val="-3.6270570570570572E-2"/>
                  <c:y val="5.49472222222221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180-4C8F-AAD7-9CA9473FCFA6}"/>
                </c:ext>
              </c:extLst>
            </c:dLbl>
            <c:dLbl>
              <c:idx val="16"/>
              <c:layout>
                <c:manualLayout>
                  <c:x val="-3.0559759759759761E-2"/>
                  <c:y val="4.74240740740740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180-4C8F-AAD7-9CA9473FCFA6}"/>
                </c:ext>
              </c:extLst>
            </c:dLbl>
            <c:dLbl>
              <c:idx val="17"/>
              <c:layout>
                <c:manualLayout>
                  <c:x val="-3.4384534534534536E-2"/>
                  <c:y val="5.4343518518518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180-4C8F-AAD7-9CA9473FCFA6}"/>
                </c:ext>
              </c:extLst>
            </c:dLbl>
            <c:dLbl>
              <c:idx val="18"/>
              <c:layout>
                <c:manualLayout>
                  <c:x val="-3.4387387387387384E-2"/>
                  <c:y val="4.99768518518518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180-4C8F-AAD7-9CA9473FCFA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'figg. 6 e 7'!$P$72:$P$90</c:f>
              <c:strCache>
                <c:ptCount val="19"/>
                <c:pt idx="0">
                  <c:v>Autoveicoli</c:v>
                </c:pt>
                <c:pt idx="1">
                  <c:v>Petrolio greggio</c:v>
                </c:pt>
                <c:pt idx="2">
                  <c:v>Altri mezzi trasporto</c:v>
                </c:pt>
                <c:pt idx="3">
                  <c:v>Alimentari</c:v>
                </c:pt>
                <c:pt idx="4">
                  <c:v>Macchinari</c:v>
                </c:pt>
                <c:pt idx="5">
                  <c:v>Altra manifattura</c:v>
                </c:pt>
                <c:pt idx="6">
                  <c:v>Apparecchi elettrici</c:v>
                </c:pt>
                <c:pt idx="7">
                  <c:v>Farmaceutica</c:v>
                </c:pt>
                <c:pt idx="8">
                  <c:v>Agricoltura</c:v>
                </c:pt>
                <c:pt idx="9">
                  <c:v>Gomma-plastica</c:v>
                </c:pt>
                <c:pt idx="10">
                  <c:v>Pelletteria</c:v>
                </c:pt>
                <c:pt idx="11">
                  <c:v>Abbigliamento</c:v>
                </c:pt>
                <c:pt idx="12">
                  <c:v>Carta-stampa</c:v>
                </c:pt>
                <c:pt idx="13">
                  <c:v>Energia elettrica</c:v>
                </c:pt>
                <c:pt idx="14">
                  <c:v>Elettronica</c:v>
                </c:pt>
                <c:pt idx="15">
                  <c:v>Metalli</c:v>
                </c:pt>
                <c:pt idx="16">
                  <c:v>Raffinazione</c:v>
                </c:pt>
                <c:pt idx="17">
                  <c:v>Chimica</c:v>
                </c:pt>
                <c:pt idx="18">
                  <c:v>Gas naturale</c:v>
                </c:pt>
              </c:strCache>
            </c:strRef>
          </c:cat>
          <c:val>
            <c:numRef>
              <c:f>'figg. 6 e 7'!$B$72:$B$90</c:f>
              <c:numCache>
                <c:formatCode>0.0</c:formatCode>
                <c:ptCount val="19"/>
                <c:pt idx="0">
                  <c:v>35.506143278081083</c:v>
                </c:pt>
                <c:pt idx="1">
                  <c:v>11.752214030487309</c:v>
                </c:pt>
                <c:pt idx="2">
                  <c:v>12.191137644392356</c:v>
                </c:pt>
                <c:pt idx="3">
                  <c:v>5.1550365997914156</c:v>
                </c:pt>
                <c:pt idx="4">
                  <c:v>3.2373547093512798</c:v>
                </c:pt>
                <c:pt idx="5">
                  <c:v>6.6165458889719275</c:v>
                </c:pt>
                <c:pt idx="6">
                  <c:v>1.4230417667738351</c:v>
                </c:pt>
                <c:pt idx="7">
                  <c:v>0.87256500073411303</c:v>
                </c:pt>
                <c:pt idx="8">
                  <c:v>-1.3849286723022658</c:v>
                </c:pt>
                <c:pt idx="9">
                  <c:v>-2.1062972613152624</c:v>
                </c:pt>
                <c:pt idx="10">
                  <c:v>-4.3336606117294423</c:v>
                </c:pt>
                <c:pt idx="11">
                  <c:v>-5.7434929839743631</c:v>
                </c:pt>
                <c:pt idx="12">
                  <c:v>-21.767816841542427</c:v>
                </c:pt>
                <c:pt idx="13">
                  <c:v>-28.089474718926652</c:v>
                </c:pt>
                <c:pt idx="14">
                  <c:v>-7.2713385850055374</c:v>
                </c:pt>
                <c:pt idx="15">
                  <c:v>-7.7753842156245696</c:v>
                </c:pt>
                <c:pt idx="16">
                  <c:v>-36.973958336135361</c:v>
                </c:pt>
                <c:pt idx="17">
                  <c:v>-14.690429593142952</c:v>
                </c:pt>
                <c:pt idx="18">
                  <c:v>-61.23017302975488</c:v>
                </c:pt>
              </c:numCache>
            </c:numRef>
          </c:val>
          <c:smooth val="0"/>
          <c:extLst>
            <c:ext xmlns:c16="http://schemas.microsoft.com/office/drawing/2014/chart" uri="{C3380CC4-5D6E-409C-BE32-E72D297353CC}">
              <c16:uniqueId val="{00000014-A180-4C8F-AAD7-9CA9473FCFA6}"/>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235977712"/>
        <c:axId val="235977152"/>
      </c:lineChart>
      <c:catAx>
        <c:axId val="235976032"/>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235976592"/>
        <c:crosses val="autoZero"/>
        <c:auto val="1"/>
        <c:lblAlgn val="ctr"/>
        <c:lblOffset val="0"/>
        <c:noMultiLvlLbl val="0"/>
      </c:catAx>
      <c:valAx>
        <c:axId val="235976592"/>
        <c:scaling>
          <c:orientation val="minMax"/>
          <c:max val="10"/>
          <c:min val="-10"/>
        </c:scaling>
        <c:delete val="0"/>
        <c:axPos val="l"/>
        <c:majorGridlines>
          <c:spPr>
            <a:ln w="6350" cap="flat" cmpd="sng" algn="ctr">
              <a:solidFill>
                <a:srgbClr val="A6A6A6"/>
              </a:solidFill>
              <a:prstDash val="sysDash"/>
              <a:round/>
              <a:headEnd type="none" w="med" len="med"/>
              <a:tailEnd type="none" w="med" len="med"/>
            </a:ln>
            <a:effectLst/>
          </c:spPr>
        </c:majorGridlines>
        <c:title>
          <c:tx>
            <c:rich>
              <a:bodyPr rot="0" spcFirstLastPara="1" vertOverflow="ellipsis" wrap="square" anchor="ctr" anchorCtr="1"/>
              <a:lstStyle/>
              <a:p>
                <a:pPr>
                  <a:defRPr sz="900" b="0" i="0" u="none" strike="noStrike" kern="1200" baseline="0">
                    <a:solidFill>
                      <a:srgbClr val="000000"/>
                    </a:solidFill>
                    <a:latin typeface="Arial Narrow" panose="020B0606020202030204" pitchFamily="34" charset="0"/>
                    <a:ea typeface="+mn-ea"/>
                    <a:cs typeface="+mn-cs"/>
                  </a:defRPr>
                </a:pPr>
                <a:r>
                  <a:rPr lang="it-IT"/>
                  <a:t>%</a:t>
                </a:r>
              </a:p>
            </c:rich>
          </c:tx>
          <c:layout>
            <c:manualLayout>
              <c:xMode val="edge"/>
              <c:yMode val="edge"/>
              <c:x val="0.97038048048048053"/>
              <c:y val="5.0319444444444448E-3"/>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35976032"/>
        <c:crosses val="autoZero"/>
        <c:crossBetween val="between"/>
        <c:majorUnit val="5"/>
      </c:valAx>
      <c:valAx>
        <c:axId val="235977152"/>
        <c:scaling>
          <c:orientation val="minMax"/>
          <c:max val="100"/>
          <c:min val="-10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35977712"/>
        <c:crosses val="max"/>
        <c:crossBetween val="between"/>
        <c:majorUnit val="50"/>
      </c:valAx>
      <c:catAx>
        <c:axId val="235977712"/>
        <c:scaling>
          <c:orientation val="minMax"/>
        </c:scaling>
        <c:delete val="1"/>
        <c:axPos val="b"/>
        <c:numFmt formatCode="General" sourceLinked="1"/>
        <c:majorTickMark val="out"/>
        <c:minorTickMark val="none"/>
        <c:tickLblPos val="nextTo"/>
        <c:crossAx val="235977152"/>
        <c:crosses val="autoZero"/>
        <c:auto val="1"/>
        <c:lblAlgn val="ctr"/>
        <c:lblOffset val="100"/>
        <c:noMultiLvlLbl val="0"/>
      </c:catAx>
      <c:spPr>
        <a:solidFill>
          <a:srgbClr val="FFFFFF"/>
        </a:solidFill>
        <a:ln w="9525" cap="flat" cmpd="sng" algn="ctr">
          <a:solidFill>
            <a:srgbClr val="DDDDDD"/>
          </a:solidFill>
          <a:prstDash val="solid"/>
          <a:round/>
          <a:headEnd type="none" w="med" len="med"/>
          <a:tailEnd type="none" w="med" len="med"/>
        </a:ln>
        <a:effectLst/>
      </c:spPr>
    </c:plotArea>
    <c:legend>
      <c:legendPos val="t"/>
      <c:layout>
        <c:manualLayout>
          <c:xMode val="edge"/>
          <c:yMode val="edge"/>
          <c:x val="0.29540800849385712"/>
          <c:y val="0"/>
          <c:w val="0.50720461095100866"/>
          <c:h val="9.189071284011693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651638137696099E-2"/>
          <c:y val="0.1005125"/>
          <c:w val="0.89947552894285987"/>
          <c:h val="0.55515925925925924"/>
        </c:manualLayout>
      </c:layout>
      <c:barChart>
        <c:barDir val="col"/>
        <c:grouping val="clustered"/>
        <c:varyColors val="0"/>
        <c:ser>
          <c:idx val="0"/>
          <c:order val="0"/>
          <c:tx>
            <c:strRef>
              <c:f>'figg. 8 e 9'!$D$36</c:f>
              <c:strCache>
                <c:ptCount val="1"/>
                <c:pt idx="0">
                  <c:v>Contributi alla var. (punti perc. - sinistra)</c:v>
                </c:pt>
              </c:strCache>
            </c:strRef>
          </c:tx>
          <c:spPr>
            <a:solidFill>
              <a:srgbClr val="003B5C"/>
            </a:solidFill>
            <a:ln w="9525" cap="flat" cmpd="sng" algn="ctr">
              <a:solidFill>
                <a:srgbClr val="FFFFFF"/>
              </a:solidFill>
              <a:prstDash val="solid"/>
              <a:round/>
              <a:headEnd type="none" w="med" len="med"/>
              <a:tailEnd type="none" w="med" len="med"/>
            </a:ln>
            <a:effectLst/>
          </c:spPr>
          <c:invertIfNegative val="0"/>
          <c:dLbls>
            <c:dLbl>
              <c:idx val="36"/>
              <c:tx>
                <c:rich>
                  <a:bodyPr/>
                  <a:lstStyle/>
                  <a:p>
                    <a:r>
                      <a:t>-24,61153308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5D-4170-A2F2-E6FD6002CA8F}"/>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0000"/>
                    </a:solidFill>
                    <a:latin typeface="Arial Narrow" panose="020B0606020202030204" pitchFamily="34" charset="0"/>
                    <a:ea typeface="+mn-ea"/>
                    <a:cs typeface="+mn-cs"/>
                  </a:defRPr>
                </a:pPr>
                <a:endParaRPr lang="it-I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'figg. 8 e 9'!$A$38:$A$55</c:f>
              <c:strCache>
                <c:ptCount val="18"/>
                <c:pt idx="0">
                  <c:v>OPEC</c:v>
                </c:pt>
                <c:pt idx="1">
                  <c:v>Stati Uniti</c:v>
                </c:pt>
                <c:pt idx="2">
                  <c:v>Regno Unito</c:v>
                </c:pt>
                <c:pt idx="3">
                  <c:v>Giappone</c:v>
                </c:pt>
                <c:pt idx="4">
                  <c:v>Paesi Bassi</c:v>
                </c:pt>
                <c:pt idx="5">
                  <c:v>Francia</c:v>
                </c:pt>
                <c:pt idx="6">
                  <c:v>ASEAN</c:v>
                </c:pt>
                <c:pt idx="7">
                  <c:v>Polonia</c:v>
                </c:pt>
                <c:pt idx="8">
                  <c:v>Spagna</c:v>
                </c:pt>
                <c:pt idx="9">
                  <c:v>Romania</c:v>
                </c:pt>
                <c:pt idx="10">
                  <c:v>Svizzera</c:v>
                </c:pt>
                <c:pt idx="11">
                  <c:v>Turchia</c:v>
                </c:pt>
                <c:pt idx="12">
                  <c:v>MERCOSUR</c:v>
                </c:pt>
                <c:pt idx="13">
                  <c:v>Cechia</c:v>
                </c:pt>
                <c:pt idx="14">
                  <c:v>Cina</c:v>
                </c:pt>
                <c:pt idx="15">
                  <c:v>Belgio</c:v>
                </c:pt>
                <c:pt idx="16">
                  <c:v>Austria</c:v>
                </c:pt>
                <c:pt idx="17">
                  <c:v>Germania</c:v>
                </c:pt>
              </c:strCache>
            </c:strRef>
          </c:cat>
          <c:val>
            <c:numRef>
              <c:f>'figg. 8 e 9'!$D$38:$D$55</c:f>
              <c:numCache>
                <c:formatCode>0.00</c:formatCode>
                <c:ptCount val="18"/>
                <c:pt idx="0">
                  <c:v>1.3736639633673755</c:v>
                </c:pt>
                <c:pt idx="1">
                  <c:v>1.065770249262096</c:v>
                </c:pt>
                <c:pt idx="2">
                  <c:v>0.4486435424018656</c:v>
                </c:pt>
                <c:pt idx="3">
                  <c:v>0.28355035436921777</c:v>
                </c:pt>
                <c:pt idx="4">
                  <c:v>0.25709134637498421</c:v>
                </c:pt>
                <c:pt idx="5">
                  <c:v>0.22554158312349967</c:v>
                </c:pt>
                <c:pt idx="6">
                  <c:v>9.9182617500919737E-2</c:v>
                </c:pt>
                <c:pt idx="7">
                  <c:v>9.024941703169409E-2</c:v>
                </c:pt>
                <c:pt idx="8">
                  <c:v>8.7284354034399034E-2</c:v>
                </c:pt>
                <c:pt idx="9">
                  <c:v>8.4275312970468308E-2</c:v>
                </c:pt>
                <c:pt idx="10">
                  <c:v>5.5319710415098491E-2</c:v>
                </c:pt>
                <c:pt idx="11">
                  <c:v>1.9152543755153986E-2</c:v>
                </c:pt>
                <c:pt idx="12">
                  <c:v>-5.8121126206853047E-3</c:v>
                </c:pt>
                <c:pt idx="13">
                  <c:v>-1.921508535449902E-2</c:v>
                </c:pt>
                <c:pt idx="14">
                  <c:v>-2.0148240226144809E-2</c:v>
                </c:pt>
                <c:pt idx="15">
                  <c:v>-0.21878317162883371</c:v>
                </c:pt>
                <c:pt idx="16">
                  <c:v>-0.44032383933573782</c:v>
                </c:pt>
                <c:pt idx="17">
                  <c:v>-0.69811417201135895</c:v>
                </c:pt>
              </c:numCache>
            </c:numRef>
          </c:val>
          <c:extLst>
            <c:ext xmlns:c16="http://schemas.microsoft.com/office/drawing/2014/chart" uri="{C3380CC4-5D6E-409C-BE32-E72D297353CC}">
              <c16:uniqueId val="{00000001-C15D-4170-A2F2-E6FD6002CA8F}"/>
            </c:ext>
          </c:extLst>
        </c:ser>
        <c:dLbls>
          <c:showLegendKey val="0"/>
          <c:showVal val="0"/>
          <c:showCatName val="0"/>
          <c:showSerName val="0"/>
          <c:showPercent val="0"/>
          <c:showBubbleSize val="0"/>
        </c:dLbls>
        <c:gapWidth val="0"/>
        <c:axId val="237443648"/>
        <c:axId val="237444208"/>
      </c:barChart>
      <c:lineChart>
        <c:grouping val="standard"/>
        <c:varyColors val="0"/>
        <c:ser>
          <c:idx val="1"/>
          <c:order val="1"/>
          <c:tx>
            <c:strRef>
              <c:f>'figg. 8 e 9'!$B$36</c:f>
              <c:strCache>
                <c:ptCount val="1"/>
                <c:pt idx="0">
                  <c:v>Variazioni percentuali (scala destra)</c:v>
                </c:pt>
              </c:strCache>
            </c:strRef>
          </c:tx>
          <c:spPr>
            <a:ln w="25400" cap="rnd">
              <a:noFill/>
              <a:round/>
            </a:ln>
            <a:effectLst/>
            <a:extLst>
              <a:ext uri="{91240B29-F687-4F45-9708-019B960494DF}">
                <a14:hiddenLine xmlns:a14="http://schemas.microsoft.com/office/drawing/2010/main" w="9525" cap="flat" cmpd="sng" algn="ctr">
                  <a:solidFill>
                    <a:srgbClr val="FFFFFF"/>
                  </a:solidFill>
                  <a:prstDash val="solid"/>
                  <a:round/>
                  <a:headEnd type="none" w="med" len="med"/>
                  <a:tailEnd type="none" w="med" len="med"/>
                </a14:hiddenLine>
              </a:ext>
            </a:extLst>
          </c:spPr>
          <c:marker>
            <c:symbol val="diamond"/>
            <c:size val="6"/>
            <c:spPr>
              <a:solidFill>
                <a:srgbClr val="FFFFFF"/>
              </a:solidFill>
              <a:ln w="3175">
                <a:solidFill>
                  <a:srgbClr val="141E28"/>
                </a:solidFill>
                <a:prstDash val="solid"/>
              </a:ln>
              <a:effectLst/>
            </c:spPr>
          </c:marker>
          <c:dLbls>
            <c:dLbl>
              <c:idx val="0"/>
              <c:layout>
                <c:manualLayout>
                  <c:x val="-2.7227409297047915E-2"/>
                  <c:y val="-5.19713464347990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5D-4170-A2F2-E6FD6002CA8F}"/>
                </c:ext>
              </c:extLst>
            </c:dLbl>
            <c:dLbl>
              <c:idx val="1"/>
              <c:layout>
                <c:manualLayout>
                  <c:x val="-2.686171171171171E-2"/>
                  <c:y val="-6.10949074074074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15D-4170-A2F2-E6FD6002CA8F}"/>
                </c:ext>
              </c:extLst>
            </c:dLbl>
            <c:dLbl>
              <c:idx val="2"/>
              <c:layout>
                <c:manualLayout>
                  <c:x val="-2.6493393393393412E-2"/>
                  <c:y val="-6.5830555555555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15D-4170-A2F2-E6FD6002CA8F}"/>
                </c:ext>
              </c:extLst>
            </c:dLbl>
            <c:dLbl>
              <c:idx val="3"/>
              <c:layout>
                <c:manualLayout>
                  <c:x val="-2.9933385358350582E-2"/>
                  <c:y val="-5.25190911110851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15D-4170-A2F2-E6FD6002CA8F}"/>
                </c:ext>
              </c:extLst>
            </c:dLbl>
            <c:dLbl>
              <c:idx val="4"/>
              <c:layout>
                <c:manualLayout>
                  <c:x val="-2.6807209611810469E-2"/>
                  <c:y val="-5.61350001754160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15D-4170-A2F2-E6FD6002CA8F}"/>
                </c:ext>
              </c:extLst>
            </c:dLbl>
            <c:dLbl>
              <c:idx val="5"/>
              <c:layout>
                <c:manualLayout>
                  <c:x val="-2.6650832965765276E-2"/>
                  <c:y val="-6.49871946299306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15D-4170-A2F2-E6FD6002CA8F}"/>
                </c:ext>
              </c:extLst>
            </c:dLbl>
            <c:dLbl>
              <c:idx val="6"/>
              <c:layout>
                <c:manualLayout>
                  <c:x val="-2.9084548192884637E-2"/>
                  <c:y val="-5.31388944112453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15D-4170-A2F2-E6FD6002CA8F}"/>
                </c:ext>
              </c:extLst>
            </c:dLbl>
            <c:dLbl>
              <c:idx val="7"/>
              <c:layout>
                <c:manualLayout>
                  <c:x val="-2.8731230467056546E-2"/>
                  <c:y val="-5.55427956637157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15D-4170-A2F2-E6FD6002CA8F}"/>
                </c:ext>
              </c:extLst>
            </c:dLbl>
            <c:dLbl>
              <c:idx val="8"/>
              <c:layout>
                <c:manualLayout>
                  <c:x val="-2.7552599931387367E-2"/>
                  <c:y val="-5.88017915823695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15D-4170-A2F2-E6FD6002CA8F}"/>
                </c:ext>
              </c:extLst>
            </c:dLbl>
            <c:dLbl>
              <c:idx val="9"/>
              <c:layout>
                <c:manualLayout>
                  <c:x val="-2.8747516559412194E-2"/>
                  <c:y val="-5.8871957993708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15D-4170-A2F2-E6FD6002CA8F}"/>
                </c:ext>
              </c:extLst>
            </c:dLbl>
            <c:dLbl>
              <c:idx val="10"/>
              <c:layout>
                <c:manualLayout>
                  <c:x val="-2.7554560294356038E-2"/>
                  <c:y val="-4.891534422471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15D-4170-A2F2-E6FD6002CA8F}"/>
                </c:ext>
              </c:extLst>
            </c:dLbl>
            <c:dLbl>
              <c:idx val="11"/>
              <c:layout>
                <c:manualLayout>
                  <c:x val="-2.859732259657622E-2"/>
                  <c:y val="-4.93232449626363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15D-4170-A2F2-E6FD6002CA8F}"/>
                </c:ext>
              </c:extLst>
            </c:dLbl>
            <c:dLbl>
              <c:idx val="12"/>
              <c:layout>
                <c:manualLayout>
                  <c:x val="-3.0451210813988151E-2"/>
                  <c:y val="4.55445591215419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15D-4170-A2F2-E6FD6002CA8F}"/>
                </c:ext>
              </c:extLst>
            </c:dLbl>
            <c:dLbl>
              <c:idx val="13"/>
              <c:layout>
                <c:manualLayout>
                  <c:x val="-2.8618544847035788E-2"/>
                  <c:y val="4.88543286677034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15D-4170-A2F2-E6FD6002CA8F}"/>
                </c:ext>
              </c:extLst>
            </c:dLbl>
            <c:dLbl>
              <c:idx val="14"/>
              <c:layout>
                <c:manualLayout>
                  <c:x val="-2.8597412535836877E-2"/>
                  <c:y val="4.87718554126019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15D-4170-A2F2-E6FD6002CA8F}"/>
                </c:ext>
              </c:extLst>
            </c:dLbl>
            <c:dLbl>
              <c:idx val="15"/>
              <c:layout>
                <c:manualLayout>
                  <c:x val="-3.2411561561561698E-2"/>
                  <c:y val="4.82953703703704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15D-4170-A2F2-E6FD6002CA8F}"/>
                </c:ext>
              </c:extLst>
            </c:dLbl>
            <c:dLbl>
              <c:idx val="16"/>
              <c:layout>
                <c:manualLayout>
                  <c:x val="-3.2434684684684821E-2"/>
                  <c:y val="4.74851851851851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15D-4170-A2F2-E6FD6002CA8F}"/>
                </c:ext>
              </c:extLst>
            </c:dLbl>
            <c:dLbl>
              <c:idx val="17"/>
              <c:layout>
                <c:manualLayout>
                  <c:x val="-2.8565315315315455E-2"/>
                  <c:y val="5.68981481481481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15D-4170-A2F2-E6FD6002CA8F}"/>
                </c:ext>
              </c:extLst>
            </c:dLbl>
            <c:dLbl>
              <c:idx val="18"/>
              <c:layout>
                <c:manualLayout>
                  <c:x val="-2.8581180448681003E-2"/>
                  <c:y val="5.29165164374686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15D-4170-A2F2-E6FD6002CA8F}"/>
                </c:ext>
              </c:extLst>
            </c:dLbl>
            <c:numFmt formatCode="0.0" sourceLinked="0"/>
            <c:spPr>
              <a:noFill/>
              <a:ln>
                <a:noFill/>
              </a:ln>
              <a:effectLst/>
            </c:spPr>
            <c:txPr>
              <a:bodyPr/>
              <a:lstStyle/>
              <a:p>
                <a:pPr>
                  <a:defRPr sz="900"/>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'figg. 8 e 9'!$A$38:$A$56</c:f>
              <c:strCache>
                <c:ptCount val="18"/>
                <c:pt idx="0">
                  <c:v>OPEC</c:v>
                </c:pt>
                <c:pt idx="1">
                  <c:v>Stati Uniti</c:v>
                </c:pt>
                <c:pt idx="2">
                  <c:v>Regno Unito</c:v>
                </c:pt>
                <c:pt idx="3">
                  <c:v>Giappone</c:v>
                </c:pt>
                <c:pt idx="4">
                  <c:v>Paesi Bassi</c:v>
                </c:pt>
                <c:pt idx="5">
                  <c:v>Francia</c:v>
                </c:pt>
                <c:pt idx="6">
                  <c:v>ASEAN</c:v>
                </c:pt>
                <c:pt idx="7">
                  <c:v>Polonia</c:v>
                </c:pt>
                <c:pt idx="8">
                  <c:v>Spagna</c:v>
                </c:pt>
                <c:pt idx="9">
                  <c:v>Romania</c:v>
                </c:pt>
                <c:pt idx="10">
                  <c:v>Svizzera</c:v>
                </c:pt>
                <c:pt idx="11">
                  <c:v>Turchia</c:v>
                </c:pt>
                <c:pt idx="12">
                  <c:v>MERCOSUR</c:v>
                </c:pt>
                <c:pt idx="13">
                  <c:v>Cechia</c:v>
                </c:pt>
                <c:pt idx="14">
                  <c:v>Cina</c:v>
                </c:pt>
                <c:pt idx="15">
                  <c:v>Belgio</c:v>
                </c:pt>
                <c:pt idx="16">
                  <c:v>Austria</c:v>
                </c:pt>
                <c:pt idx="17">
                  <c:v>Germania</c:v>
                </c:pt>
              </c:strCache>
            </c:strRef>
          </c:cat>
          <c:val>
            <c:numRef>
              <c:f>'figg. 8 e 9'!$B$38:$B$56</c:f>
              <c:numCache>
                <c:formatCode>0.0</c:formatCode>
                <c:ptCount val="18"/>
                <c:pt idx="0">
                  <c:v>41.993859524452944</c:v>
                </c:pt>
                <c:pt idx="1">
                  <c:v>10.176888572815827</c:v>
                </c:pt>
                <c:pt idx="2">
                  <c:v>10.876312891794512</c:v>
                </c:pt>
                <c:pt idx="3">
                  <c:v>25.332365365702231</c:v>
                </c:pt>
                <c:pt idx="4">
                  <c:v>9.0979186439029149</c:v>
                </c:pt>
                <c:pt idx="5">
                  <c:v>2.2502423012538486</c:v>
                </c:pt>
                <c:pt idx="6">
                  <c:v>6.579275559080628</c:v>
                </c:pt>
                <c:pt idx="7">
                  <c:v>2.7794445542021435</c:v>
                </c:pt>
                <c:pt idx="8">
                  <c:v>1.6655191281111001</c:v>
                </c:pt>
                <c:pt idx="9">
                  <c:v>5.2590229555457171</c:v>
                </c:pt>
                <c:pt idx="10">
                  <c:v>1.1554987471138958</c:v>
                </c:pt>
                <c:pt idx="11">
                  <c:v>0.82326340291493239</c:v>
                </c:pt>
                <c:pt idx="12">
                  <c:v>-0.52075495702763419</c:v>
                </c:pt>
                <c:pt idx="13">
                  <c:v>-1.4345615578122164</c:v>
                </c:pt>
                <c:pt idx="14">
                  <c:v>-0.77373985611801288</c:v>
                </c:pt>
                <c:pt idx="15">
                  <c:v>-6.597130051546344</c:v>
                </c:pt>
                <c:pt idx="16">
                  <c:v>-16.435679844318713</c:v>
                </c:pt>
                <c:pt idx="17">
                  <c:v>-5.5709406786496345</c:v>
                </c:pt>
              </c:numCache>
            </c:numRef>
          </c:val>
          <c:smooth val="0"/>
          <c:extLst>
            <c:ext xmlns:c16="http://schemas.microsoft.com/office/drawing/2014/chart" uri="{C3380CC4-5D6E-409C-BE32-E72D297353CC}">
              <c16:uniqueId val="{00000015-C15D-4170-A2F2-E6FD6002CA8F}"/>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237445328"/>
        <c:axId val="237444768"/>
      </c:lineChart>
      <c:catAx>
        <c:axId val="237443648"/>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9525" cap="flat" cmpd="sng" algn="ctr">
            <a:solidFill>
              <a:schemeClr val="tx1"/>
            </a:solidFill>
            <a:round/>
          </a:ln>
          <a:effectLst/>
        </c:spPr>
        <c:txPr>
          <a:bodyPr rot="-2700000" spcFirstLastPara="1" vertOverflow="ellipsis"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237444208"/>
        <c:crosses val="autoZero"/>
        <c:auto val="1"/>
        <c:lblAlgn val="ctr"/>
        <c:lblOffset val="0"/>
        <c:tickLblSkip val="1"/>
        <c:noMultiLvlLbl val="0"/>
      </c:catAx>
      <c:valAx>
        <c:axId val="237444208"/>
        <c:scaling>
          <c:orientation val="minMax"/>
          <c:max val="5"/>
          <c:min val="-5"/>
        </c:scaling>
        <c:delete val="0"/>
        <c:axPos val="l"/>
        <c:majorGridlines>
          <c:spPr>
            <a:ln w="6350" cap="flat" cmpd="sng" algn="ctr">
              <a:solidFill>
                <a:srgbClr val="A6A6A6"/>
              </a:solidFill>
              <a:prstDash val="sysDash"/>
              <a:round/>
              <a:headEnd type="none" w="med" len="med"/>
              <a:tailEnd type="none" w="med" len="me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37443648"/>
        <c:crosses val="autoZero"/>
        <c:crossBetween val="between"/>
        <c:majorUnit val="2.5"/>
        <c:minorUnit val="2.5"/>
      </c:valAx>
      <c:valAx>
        <c:axId val="237444768"/>
        <c:scaling>
          <c:orientation val="minMax"/>
          <c:max val="100"/>
          <c:min val="-100"/>
        </c:scaling>
        <c:delete val="0"/>
        <c:axPos val="r"/>
        <c:title>
          <c:tx>
            <c:rich>
              <a:bodyPr rot="0" vert="horz"/>
              <a:lstStyle/>
              <a:p>
                <a:pPr>
                  <a:defRPr/>
                </a:pPr>
                <a:r>
                  <a:rPr lang="it-IT"/>
                  <a:t>%</a:t>
                </a:r>
              </a:p>
            </c:rich>
          </c:tx>
          <c:layout>
            <c:manualLayout>
              <c:xMode val="edge"/>
              <c:yMode val="edge"/>
              <c:x val="0.96365048731977809"/>
              <c:y val="5.3280345976272573E-3"/>
            </c:manualLayout>
          </c:layout>
          <c:overlay val="0"/>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37445328"/>
        <c:crosses val="max"/>
        <c:crossBetween val="between"/>
        <c:majorUnit val="50"/>
      </c:valAx>
      <c:catAx>
        <c:axId val="237445328"/>
        <c:scaling>
          <c:orientation val="minMax"/>
        </c:scaling>
        <c:delete val="1"/>
        <c:axPos val="b"/>
        <c:numFmt formatCode="General" sourceLinked="1"/>
        <c:majorTickMark val="out"/>
        <c:minorTickMark val="none"/>
        <c:tickLblPos val="nextTo"/>
        <c:crossAx val="237444768"/>
        <c:crosses val="autoZero"/>
        <c:auto val="1"/>
        <c:lblAlgn val="ctr"/>
        <c:lblOffset val="100"/>
        <c:noMultiLvlLbl val="0"/>
      </c:catAx>
      <c:spPr>
        <a:solidFill>
          <a:srgbClr val="FFFFFF"/>
        </a:solidFill>
        <a:ln w="9525" cap="flat" cmpd="sng" algn="ctr">
          <a:solidFill>
            <a:srgbClr val="DDDDDD"/>
          </a:solidFill>
          <a:prstDash val="solid"/>
          <a:round/>
          <a:headEnd type="none" w="med" len="med"/>
          <a:tailEnd type="none" w="med" len="med"/>
        </a:ln>
        <a:effectLst/>
      </c:spPr>
    </c:plotArea>
    <c:legend>
      <c:legendPos val="t"/>
      <c:layout>
        <c:manualLayout>
          <c:xMode val="edge"/>
          <c:yMode val="edge"/>
          <c:x val="0.1942897298149685"/>
          <c:y val="0"/>
          <c:w val="0.64937368785004546"/>
          <c:h val="9.189071284011693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651633220714708E-2"/>
          <c:y val="0.10639207360356027"/>
          <c:w val="0.89947552894285987"/>
          <c:h val="0.54927962962962962"/>
        </c:manualLayout>
      </c:layout>
      <c:barChart>
        <c:barDir val="col"/>
        <c:grouping val="clustered"/>
        <c:varyColors val="0"/>
        <c:ser>
          <c:idx val="0"/>
          <c:order val="0"/>
          <c:tx>
            <c:strRef>
              <c:f>'figg. 8 e 9'!$D$36</c:f>
              <c:strCache>
                <c:ptCount val="1"/>
                <c:pt idx="0">
                  <c:v>Contributi alla var. (punti perc. - sinistra)</c:v>
                </c:pt>
              </c:strCache>
            </c:strRef>
          </c:tx>
          <c:spPr>
            <a:solidFill>
              <a:srgbClr val="D22630"/>
            </a:solidFill>
            <a:ln w="9525" cap="flat" cmpd="sng" algn="ctr">
              <a:solidFill>
                <a:schemeClr val="bg1"/>
              </a:solidFill>
              <a:prstDash val="solid"/>
              <a:round/>
              <a:headEnd type="none" w="med" len="med"/>
              <a:tailEnd type="none" w="med" len="med"/>
            </a:ln>
            <a:effectLst/>
          </c:spPr>
          <c:invertIfNegative val="0"/>
          <c:dLbls>
            <c:dLbl>
              <c:idx val="37"/>
              <c:tx>
                <c:rich>
                  <a:bodyPr/>
                  <a:lstStyle/>
                  <a:p>
                    <a:r>
                      <a:t>-24,61153308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F9-443A-838E-04B653F723E9}"/>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0000"/>
                    </a:solidFill>
                    <a:latin typeface="Arial Narrow" panose="020B0606020202030204" pitchFamily="34" charset="0"/>
                    <a:ea typeface="+mn-ea"/>
                    <a:cs typeface="+mn-cs"/>
                  </a:defRPr>
                </a:pPr>
                <a:endParaRPr lang="it-I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'figg. 8 e 9'!$A$61:$A$79</c:f>
              <c:strCache>
                <c:ptCount val="19"/>
                <c:pt idx="0">
                  <c:v>Stati Uniti</c:v>
                </c:pt>
                <c:pt idx="1">
                  <c:v>Francia</c:v>
                </c:pt>
                <c:pt idx="2">
                  <c:v>Spagna</c:v>
                </c:pt>
                <c:pt idx="3">
                  <c:v>Germania</c:v>
                </c:pt>
                <c:pt idx="4">
                  <c:v>Romania</c:v>
                </c:pt>
                <c:pt idx="5">
                  <c:v>Cechia</c:v>
                </c:pt>
                <c:pt idx="6">
                  <c:v>Polonia</c:v>
                </c:pt>
                <c:pt idx="7">
                  <c:v>Belgio</c:v>
                </c:pt>
                <c:pt idx="8">
                  <c:v>Turchia</c:v>
                </c:pt>
                <c:pt idx="9">
                  <c:v>Austria</c:v>
                </c:pt>
                <c:pt idx="10">
                  <c:v>Regno Unito</c:v>
                </c:pt>
                <c:pt idx="11">
                  <c:v>Paesi Bassi</c:v>
                </c:pt>
                <c:pt idx="12">
                  <c:v>Svizzera</c:v>
                </c:pt>
                <c:pt idx="13">
                  <c:v>ASEAN</c:v>
                </c:pt>
                <c:pt idx="14">
                  <c:v>MERCOSUR</c:v>
                </c:pt>
                <c:pt idx="15">
                  <c:v>India</c:v>
                </c:pt>
                <c:pt idx="16">
                  <c:v>Cina</c:v>
                </c:pt>
                <c:pt idx="17">
                  <c:v>OPEC</c:v>
                </c:pt>
                <c:pt idx="18">
                  <c:v>Russia</c:v>
                </c:pt>
              </c:strCache>
            </c:strRef>
          </c:cat>
          <c:val>
            <c:numRef>
              <c:f>'figg. 8 e 9'!$D$61:$D$79</c:f>
              <c:numCache>
                <c:formatCode>0.00</c:formatCode>
                <c:ptCount val="19"/>
                <c:pt idx="0">
                  <c:v>0.32799908572511632</c:v>
                </c:pt>
                <c:pt idx="1">
                  <c:v>0.24406792870517813</c:v>
                </c:pt>
                <c:pt idx="2">
                  <c:v>0.22062037462285305</c:v>
                </c:pt>
                <c:pt idx="3">
                  <c:v>0.14118776127274363</c:v>
                </c:pt>
                <c:pt idx="4">
                  <c:v>0.10725835169718084</c:v>
                </c:pt>
                <c:pt idx="5">
                  <c:v>7.9597674871580773E-2</c:v>
                </c:pt>
                <c:pt idx="6">
                  <c:v>3.4240030895022408E-2</c:v>
                </c:pt>
                <c:pt idx="7">
                  <c:v>-5.4837103518330828E-3</c:v>
                </c:pt>
                <c:pt idx="8">
                  <c:v>-1.5653208623233199E-2</c:v>
                </c:pt>
                <c:pt idx="9">
                  <c:v>-3.0060440876067719E-2</c:v>
                </c:pt>
                <c:pt idx="10">
                  <c:v>-0.14494492733847419</c:v>
                </c:pt>
                <c:pt idx="11">
                  <c:v>-0.17328027051375441</c:v>
                </c:pt>
                <c:pt idx="12">
                  <c:v>-0.2597543667081747</c:v>
                </c:pt>
                <c:pt idx="13">
                  <c:v>-0.39906072366832956</c:v>
                </c:pt>
                <c:pt idx="14">
                  <c:v>-0.41162139590358127</c:v>
                </c:pt>
                <c:pt idx="15">
                  <c:v>-0.59243723266778447</c:v>
                </c:pt>
                <c:pt idx="16">
                  <c:v>-0.86923791524690319</c:v>
                </c:pt>
                <c:pt idx="17">
                  <c:v>-1.2669667879802249</c:v>
                </c:pt>
                <c:pt idx="18">
                  <c:v>-1.7366239961384933</c:v>
                </c:pt>
              </c:numCache>
            </c:numRef>
          </c:val>
          <c:extLst>
            <c:ext xmlns:c16="http://schemas.microsoft.com/office/drawing/2014/chart" uri="{C3380CC4-5D6E-409C-BE32-E72D297353CC}">
              <c16:uniqueId val="{00000001-71F9-443A-838E-04B653F723E9}"/>
            </c:ext>
          </c:extLst>
        </c:ser>
        <c:dLbls>
          <c:showLegendKey val="0"/>
          <c:showVal val="0"/>
          <c:showCatName val="0"/>
          <c:showSerName val="0"/>
          <c:showPercent val="0"/>
          <c:showBubbleSize val="0"/>
        </c:dLbls>
        <c:gapWidth val="0"/>
        <c:axId val="237448688"/>
        <c:axId val="237449248"/>
      </c:barChart>
      <c:lineChart>
        <c:grouping val="standard"/>
        <c:varyColors val="0"/>
        <c:ser>
          <c:idx val="1"/>
          <c:order val="1"/>
          <c:tx>
            <c:strRef>
              <c:f>'figg. 8 e 9'!$B$36</c:f>
              <c:strCache>
                <c:ptCount val="1"/>
                <c:pt idx="0">
                  <c:v>Variazioni percentuali (scala destra)</c:v>
                </c:pt>
              </c:strCache>
            </c:strRef>
          </c:tx>
          <c:spPr>
            <a:ln w="25400" cap="rnd">
              <a:noFill/>
              <a:round/>
            </a:ln>
            <a:effectLst/>
            <a:extLst>
              <a:ext uri="{91240B29-F687-4F45-9708-019B960494DF}">
                <a14:hiddenLine xmlns:a14="http://schemas.microsoft.com/office/drawing/2010/main" w="9525" cap="flat" cmpd="sng" algn="ctr">
                  <a:solidFill>
                    <a:srgbClr val="FFFFFF"/>
                  </a:solidFill>
                  <a:prstDash val="solid"/>
                  <a:round/>
                  <a:headEnd type="none" w="med" len="med"/>
                  <a:tailEnd type="none" w="med" len="med"/>
                </a14:hiddenLine>
              </a:ext>
            </a:extLst>
          </c:spPr>
          <c:marker>
            <c:symbol val="diamond"/>
            <c:size val="6"/>
            <c:spPr>
              <a:solidFill>
                <a:srgbClr val="FFFFFF"/>
              </a:solidFill>
              <a:ln w="3175">
                <a:solidFill>
                  <a:srgbClr val="141E28"/>
                </a:solidFill>
                <a:prstDash val="solid"/>
              </a:ln>
              <a:effectLst/>
            </c:spPr>
          </c:marker>
          <c:dLbls>
            <c:dLbl>
              <c:idx val="0"/>
              <c:layout>
                <c:manualLayout>
                  <c:x val="-3.0699739290760794E-2"/>
                  <c:y val="-5.3092183901410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F9-443A-838E-04B653F723E9}"/>
                </c:ext>
              </c:extLst>
            </c:dLbl>
            <c:dLbl>
              <c:idx val="1"/>
              <c:layout>
                <c:manualLayout>
                  <c:x val="-2.6852573053725397E-2"/>
                  <c:y val="-4.67893545398031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F9-443A-838E-04B653F723E9}"/>
                </c:ext>
              </c:extLst>
            </c:dLbl>
            <c:dLbl>
              <c:idx val="2"/>
              <c:layout>
                <c:manualLayout>
                  <c:x val="-2.4951650663318971E-2"/>
                  <c:y val="-6.16188089632287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1F9-443A-838E-04B653F723E9}"/>
                </c:ext>
              </c:extLst>
            </c:dLbl>
            <c:dLbl>
              <c:idx val="3"/>
              <c:layout>
                <c:manualLayout>
                  <c:x val="-2.8815073683258124E-2"/>
                  <c:y val="-4.97115262814211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1F9-443A-838E-04B653F723E9}"/>
                </c:ext>
              </c:extLst>
            </c:dLbl>
            <c:dLbl>
              <c:idx val="4"/>
              <c:layout>
                <c:manualLayout>
                  <c:x val="-2.6874917532807841E-2"/>
                  <c:y val="-5.28503110505323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1F9-443A-838E-04B653F723E9}"/>
                </c:ext>
              </c:extLst>
            </c:dLbl>
            <c:dLbl>
              <c:idx val="5"/>
              <c:layout>
                <c:manualLayout>
                  <c:x val="-2.4763455818319628E-2"/>
                  <c:y val="-6.48880063832085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1F9-443A-838E-04B653F723E9}"/>
                </c:ext>
              </c:extLst>
            </c:dLbl>
            <c:dLbl>
              <c:idx val="6"/>
              <c:layout>
                <c:manualLayout>
                  <c:x val="-2.5334373833678283E-2"/>
                  <c:y val="-4.90248732917228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1F9-443A-838E-04B653F723E9}"/>
                </c:ext>
              </c:extLst>
            </c:dLbl>
            <c:dLbl>
              <c:idx val="7"/>
              <c:layout>
                <c:manualLayout>
                  <c:x val="-2.9155994974406674E-2"/>
                  <c:y val="5.18221377716785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1F9-443A-838E-04B653F723E9}"/>
                </c:ext>
              </c:extLst>
            </c:dLbl>
            <c:dLbl>
              <c:idx val="8"/>
              <c:layout>
                <c:manualLayout>
                  <c:x val="-3.2962358857518317E-2"/>
                  <c:y val="5.64584726180840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1F9-443A-838E-04B653F723E9}"/>
                </c:ext>
              </c:extLst>
            </c:dLbl>
            <c:dLbl>
              <c:idx val="9"/>
              <c:layout>
                <c:manualLayout>
                  <c:x val="-3.2948270650052444E-2"/>
                  <c:y val="5.45301852047339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1F9-443A-838E-04B653F723E9}"/>
                </c:ext>
              </c:extLst>
            </c:dLbl>
            <c:dLbl>
              <c:idx val="10"/>
              <c:layout>
                <c:manualLayout>
                  <c:x val="-3.1946359299948046E-2"/>
                  <c:y val="5.44241528554839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1F9-443A-838E-04B653F723E9}"/>
                </c:ext>
              </c:extLst>
            </c:dLbl>
            <c:dLbl>
              <c:idx val="11"/>
              <c:layout>
                <c:manualLayout>
                  <c:x val="-3.239943005707073E-2"/>
                  <c:y val="5.55661118735118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1F9-443A-838E-04B653F723E9}"/>
                </c:ext>
              </c:extLst>
            </c:dLbl>
            <c:dLbl>
              <c:idx val="12"/>
              <c:layout>
                <c:manualLayout>
                  <c:x val="-3.4302087437710266E-2"/>
                  <c:y val="5.0360674196840143E-2"/>
                </c:manualLayout>
              </c:layout>
              <c:tx>
                <c:rich>
                  <a:bodyPr/>
                  <a:lstStyle/>
                  <a:p>
                    <a:fld id="{2716538F-1FD4-4FFE-B063-3794953149F0}" type="VALUE">
                      <a:rPr lang="en-US" b="0"/>
                      <a:pPr/>
                      <a:t>[VALORE]</a:t>
                    </a:fld>
                    <a:endParaRPr lang="it-IT"/>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71F9-443A-838E-04B653F723E9}"/>
                </c:ext>
              </c:extLst>
            </c:dLbl>
            <c:dLbl>
              <c:idx val="13"/>
              <c:layout>
                <c:manualLayout>
                  <c:x val="-3.2414267637274223E-2"/>
                  <c:y val="5.03207947734495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1F9-443A-838E-04B653F723E9}"/>
                </c:ext>
              </c:extLst>
            </c:dLbl>
            <c:dLbl>
              <c:idx val="14"/>
              <c:layout>
                <c:manualLayout>
                  <c:x val="-3.4313477903321024E-2"/>
                  <c:y val="5.5260213237622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1F9-443A-838E-04B653F723E9}"/>
                </c:ext>
              </c:extLst>
            </c:dLbl>
            <c:dLbl>
              <c:idx val="15"/>
              <c:layout>
                <c:manualLayout>
                  <c:x val="-3.0522672672672814E-2"/>
                  <c:y val="5.8893055555555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1F9-443A-838E-04B653F723E9}"/>
                </c:ext>
              </c:extLst>
            </c:dLbl>
            <c:dLbl>
              <c:idx val="16"/>
              <c:layout>
                <c:manualLayout>
                  <c:x val="-3.4359583347470565E-2"/>
                  <c:y val="4.680178165182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1F9-443A-838E-04B653F723E9}"/>
                </c:ext>
              </c:extLst>
            </c:dLbl>
            <c:dLbl>
              <c:idx val="17"/>
              <c:layout>
                <c:manualLayout>
                  <c:x val="-3.4356578212173666E-2"/>
                  <c:y val="5.71967088664427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1F9-443A-838E-04B653F723E9}"/>
                </c:ext>
              </c:extLst>
            </c:dLbl>
            <c:dLbl>
              <c:idx val="18"/>
              <c:layout>
                <c:manualLayout>
                  <c:x val="-4.1918112443978771E-2"/>
                  <c:y val="3.6984646421994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1F9-443A-838E-04B653F723E9}"/>
                </c:ext>
              </c:extLst>
            </c:dLbl>
            <c:dLbl>
              <c:idx val="19"/>
              <c:layout>
                <c:manualLayout>
                  <c:x val="-2.8592754421838274E-2"/>
                  <c:y val="5.40760512517892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1F9-443A-838E-04B653F723E9}"/>
                </c:ext>
              </c:extLst>
            </c:dLbl>
            <c:numFmt formatCode="#,##0.0" sourceLinked="0"/>
            <c:spPr>
              <a:noFill/>
              <a:ln>
                <a:noFill/>
              </a:ln>
              <a:effectLst/>
            </c:spPr>
            <c:txPr>
              <a:bodyPr/>
              <a:lstStyle/>
              <a:p>
                <a:pPr>
                  <a:defRPr sz="900"/>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'figg. 8 e 9'!$A$61:$A$79</c:f>
              <c:strCache>
                <c:ptCount val="19"/>
                <c:pt idx="0">
                  <c:v>Stati Uniti</c:v>
                </c:pt>
                <c:pt idx="1">
                  <c:v>Francia</c:v>
                </c:pt>
                <c:pt idx="2">
                  <c:v>Spagna</c:v>
                </c:pt>
                <c:pt idx="3">
                  <c:v>Germania</c:v>
                </c:pt>
                <c:pt idx="4">
                  <c:v>Romania</c:v>
                </c:pt>
                <c:pt idx="5">
                  <c:v>Cechia</c:v>
                </c:pt>
                <c:pt idx="6">
                  <c:v>Polonia</c:v>
                </c:pt>
                <c:pt idx="7">
                  <c:v>Belgio</c:v>
                </c:pt>
                <c:pt idx="8">
                  <c:v>Turchia</c:v>
                </c:pt>
                <c:pt idx="9">
                  <c:v>Austria</c:v>
                </c:pt>
                <c:pt idx="10">
                  <c:v>Regno Unito</c:v>
                </c:pt>
                <c:pt idx="11">
                  <c:v>Paesi Bassi</c:v>
                </c:pt>
                <c:pt idx="12">
                  <c:v>Svizzera</c:v>
                </c:pt>
                <c:pt idx="13">
                  <c:v>ASEAN</c:v>
                </c:pt>
                <c:pt idx="14">
                  <c:v>MERCOSUR</c:v>
                </c:pt>
                <c:pt idx="15">
                  <c:v>India</c:v>
                </c:pt>
                <c:pt idx="16">
                  <c:v>Cina</c:v>
                </c:pt>
                <c:pt idx="17">
                  <c:v>OPEC</c:v>
                </c:pt>
                <c:pt idx="18">
                  <c:v>Russia</c:v>
                </c:pt>
              </c:strCache>
            </c:strRef>
          </c:cat>
          <c:val>
            <c:numRef>
              <c:f>'figg. 8 e 9'!$B$61:$B$79</c:f>
              <c:numCache>
                <c:formatCode>0.0</c:formatCode>
                <c:ptCount val="19"/>
                <c:pt idx="0">
                  <c:v>8.7534392294455472</c:v>
                </c:pt>
                <c:pt idx="1">
                  <c:v>3.5183934754774668</c:v>
                </c:pt>
                <c:pt idx="2">
                  <c:v>4.765434837560079</c:v>
                </c:pt>
                <c:pt idx="3">
                  <c:v>1.0593550233823805</c:v>
                </c:pt>
                <c:pt idx="4">
                  <c:v>7.5437322944151504</c:v>
                </c:pt>
                <c:pt idx="5">
                  <c:v>5.9765366642872095</c:v>
                </c:pt>
                <c:pt idx="6">
                  <c:v>1.4164613819011862</c:v>
                </c:pt>
                <c:pt idx="7">
                  <c:v>-0.13023058979959501</c:v>
                </c:pt>
                <c:pt idx="8">
                  <c:v>-0.81082527338290333</c:v>
                </c:pt>
                <c:pt idx="9">
                  <c:v>-1.498022977072722</c:v>
                </c:pt>
                <c:pt idx="10">
                  <c:v>-10.265693638870133</c:v>
                </c:pt>
                <c:pt idx="11">
                  <c:v>-3.0203884446114131</c:v>
                </c:pt>
                <c:pt idx="12">
                  <c:v>-9.1049403038236392</c:v>
                </c:pt>
                <c:pt idx="13">
                  <c:v>-15.993443937277249</c:v>
                </c:pt>
                <c:pt idx="14">
                  <c:v>-33.150646978039376</c:v>
                </c:pt>
                <c:pt idx="15">
                  <c:v>-30.741792754936611</c:v>
                </c:pt>
                <c:pt idx="16">
                  <c:v>-9.9734414394929445</c:v>
                </c:pt>
                <c:pt idx="17">
                  <c:v>-17.091290322798571</c:v>
                </c:pt>
                <c:pt idx="18">
                  <c:v>-85.046353938805126</c:v>
                </c:pt>
              </c:numCache>
            </c:numRef>
          </c:val>
          <c:smooth val="0"/>
          <c:extLst>
            <c:ext xmlns:c16="http://schemas.microsoft.com/office/drawing/2014/chart" uri="{C3380CC4-5D6E-409C-BE32-E72D297353CC}">
              <c16:uniqueId val="{00000016-71F9-443A-838E-04B653F723E9}"/>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237625504"/>
        <c:axId val="237449808"/>
      </c:lineChart>
      <c:catAx>
        <c:axId val="237448688"/>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9525" cap="flat" cmpd="sng" algn="ctr">
            <a:solidFill>
              <a:schemeClr val="tx1"/>
            </a:solidFill>
            <a:round/>
          </a:ln>
          <a:effectLst/>
        </c:spPr>
        <c:txPr>
          <a:bodyPr rot="-2700000" spcFirstLastPara="1" vertOverflow="ellipsis"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237449248"/>
        <c:crosses val="autoZero"/>
        <c:auto val="1"/>
        <c:lblAlgn val="ctr"/>
        <c:lblOffset val="0"/>
        <c:tickLblSkip val="1"/>
        <c:noMultiLvlLbl val="0"/>
      </c:catAx>
      <c:valAx>
        <c:axId val="237449248"/>
        <c:scaling>
          <c:orientation val="minMax"/>
          <c:max val="5"/>
          <c:min val="-5"/>
        </c:scaling>
        <c:delete val="0"/>
        <c:axPos val="l"/>
        <c:majorGridlines>
          <c:spPr>
            <a:ln w="6350" cap="flat" cmpd="sng" algn="ctr">
              <a:solidFill>
                <a:srgbClr val="A6A6A6"/>
              </a:solidFill>
              <a:prstDash val="sysDash"/>
              <a:round/>
              <a:headEnd type="none" w="med" len="med"/>
              <a:tailEnd type="none" w="med" len="me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37448688"/>
        <c:crosses val="autoZero"/>
        <c:crossBetween val="between"/>
        <c:majorUnit val="2.5"/>
      </c:valAx>
      <c:valAx>
        <c:axId val="237449808"/>
        <c:scaling>
          <c:orientation val="minMax"/>
          <c:max val="100"/>
          <c:min val="-100"/>
        </c:scaling>
        <c:delete val="0"/>
        <c:axPos val="r"/>
        <c:title>
          <c:tx>
            <c:rich>
              <a:bodyPr rot="0" vert="horz"/>
              <a:lstStyle/>
              <a:p>
                <a:pPr>
                  <a:defRPr b="1"/>
                </a:pPr>
                <a:r>
                  <a:rPr lang="it-IT" b="1"/>
                  <a:t>%</a:t>
                </a:r>
              </a:p>
            </c:rich>
          </c:tx>
          <c:layout>
            <c:manualLayout>
              <c:xMode val="edge"/>
              <c:yMode val="edge"/>
              <c:x val="0.96162867867867863"/>
              <c:y val="1.9740740740740756E-3"/>
            </c:manualLayout>
          </c:layout>
          <c:overlay val="0"/>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37625504"/>
        <c:crosses val="max"/>
        <c:crossBetween val="between"/>
        <c:majorUnit val="50"/>
      </c:valAx>
      <c:catAx>
        <c:axId val="237625504"/>
        <c:scaling>
          <c:orientation val="minMax"/>
        </c:scaling>
        <c:delete val="1"/>
        <c:axPos val="b"/>
        <c:numFmt formatCode="General" sourceLinked="1"/>
        <c:majorTickMark val="out"/>
        <c:minorTickMark val="none"/>
        <c:tickLblPos val="nextTo"/>
        <c:crossAx val="237449808"/>
        <c:crosses val="autoZero"/>
        <c:auto val="1"/>
        <c:lblAlgn val="ctr"/>
        <c:lblOffset val="100"/>
        <c:noMultiLvlLbl val="0"/>
      </c:catAx>
      <c:spPr>
        <a:solidFill>
          <a:srgbClr val="FFFFFF"/>
        </a:solidFill>
        <a:ln w="9525" cap="flat" cmpd="sng" algn="ctr">
          <a:solidFill>
            <a:srgbClr val="DDDDDD"/>
          </a:solidFill>
          <a:prstDash val="solid"/>
          <a:round/>
          <a:headEnd type="none" w="med" len="med"/>
          <a:tailEnd type="none" w="med" len="med"/>
        </a:ln>
        <a:effectLst/>
      </c:spPr>
    </c:plotArea>
    <c:legend>
      <c:legendPos val="t"/>
      <c:layout>
        <c:manualLayout>
          <c:xMode val="edge"/>
          <c:yMode val="edge"/>
          <c:x val="0.16853560371427334"/>
          <c:y val="0"/>
          <c:w val="0.68984446994428816"/>
          <c:h val="9.189071284011693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Nota o comunicato" ma:contentTypeID="0x010100B795A82E90F7744F8BBD5BCEA1E47B9D00412BB8B24175FB4599016A296A388103" ma:contentTypeVersion="2" ma:contentTypeDescription="" ma:contentTypeScope="" ma:versionID="fef993d87c238cc71779350178681a56">
  <xsd:schema xmlns:xsd="http://www.w3.org/2001/XMLSchema" xmlns:xs="http://www.w3.org/2001/XMLSchema" xmlns:p="http://schemas.microsoft.com/office/2006/metadata/properties" xmlns:ns2="2886d22a-1eb9-406b-961e-e52bb60f5915" targetNamespace="http://schemas.microsoft.com/office/2006/metadata/properties" ma:root="true" ma:fieldsID="6a986a9c8108b3d7a67e5da413ff238a" ns2:_="">
    <xsd:import namespace="2886d22a-1eb9-406b-961e-e52bb60f591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86d22a-1eb9-406b-961e-e52bb60f5915"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3D393-A86E-48FE-A47C-966673B0F313}">
  <ds:schemaRefs>
    <ds:schemaRef ds:uri="http://schemas.microsoft.com/sharepoint/events"/>
  </ds:schemaRefs>
</ds:datastoreItem>
</file>

<file path=customXml/itemProps2.xml><?xml version="1.0" encoding="utf-8"?>
<ds:datastoreItem xmlns:ds="http://schemas.openxmlformats.org/officeDocument/2006/customXml" ds:itemID="{416CBCD4-A0D9-4779-82A0-880610C2D00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FA3A331-E51C-433B-B400-E4AB42279668}">
  <ds:schemaRefs>
    <ds:schemaRef ds:uri="http://schemas.microsoft.com/sharepoint/v3/contenttype/forms"/>
  </ds:schemaRefs>
</ds:datastoreItem>
</file>

<file path=customXml/itemProps4.xml><?xml version="1.0" encoding="utf-8"?>
<ds:datastoreItem xmlns:ds="http://schemas.openxmlformats.org/officeDocument/2006/customXml" ds:itemID="{830AF039-4907-44F4-9163-8CBD2D9FEF44}">
  <ds:schemaRefs>
    <ds:schemaRef ds:uri="http://schemas.microsoft.com/office/2006/metadata/longProperties"/>
  </ds:schemaRefs>
</ds:datastoreItem>
</file>

<file path=customXml/itemProps5.xml><?xml version="1.0" encoding="utf-8"?>
<ds:datastoreItem xmlns:ds="http://schemas.openxmlformats.org/officeDocument/2006/customXml" ds:itemID="{BBAC46FC-E450-4A0E-A8DC-D0559AC305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86d22a-1eb9-406b-961e-e52bb60f5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D1F900A-0608-4C9C-9A2C-E71506FC2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9416</Words>
  <Characters>53672</Characters>
  <Application>Microsoft Office Word</Application>
  <DocSecurity>0</DocSecurity>
  <Lines>447</Lines>
  <Paragraphs>125</Paragraphs>
  <ScaleCrop>false</ScaleCrop>
  <HeadingPairs>
    <vt:vector size="2" baseType="variant">
      <vt:variant>
        <vt:lpstr>Titolo</vt:lpstr>
      </vt:variant>
      <vt:variant>
        <vt:i4>1</vt:i4>
      </vt:variant>
    </vt:vector>
  </HeadingPairs>
  <TitlesOfParts>
    <vt:vector size="1" baseType="lpstr">
      <vt:lpstr>COMMERCIO CON L'ESTERO E PREZZI ALL'IMPORT</vt:lpstr>
    </vt:vector>
  </TitlesOfParts>
  <Company>HP</Company>
  <LinksUpToDate>false</LinksUpToDate>
  <CharactersWithSpaces>62963</CharactersWithSpaces>
  <SharedDoc>false</SharedDoc>
  <HLinks>
    <vt:vector size="108" baseType="variant">
      <vt:variant>
        <vt:i4>3670095</vt:i4>
      </vt:variant>
      <vt:variant>
        <vt:i4>51</vt:i4>
      </vt:variant>
      <vt:variant>
        <vt:i4>0</vt:i4>
      </vt:variant>
      <vt:variant>
        <vt:i4>5</vt:i4>
      </vt:variant>
      <vt:variant>
        <vt:lpwstr>https://www.istat.it/it/files/2018/05/nota_informativa_prezzi_import.pdf</vt:lpwstr>
      </vt:variant>
      <vt:variant>
        <vt:lpwstr/>
      </vt:variant>
      <vt:variant>
        <vt:i4>6881380</vt:i4>
      </vt:variant>
      <vt:variant>
        <vt:i4>48</vt:i4>
      </vt:variant>
      <vt:variant>
        <vt:i4>0</vt:i4>
      </vt:variant>
      <vt:variant>
        <vt:i4>5</vt:i4>
      </vt:variant>
      <vt:variant>
        <vt:lpwstr>http://www.istat.it/it/files/2015/11/Ricostruzione-serie-indici-2005-2009.pdf?title=Prezzi+all%27importazione+dei+prodotti+industriali+-+17%2Fnov%2F2015+-+Ricostruzione+serie.pdf</vt:lpwstr>
      </vt:variant>
      <vt:variant>
        <vt:lpwstr/>
      </vt:variant>
      <vt:variant>
        <vt:i4>7340158</vt:i4>
      </vt:variant>
      <vt:variant>
        <vt:i4>45</vt:i4>
      </vt:variant>
      <vt:variant>
        <vt:i4>0</vt:i4>
      </vt:variant>
      <vt:variant>
        <vt:i4>5</vt:i4>
      </vt:variant>
      <vt:variant>
        <vt:lpwstr>http://www.istat.it/it/files/2016/02/Prezzi-all-importazione-dei-prodotti-industriali-Nota-informativa.pdf?title=Prezzi+all%E2%80%99importazione+dei+prodotti+industriali+-+16%2Ffeb%2F2016+-+Nota+informativa.pdf</vt:lpwstr>
      </vt:variant>
      <vt:variant>
        <vt:lpwstr/>
      </vt:variant>
      <vt:variant>
        <vt:i4>5898331</vt:i4>
      </vt:variant>
      <vt:variant>
        <vt:i4>42</vt:i4>
      </vt:variant>
      <vt:variant>
        <vt:i4>0</vt:i4>
      </vt:variant>
      <vt:variant>
        <vt:i4>5</vt:i4>
      </vt:variant>
      <vt:variant>
        <vt:lpwstr>http://www.istat.it/it/archivio/45225</vt:lpwstr>
      </vt:variant>
      <vt:variant>
        <vt:lpwstr/>
      </vt:variant>
      <vt:variant>
        <vt:i4>852042</vt:i4>
      </vt:variant>
      <vt:variant>
        <vt:i4>39</vt:i4>
      </vt:variant>
      <vt:variant>
        <vt:i4>0</vt:i4>
      </vt:variant>
      <vt:variant>
        <vt:i4>5</vt:i4>
      </vt:variant>
      <vt:variant>
        <vt:lpwstr>https://www.istat.it/it/files/2011/03/testointegrale20080225.pdf</vt:lpwstr>
      </vt:variant>
      <vt:variant>
        <vt:lpwstr/>
      </vt:variant>
      <vt:variant>
        <vt:i4>7340157</vt:i4>
      </vt:variant>
      <vt:variant>
        <vt:i4>36</vt:i4>
      </vt:variant>
      <vt:variant>
        <vt:i4>0</vt:i4>
      </vt:variant>
      <vt:variant>
        <vt:i4>5</vt:i4>
      </vt:variant>
      <vt:variant>
        <vt:lpwstr>http://ec.europa.eu/eurostat/data/database</vt:lpwstr>
      </vt:variant>
      <vt:variant>
        <vt:lpwstr/>
      </vt:variant>
      <vt:variant>
        <vt:i4>3604535</vt:i4>
      </vt:variant>
      <vt:variant>
        <vt:i4>33</vt:i4>
      </vt:variant>
      <vt:variant>
        <vt:i4>0</vt:i4>
      </vt:variant>
      <vt:variant>
        <vt:i4>5</vt:i4>
      </vt:variant>
      <vt:variant>
        <vt:lpwstr>http://www.istat.it/it/archivio/esportazioni+delle+regioni</vt:lpwstr>
      </vt:variant>
      <vt:variant>
        <vt:lpwstr/>
      </vt:variant>
      <vt:variant>
        <vt:i4>1245267</vt:i4>
      </vt:variant>
      <vt:variant>
        <vt:i4>30</vt:i4>
      </vt:variant>
      <vt:variant>
        <vt:i4>0</vt:i4>
      </vt:variant>
      <vt:variant>
        <vt:i4>5</vt:i4>
      </vt:variant>
      <vt:variant>
        <vt:lpwstr>http://www.istat.it/it/archivio/commercio+estero+extra+ue</vt:lpwstr>
      </vt:variant>
      <vt:variant>
        <vt:lpwstr/>
      </vt:variant>
      <vt:variant>
        <vt:i4>4259923</vt:i4>
      </vt:variant>
      <vt:variant>
        <vt:i4>27</vt:i4>
      </vt:variant>
      <vt:variant>
        <vt:i4>0</vt:i4>
      </vt:variant>
      <vt:variant>
        <vt:i4>5</vt:i4>
      </vt:variant>
      <vt:variant>
        <vt:lpwstr>http://www.istat.it/it/archivio/commercio+estero+e+prezzi+import</vt:lpwstr>
      </vt:variant>
      <vt:variant>
        <vt:lpwstr/>
      </vt:variant>
      <vt:variant>
        <vt:i4>2359335</vt:i4>
      </vt:variant>
      <vt:variant>
        <vt:i4>24</vt:i4>
      </vt:variant>
      <vt:variant>
        <vt:i4>0</vt:i4>
      </vt:variant>
      <vt:variant>
        <vt:i4>5</vt:i4>
      </vt:variant>
      <vt:variant>
        <vt:lpwstr>http://www.istat.it/it/files/2016/07/scheda-CommercioEstero-e-prezzi-allimport-dei-prodotti-industriali.pdf</vt:lpwstr>
      </vt:variant>
      <vt:variant>
        <vt:lpwstr/>
      </vt:variant>
      <vt:variant>
        <vt:i4>2031617</vt:i4>
      </vt:variant>
      <vt:variant>
        <vt:i4>21</vt:i4>
      </vt:variant>
      <vt:variant>
        <vt:i4>0</vt:i4>
      </vt:variant>
      <vt:variant>
        <vt:i4>5</vt:i4>
      </vt:variant>
      <vt:variant>
        <vt:lpwstr>http://www.istat.it/it/congiuntura/revisioni</vt:lpwstr>
      </vt:variant>
      <vt:variant>
        <vt:lpwstr/>
      </vt:variant>
      <vt:variant>
        <vt:i4>1310812</vt:i4>
      </vt:variant>
      <vt:variant>
        <vt:i4>18</vt:i4>
      </vt:variant>
      <vt:variant>
        <vt:i4>0</vt:i4>
      </vt:variant>
      <vt:variant>
        <vt:i4>5</vt:i4>
      </vt:variant>
      <vt:variant>
        <vt:lpwstr>http://www.istat.it/it/informazioni/per-i-giornalisti/calendario/</vt:lpwstr>
      </vt:variant>
      <vt:variant>
        <vt:lpwstr/>
      </vt:variant>
      <vt:variant>
        <vt:i4>1900613</vt:i4>
      </vt:variant>
      <vt:variant>
        <vt:i4>15</vt:i4>
      </vt:variant>
      <vt:variant>
        <vt:i4>0</vt:i4>
      </vt:variant>
      <vt:variant>
        <vt:i4>5</vt:i4>
      </vt:variant>
      <vt:variant>
        <vt:lpwstr>https://www.coeweb.istat.it/</vt:lpwstr>
      </vt:variant>
      <vt:variant>
        <vt:lpwstr/>
      </vt:variant>
      <vt:variant>
        <vt:i4>6815848</vt:i4>
      </vt:variant>
      <vt:variant>
        <vt:i4>12</vt:i4>
      </vt:variant>
      <vt:variant>
        <vt:i4>0</vt:i4>
      </vt:variant>
      <vt:variant>
        <vt:i4>5</vt:i4>
      </vt:variant>
      <vt:variant>
        <vt:lpwstr>http://ec.europa.eu/eurostat/documents/3859598/5902521/KS-RA-07-015-EN.PDF</vt:lpwstr>
      </vt:variant>
      <vt:variant>
        <vt:lpwstr/>
      </vt:variant>
      <vt:variant>
        <vt:i4>5832811</vt:i4>
      </vt:variant>
      <vt:variant>
        <vt:i4>9</vt:i4>
      </vt:variant>
      <vt:variant>
        <vt:i4>0</vt:i4>
      </vt:variant>
      <vt:variant>
        <vt:i4>5</vt:i4>
      </vt:variant>
      <vt:variant>
        <vt:lpwstr>https://unstats.un.org/unsd/cr/registry/docs/i4_SNA.pdf</vt:lpwstr>
      </vt:variant>
      <vt:variant>
        <vt:lpwstr/>
      </vt:variant>
      <vt:variant>
        <vt:i4>1900613</vt:i4>
      </vt:variant>
      <vt:variant>
        <vt:i4>6</vt:i4>
      </vt:variant>
      <vt:variant>
        <vt:i4>0</vt:i4>
      </vt:variant>
      <vt:variant>
        <vt:i4>5</vt:i4>
      </vt:variant>
      <vt:variant>
        <vt:lpwstr>https://www.coeweb.istat.it/</vt:lpwstr>
      </vt:variant>
      <vt:variant>
        <vt:lpwstr/>
      </vt:variant>
      <vt:variant>
        <vt:i4>7208997</vt:i4>
      </vt:variant>
      <vt:variant>
        <vt:i4>3</vt:i4>
      </vt:variant>
      <vt:variant>
        <vt:i4>0</vt:i4>
      </vt:variant>
      <vt:variant>
        <vt:i4>5</vt:i4>
      </vt:variant>
      <vt:variant>
        <vt:lpwstr>http://www.istat.it/it/congiuntura</vt:lpwstr>
      </vt:variant>
      <vt:variant>
        <vt:lpwstr/>
      </vt:variant>
      <vt:variant>
        <vt:i4>6094849</vt:i4>
      </vt:variant>
      <vt:variant>
        <vt:i4>0</vt:i4>
      </vt:variant>
      <vt:variant>
        <vt:i4>0</vt:i4>
      </vt:variant>
      <vt:variant>
        <vt:i4>5</vt:i4>
      </vt:variant>
      <vt:variant>
        <vt:lpwstr>http://dati.istat.it/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COMMERCIO CON L'ESTERO E PREZZI ALL'IMPORT</dc:title>
  <dc:subject/>
  <dc:creator>ISTAT</dc:creator>
  <cp:keywords/>
  <dc:description/>
  <cp:lastModifiedBy>UTENTE</cp:lastModifiedBy>
  <cp:revision>2</cp:revision>
  <cp:lastPrinted>2023-12-12T09:12:00Z</cp:lastPrinted>
  <dcterms:created xsi:type="dcterms:W3CDTF">2023-12-15T08:34:00Z</dcterms:created>
  <dcterms:modified xsi:type="dcterms:W3CDTF">2023-12-15T08:34:00Z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2QYKZWF4TN2A-29-1413</vt:lpwstr>
  </property>
  <property fmtid="{D5CDD505-2E9C-101B-9397-08002B2CF9AE}" pid="3" name="_dlc_DocIdItemGuid">
    <vt:lpwstr>91d25d38-75ff-4036-8e43-5fa02ffec53a</vt:lpwstr>
  </property>
  <property fmtid="{D5CDD505-2E9C-101B-9397-08002B2CF9AE}" pid="4" name="_dlc_DocIdUrl">
    <vt:lpwstr>https://collaborazione.istat.it/siti/ed/ufficio_stampa/_layouts/DocIdRedir.aspx?ID=2QYKZWF4TN2A-29-1413, 2QYKZWF4TN2A-29-1413</vt:lpwstr>
  </property>
</Properties>
</file>